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Explainable and Context-Aware Fine-Tuning of Bidirectional Encoder</w:t>
        <w:br/>
        <w:t>Representations from Transformers for Online Recruitment Fraud Detection</w:t>
      </w:r>
    </w:p>
    <w:p>
      <w:pPr>
        <w:spacing w:after="360"/>
        <w:jc w:val="center"/>
      </w:pPr>
      <w:r>
        <w:rPr>
          <w:rFonts w:ascii="Times New Roman" w:hAnsi="Times New Roman"/>
          <w:b w:val="0"/>
          <w:i w:val="0"/>
          <w:color w:val="000000"/>
          <w:sz w:val="22"/>
        </w:rPr>
        <w:t>Akhilesh Yadav</w:t>
        <w:br/>
        <w:t>Department of Computer Science and Engineering</w:t>
        <w:br/>
        <w:t>M.Sc. (Data Science)</w:t>
        <w:br/>
        <w:t>India</w:t>
        <w:br/>
        <w:t>akhileshyadav8@gmail.com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val="0"/>
          <w:i w:val="0"/>
          <w:color w:val="000000"/>
          <w:sz w:val="18"/>
        </w:rPr>
        <w:t>Online recruitment platforms have simplified global recruitment processes. However, this open medium has concurrently facilitated the propagation of Online Recruitment Fraud (ORF), where scammers upload deceptive job announcements to harvest sensitive candidate details or perform financial scams. Detecting these postings automatically is difficult because they are written to mimic genuine corporate listings. While classical machine learning baselines fail to extract contextual semantics, deep neural networks are frequently criticized as black-box models. In this study, we replicate and optimize the baseline fine-tuning methodology of the transformer-based Fraud-BERT framework using the full bert-base-uncased architecture. To handle the high class imbalance in the EMSCAD dataset, we implement a class-weighted binary cross-entropy loss function. Furthermore, to resolve the black-box nature of deep neural networks, we integrate game-theoretic Explainable AI (XAI) via SHAP values, tracing token attributions to verify the linguistic features driving predictions. Our experimental results on the test set yield a classification accuracy of 99.02%, Class 1 (Fraudulent) precision of 91.57%, recall of 87.86%, and F1-score of 89.68%. Additionally, the fine-tuned model obtains a Macro-average F1-score of 94.58% and a high ROC-AUC of 99.22%. These findings confirm that optimized standalone transformers, when regularized and explained using game-theoretic feature attribution, offer a highly reliable and explainable baseline for automated recruitment security.</w:t>
      </w:r>
    </w:p>
    <w:p>
      <w:pPr>
        <w:spacing w:after="240"/>
        <w:ind w:firstLine="216"/>
        <w:jc w:val="both"/>
      </w:pPr>
      <w:r>
        <w:rPr>
          <w:rFonts w:ascii="Times New Roman" w:hAnsi="Times New Roman"/>
          <w:b/>
          <w:i/>
          <w:color w:val="000000"/>
          <w:sz w:val="18"/>
        </w:rPr>
        <w:t>Keywords---</w:t>
      </w:r>
      <w:r>
        <w:rPr>
          <w:rFonts w:ascii="Times New Roman" w:hAnsi="Times New Roman"/>
          <w:b w:val="0"/>
          <w:i/>
          <w:color w:val="000000"/>
          <w:sz w:val="18"/>
        </w:rPr>
        <w:t xml:space="preserve"> Online Recruitment Fraud, Fake Job Detection, Transformers, BERT, Fine-Tuning, Explainable AI, SHAP.</w:t>
      </w:r>
    </w:p>
    <w:p>
      <w:pPr>
        <w:keepNext/>
        <w:spacing w:before="24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Online recruitment has become the standard mechanism for job seeking and hiring globally, utilizing platforms like LinkedIn, Glassdoor, and Indeed. This shift has significantly lowered administrative overhead, expanded the global applicant pool, and accelerated the recruiting cycle. However, this open digital ecosystem has also emerged as a fertile ground for cybercriminals engaged in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upload deceptive listings to harvest personal information (bank accounts, national IDs) or extort payments under the guise of processing fees </w:t>
      </w:r>
      <w:hyperlink w:anchor="ref_3">
        <w:r>
          <w:rPr>
            <w:rFonts w:ascii="Times New Roman" w:hAnsi="Times New Roman"/>
            <w:sz w:val="20"/>
            <w:u w:val="single"/>
            <w:color w:val="0000FF"/>
          </w:rPr>
          <w:t>[3]</w:t>
        </w:r>
      </w:hyperlink>
      <w:r>
        <w:rPr>
          <w:rFonts w:ascii="Times New Roman" w:hAnsi="Times New Roman"/>
          <w:b w:val="0"/>
          <w:i w:val="0"/>
          <w:color w:val="000000"/>
          <w:sz w:val="20"/>
        </w:rPr>
        <w:t>.</w:t>
      </w:r>
    </w:p>
    <w:p>
      <w:pPr>
        <w:spacing w:line="252" w:lineRule="auto" w:after="80"/>
        <w:ind w:firstLine="216"/>
        <w:jc w:val="both"/>
      </w:pPr>
      <w:r>
        <w:rPr>
          <w:rFonts w:ascii="Times New Roman" w:hAnsi="Times New Roman"/>
          <w:b w:val="0"/>
          <w:i w:val="0"/>
          <w:color w:val="000000"/>
          <w:sz w:val="20"/>
        </w:rPr>
        <w:t xml:space="preserve">Detecting these fraudulent listings is an intricate natural language processing (NLP) problem. Deceptive postings are constructed using highly professional language, often copying corporate profiles from legitimate websites to look genuine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Therefore, traditional keyword filtering or rule-based systems fail because they cannot capture semantic anomalies or context. Early automated detection systems deployed machine learning models such as Logistic Regression, Naive Bayes, and Random Forest on features extracted via TF-IDF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Although computationally efficient, these models suffer from high-dimensional sparse representations and completely ignore the ordering and semantic context of words. To resolve this, recurrent deep learning models like Bi-LSTMs were proposed </w:t>
      </w:r>
      <w:hyperlink w:anchor="ref_2">
        <w:r>
          <w:rPr>
            <w:rFonts w:ascii="Times New Roman" w:hAnsi="Times New Roman"/>
            <w:sz w:val="20"/>
            <w:u w:val="single"/>
            <w:color w:val="0000FF"/>
          </w:rPr>
          <w:t>[2]</w:t>
        </w:r>
      </w:hyperlink>
      <w:r>
        <w:rPr>
          <w:rFonts w:ascii="Times New Roman" w:hAnsi="Times New Roman"/>
          <w:b w:val="0"/>
          <w:i w:val="0"/>
          <w:color w:val="000000"/>
          <w:sz w:val="20"/>
        </w:rPr>
        <w:t>. These models process sequential text, but their performance remains limited when relying on static pre-trained embeddings (such as Word2Vec) which fail to adjust a word's representation based on its dynamic context.</w:t>
      </w:r>
    </w:p>
    <w:p>
      <w:pPr>
        <w:spacing w:line="252" w:lineRule="auto" w:after="80"/>
        <w:ind w:firstLine="216"/>
        <w:jc w:val="both"/>
      </w:pPr>
      <w:r>
        <w:rPr>
          <w:rFonts w:ascii="Times New Roman" w:hAnsi="Times New Roman"/>
          <w:b w:val="0"/>
          <w:i w:val="0"/>
          <w:color w:val="000000"/>
          <w:sz w:val="20"/>
        </w:rPr>
        <w:t xml:space="preserve">Recently, Transformer-based Large Language Models (LLMs) like BERT have redefined the state-of-the-art in NLP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uses self-attention mechanisms to generate context-aware bidirectional representations of tokens. Standalone BERT architectures classify text by passing the representation of the special classification token ([CLS]) directly into a dense output layer </w:t>
      </w:r>
      <w:hyperlink w:anchor="ref_8">
        <w:r>
          <w:rPr>
            <w:rFonts w:ascii="Times New Roman" w:hAnsi="Times New Roman"/>
            <w:sz w:val="20"/>
            <w:u w:val="single"/>
            <w:color w:val="0000FF"/>
          </w:rPr>
          <w:t>[8]</w:t>
        </w:r>
      </w:hyperlink>
      <w:r>
        <w:rPr>
          <w:rFonts w:ascii="Times New Roman" w:hAnsi="Times New Roman"/>
          <w:b w:val="0"/>
          <w:i w:val="0"/>
          <w:color w:val="000000"/>
          <w:sz w:val="20"/>
        </w:rPr>
        <w:t>. However, this approach discards token-level sequential and contextual variations across the full text sequence, which are critical for recognizing structural and linguistic tells in fraudulent job ads. To bridge this gap, this study implements a context-aware natural language processor. In the proposed paper, we explore a sequence-preserving hybrid BERT-BiLSTM architecture, whereas in the baseline paper we optimize standalone BERT fine-tuning using class-weighted regularizations. Furthermore, we address the lack of model transparency by integrating Explainable AI (XAI) using SHAP values to explain token attributions.</w:t>
      </w:r>
    </w:p>
    <w:p>
      <w:pPr>
        <w:keepNext/>
        <w:spacing w:before="240" w:after="120"/>
        <w:jc w:val="center"/>
      </w:pPr>
      <w:r>
        <w:rPr>
          <w:rFonts w:ascii="Times New Roman" w:hAnsi="Times New Roman"/>
          <w:b/>
          <w:i w:val="0"/>
          <w:color w:val="000000"/>
          <w:sz w:val="20"/>
        </w:rPr>
        <w:t>II.  RELATED WORK</w:t>
      </w:r>
    </w:p>
    <w:p>
      <w:pPr>
        <w:keepNext/>
        <w:spacing w:before="16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designed custom metadata features reflecting real-world fraud indicators, yielding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demonstrated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combining multiple base learners for job vacancy fraud detection, showing robust generalization.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machine learning baselines and highlighted the potential of Support Vector Machines in extracting text anomalies.</w:t>
      </w:r>
    </w:p>
    <w:p>
      <w:pPr>
        <w:keepNext/>
        <w:spacing w:before="16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using Gated Recurrent Units (GRU) to run online recruitment fraud classification, lowering parameter requirements while maintaining a robust F1-score.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text mining techniques on recruitment boards, whereas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completed a systematic review of the Online Recruitment Fraud domain to establish baseline guidelines.</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applied BERT's contextualized representations to identify job scams, and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explored hybrid deep learning frameworks to augment feature spaces. Our work builds on these studies by optimizing tokenization pipelines and providing game-theoretic feature attribution explanations.</w:t>
      </w:r>
    </w:p>
    <w:p>
      <w:pPr>
        <w:keepNext/>
        <w:spacing w:before="240" w:after="120"/>
        <w:jc w:val="center"/>
      </w:pPr>
      <w:r>
        <w:rPr>
          <w:rFonts w:ascii="Times New Roman" w:hAnsi="Times New Roman"/>
          <w:b/>
          <w:i w:val="0"/>
          <w:color w:val="000000"/>
          <w:sz w:val="20"/>
        </w:rPr>
        <w:t>III.  SYSTEM METHODOLOGY</w:t>
      </w:r>
    </w:p>
    <w:p>
      <w:pPr>
        <w:spacing w:before="160" w:after="80"/>
        <w:jc w:val="center"/>
      </w:pPr>
      <w:r>
        <w:drawing>
          <wp:inline xmlns:a="http://schemas.openxmlformats.org/drawingml/2006/main" xmlns:pic="http://schemas.openxmlformats.org/drawingml/2006/picture">
            <wp:extent cx="2926080" cy="3221644"/>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926080" cy="3221644"/>
                    </a:xfrm>
                    <a:prstGeom prst="rect"/>
                  </pic:spPr>
                </pic:pic>
              </a:graphicData>
            </a:graphic>
          </wp:inline>
        </w:drawing>
      </w:r>
    </w:p>
    <w:p>
      <w:pPr>
        <w:spacing w:after="160"/>
        <w:jc w:val="center"/>
      </w:pPr>
      <w:r>
        <w:rPr>
          <w:rFonts w:ascii="Times New Roman" w:hAnsi="Times New Roman"/>
          <w:b w:val="0"/>
          <w:i w:val="0"/>
          <w:color w:val="000000"/>
          <w:sz w:val="16"/>
        </w:rPr>
        <w:t>Fig. 1. System workflow diagram of the automated recruitment fraud detection model.</w:t>
      </w:r>
    </w:p>
    <w:p>
      <w:pPr>
        <w:keepNext/>
        <w:spacing w:before="160" w:after="80"/>
        <w:jc w:val="left"/>
      </w:pPr>
      <w:r>
        <w:rPr>
          <w:rFonts w:ascii="Times New Roman" w:hAnsi="Times New Roman"/>
          <w:b w:val="0"/>
          <w:i/>
          <w:color w:val="000000"/>
          <w:sz w:val="20"/>
        </w:rPr>
        <w:t>A. Data Preprocessing and Concatenation</w:t>
      </w:r>
    </w:p>
    <w:p>
      <w:pPr>
        <w:spacing w:line="252" w:lineRule="auto" w:after="80"/>
        <w:ind w:firstLine="216"/>
        <w:jc w:val="both"/>
      </w:pPr>
      <w:r>
        <w:rPr>
          <w:rFonts w:ascii="Times New Roman" w:hAnsi="Times New Roman"/>
          <w:b w:val="0"/>
          <w:i w:val="0"/>
          <w:color w:val="000000"/>
          <w:sz w:val="20"/>
        </w:rPr>
        <w:t>Each job posting in the EMSCAD dataset contains both structured metadata and unstructured text. To leverage all textual clues, we clean and concatenate ten primary fields: Job Title, Company Profile, Job Description, Requirements, Benefits, Employment Type, Required Experience, Required Education, Industry, and Function. To prevent the injection of noisy 'nan' strings resulting from pandas float missing values, we implement a robust tag-based concatenation helper function. This function checks if a field is non-null and non-empty before prepending its semantic label and joining it using structural dividers.</w:t>
      </w:r>
    </w:p>
    <w:p>
      <w:pPr>
        <w:keepNext/>
        <w:spacing w:before="160" w:after="80"/>
        <w:jc w:val="left"/>
      </w:pPr>
      <w:r>
        <w:rPr>
          <w:rFonts w:ascii="Times New Roman" w:hAnsi="Times New Roman"/>
          <w:b w:val="0"/>
          <w:i/>
          <w:color w:val="000000"/>
          <w:sz w:val="20"/>
        </w:rPr>
        <w:t>B. BERT Contextual Embedding Extraction</w:t>
      </w:r>
    </w:p>
    <w:p>
      <w:pPr>
        <w:spacing w:line="252" w:lineRule="auto" w:after="80"/>
        <w:ind w:firstLine="216"/>
        <w:jc w:val="both"/>
      </w:pPr>
      <w:r>
        <w:rPr>
          <w:rFonts w:ascii="Times New Roman" w:hAnsi="Times New Roman"/>
          <w:b w:val="0"/>
          <w:i w:val="0"/>
          <w:color w:val="000000"/>
          <w:sz w:val="20"/>
        </w:rPr>
        <w:t>The preprocessed text sequence is tokenized using the WordPiece tokenizer associated with BERT-base. For an input sequence of length L, the tokenizer generates input tokens, including the classification token [CLS] at the beginning. These tokens are mapped to input IDs and fed into the bert-base-uncased model. BERT encodes the tokens to output a sequence of contextual hidden states:</w:t>
      </w:r>
    </w:p>
    <w:p>
      <w:pPr>
        <w:spacing w:before="120" w:after="120"/>
        <w:jc w:val="center"/>
      </w:pPr>
      <w:r>
        <w:rPr>
          <w:rFonts w:ascii="Times New Roman" w:hAnsi="Times New Roman"/>
          <w:b w:val="0"/>
          <w:i/>
          <w:color w:val="000000"/>
          <w:sz w:val="20"/>
        </w:rPr>
        <w:t>H = BERT(I, A) ∈ R^(B x L x D)</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where B is the batch size, L is the sequence length (L = 512), D is the hidden embedding dimension (D = 768), I represents input IDs, and A represents attention masks. In the standalone configuration, the [CLS] representation is passed directly to the classification head. In the hybrid configuration, we retain the full sequence output to process intermediate token dependencies.</w:t>
      </w:r>
    </w:p>
    <w:p>
      <w:pPr>
        <w:keepNext/>
        <w:spacing w:before="160" w:after="80"/>
        <w:jc w:val="left"/>
      </w:pPr>
      <w:r>
        <w:rPr>
          <w:rFonts w:ascii="Times New Roman" w:hAnsi="Times New Roman"/>
          <w:b w:val="0"/>
          <w:i/>
          <w:color w:val="000000"/>
          <w:sz w:val="20"/>
        </w:rPr>
        <w:t>C. Contextual Classification Head</w:t>
      </w:r>
    </w:p>
    <w:p>
      <w:pPr>
        <w:spacing w:line="252" w:lineRule="auto" w:after="80"/>
        <w:ind w:firstLine="216"/>
        <w:jc w:val="both"/>
      </w:pPr>
      <w:r>
        <w:rPr>
          <w:rFonts w:ascii="Times New Roman" w:hAnsi="Times New Roman"/>
          <w:b w:val="0"/>
          <w:i w:val="0"/>
          <w:color w:val="000000"/>
          <w:sz w:val="20"/>
        </w:rPr>
        <w:t>The CLS representation from the final layer of the transformer is passed through dropout regularization and a linear classification layer. To mitigate the severe class imbalance, we optimize the weights using a class-weighted binary cross-entropy loss function, adjusting loss gradients for the minority class. The weights of the transformer are fine-tuned at a learning rate of 2e-5.</w:t>
      </w:r>
    </w:p>
    <w:p>
      <w:pPr>
        <w:keepNext/>
        <w:spacing w:before="240" w:after="120"/>
        <w:jc w:val="center"/>
      </w:pPr>
      <w:r>
        <w:rPr>
          <w:rFonts w:ascii="Times New Roman" w:hAnsi="Times New Roman"/>
          <w:b/>
          <w:i w:val="0"/>
          <w:color w:val="000000"/>
          <w:sz w:val="20"/>
        </w:rPr>
        <w:t>IV.  EXPLAINABLE AI ANALYSIS</w:t>
      </w:r>
    </w:p>
    <w:p>
      <w:pPr>
        <w:spacing w:line="252" w:lineRule="auto" w:after="80"/>
        <w:ind w:firstLine="216"/>
        <w:jc w:val="both"/>
      </w:pPr>
      <w:r>
        <w:rPr>
          <w:rFonts w:ascii="Times New Roman" w:hAnsi="Times New Roman"/>
          <w:b w:val="0"/>
          <w:i w:val="0"/>
          <w:color w:val="000000"/>
          <w:sz w:val="20"/>
        </w:rPr>
        <w:t xml:space="preserve">To resolve the black-box nature of deep neural networks, we utilize Shapley Additive Explanations (SHAP) </w:t>
      </w:r>
      <w:hyperlink w:anchor="ref_6">
        <w:r>
          <w:rPr>
            <w:rFonts w:ascii="Times New Roman" w:hAnsi="Times New Roman"/>
            <w:sz w:val="20"/>
            <w:u w:val="single"/>
            <w:color w:val="0000FF"/>
          </w:rPr>
          <w:t>[6]</w:t>
        </w:r>
      </w:hyperlink>
      <w:r>
        <w:rPr>
          <w:rFonts w:ascii="Times New Roman" w:hAnsi="Times New Roman"/>
          <w:b w:val="0"/>
          <w:i w:val="0"/>
          <w:color w:val="000000"/>
          <w:sz w:val="20"/>
        </w:rPr>
        <w:t>. SHAP assigns each input token an attribution score representing its marginal contribution to the classification probability. By calculating the mean SHAP values across test listings, we separate the text into attributions that strongly shift the probability toward the Fraudulent class (positive SHAP scores) or toward the Genuine class (negative SHAP scores). Figure 2 visualizes these token attributions.</w:t>
      </w:r>
    </w:p>
    <w:p>
      <w:pPr>
        <w:spacing w:before="160" w:after="80"/>
        <w:jc w:val="center"/>
      </w:pPr>
      <w:r>
        <w:drawing>
          <wp:inline xmlns:a="http://schemas.openxmlformats.org/drawingml/2006/main" xmlns:pic="http://schemas.openxmlformats.org/drawingml/2006/picture">
            <wp:extent cx="2926080" cy="18288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0"/>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2. Mean SHAP Values of top-10 fraud and top-10 genuine text indicators.</w:t>
      </w:r>
    </w:p>
    <w:p>
      <w:pPr>
        <w:keepNext/>
        <w:spacing w:before="240" w:after="120"/>
        <w:jc w:val="center"/>
      </w:pPr>
      <w:r>
        <w:rPr>
          <w:rFonts w:ascii="Times New Roman" w:hAnsi="Times New Roman"/>
          <w:b/>
          <w:i w:val="0"/>
          <w:color w:val="000000"/>
          <w:sz w:val="20"/>
        </w:rPr>
        <w:t>V.  EXPERIMENTAL SETUP</w:t>
      </w:r>
    </w:p>
    <w:p>
      <w:pPr>
        <w:keepNext/>
        <w:spacing w:before="160" w:after="80"/>
        <w:jc w:val="left"/>
      </w:pPr>
      <w:r>
        <w:rPr>
          <w:rFonts w:ascii="Times New Roman" w:hAnsi="Times New Roman"/>
          <w:b w:val="0"/>
          <w:i/>
          <w:color w:val="000000"/>
          <w:sz w:val="20"/>
        </w:rPr>
        <w:t>A. Dataset Description</w:t>
      </w:r>
    </w:p>
    <w:p>
      <w:pPr>
        <w:spacing w:line="252" w:lineRule="auto" w:after="80"/>
        <w:ind w:firstLine="216"/>
        <w:jc w:val="both"/>
      </w:pPr>
      <w:r>
        <w:rPr>
          <w:rFonts w:ascii="Times New Roman" w:hAnsi="Times New Roman"/>
          <w:b w:val="0"/>
          <w:i w:val="0"/>
          <w:color w:val="000000"/>
          <w:sz w:val="20"/>
        </w:rPr>
        <w:t xml:space="preserve">The model is validated using the Kaggle Real/Fake Job Posting Prediction dataset (EMSCAD) </w:t>
      </w:r>
      <w:hyperlink w:anchor="ref_12">
        <w:r>
          <w:rPr>
            <w:rFonts w:ascii="Times New Roman" w:hAnsi="Times New Roman"/>
            <w:sz w:val="20"/>
            <w:u w:val="single"/>
            <w:color w:val="0000FF"/>
          </w:rPr>
          <w:t>[12]</w:t>
        </w:r>
      </w:hyperlink>
      <w:r>
        <w:rPr>
          <w:rFonts w:ascii="Times New Roman" w:hAnsi="Times New Roman"/>
          <w:b w:val="0"/>
          <w:i w:val="0"/>
          <w:color w:val="000000"/>
          <w:sz w:val="20"/>
        </w:rPr>
        <w:t>. The dataset consists of 17,880 observations. It contains a significant class imbalance, containing 17,014 genuine posts (95.16%) and only 866 fraudulent posts (4.84%). This highly skewed distribution represents a realistic recruitment scenario where fraud is a needle in a haystack. The dataset is split into training (70%), validation (10%), and testing (20%) sets using stratified sampling.</w:t>
      </w:r>
    </w:p>
    <w:p>
      <w:pPr>
        <w:keepNext/>
        <w:spacing w:before="160" w:after="80"/>
        <w:jc w:val="left"/>
      </w:pPr>
      <w:r>
        <w:rPr>
          <w:rFonts w:ascii="Times New Roman" w:hAnsi="Times New Roman"/>
          <w:b w:val="0"/>
          <w:i/>
          <w:color w:val="000000"/>
          <w:sz w:val="20"/>
        </w:rPr>
        <w:t>B. Baseline Models</w:t>
      </w:r>
    </w:p>
    <w:p>
      <w:pPr>
        <w:spacing w:line="252" w:lineRule="auto" w:after="80"/>
        <w:ind w:firstLine="216"/>
        <w:jc w:val="both"/>
      </w:pPr>
      <w:r>
        <w:rPr>
          <w:rFonts w:ascii="Times New Roman" w:hAnsi="Times New Roman"/>
          <w:b w:val="0"/>
          <w:i w:val="0"/>
          <w:color w:val="000000"/>
          <w:sz w:val="20"/>
        </w:rPr>
        <w:t>The classification models are benchmarked against the following configurations: 1) Logistic Regression: A classical linear baseline trained on TF-IDF features. 2) Random Forest: An ensemble model trained on TF-IDF features with 100 estimators. 3) Standalone BERT: Fine-tuning bert-base-uncased. 4) Proposed BERT-BiLSTM: A hybrid model pairing a frozen BERT backbone with a sequential Bi-LSTM head.</w:t>
      </w:r>
    </w:p>
    <w:p>
      <w:pPr>
        <w:keepNext/>
        <w:spacing w:before="240" w:after="120"/>
        <w:jc w:val="center"/>
      </w:pPr>
      <w:r>
        <w:rPr>
          <w:rFonts w:ascii="Times New Roman" w:hAnsi="Times New Roman"/>
          <w:b/>
          <w:i w:val="0"/>
          <w:color w:val="000000"/>
          <w:sz w:val="20"/>
        </w:rPr>
        <w:t>VI.  RESULTS AND COMPARATIVE ANALYSIS</w:t>
      </w:r>
    </w:p>
    <w:p>
      <w:pPr>
        <w:keepNext/>
        <w:spacing w:before="16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models were evaluated on the test set using standard classification metrics: Accuracy (Acc), Precision (Prec), Recall (Rec), F1-score (F1), Macro F1-score (Macro F1), and Area Under the ROC Curve (ROC-AUC). Table I summarizes the results.</w:t>
      </w:r>
    </w:p>
    <w:p>
      <w:pPr>
        <w:keepNext/>
        <w:spacing w:before="160" w:after="80"/>
        <w:jc w:val="center"/>
      </w:pPr>
      <w:r>
        <w:rPr>
          <w:rFonts w:ascii="Times New Roman" w:hAnsi="Times New Roman"/>
          <w:b/>
          <w:i w:val="0"/>
          <w:color w:val="000000"/>
          <w:sz w:val="16"/>
        </w:rPr>
        <w:t>TABLE I: Performance Comparison on Test Set</w:t>
      </w:r>
    </w:p>
    <w:tbl>
      <w:tblPr>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jc w:val="center"/>
            </w:pPr>
            <w:r>
              <w:rPr>
                <w:rFonts w:ascii="Times New Roman" w:hAnsi="Times New Roman"/>
                <w:b/>
                <w:i w:val="0"/>
                <w:color w:val="000000"/>
                <w:sz w:val="16"/>
              </w:rPr>
              <w:t>Model</w:t>
            </w:r>
          </w:p>
        </w:tc>
        <w:tc>
          <w:tcPr>
            <w:tcW w:type="dxa" w:w="1491"/>
          </w:tcPr>
          <w:p>
            <w:pPr>
              <w:jc w:val="center"/>
            </w:pPr>
            <w:r>
              <w:rPr>
                <w:rFonts w:ascii="Times New Roman" w:hAnsi="Times New Roman"/>
                <w:b/>
                <w:i w:val="0"/>
                <w:color w:val="000000"/>
                <w:sz w:val="16"/>
              </w:rPr>
              <w:t>Accuracy</w:t>
            </w:r>
          </w:p>
        </w:tc>
        <w:tc>
          <w:tcPr>
            <w:tcW w:type="dxa" w:w="1491"/>
          </w:tcPr>
          <w:p>
            <w:pPr>
              <w:jc w:val="center"/>
            </w:pPr>
            <w:r>
              <w:rPr>
                <w:rFonts w:ascii="Times New Roman" w:hAnsi="Times New Roman"/>
                <w:b/>
                <w:i w:val="0"/>
                <w:color w:val="000000"/>
                <w:sz w:val="16"/>
              </w:rPr>
              <w:t>Class 1 Prec</w:t>
            </w:r>
          </w:p>
        </w:tc>
        <w:tc>
          <w:tcPr>
            <w:tcW w:type="dxa" w:w="1491"/>
          </w:tcPr>
          <w:p>
            <w:pPr>
              <w:jc w:val="center"/>
            </w:pPr>
            <w:r>
              <w:rPr>
                <w:rFonts w:ascii="Times New Roman" w:hAnsi="Times New Roman"/>
                <w:b/>
                <w:i w:val="0"/>
                <w:color w:val="000000"/>
                <w:sz w:val="16"/>
              </w:rPr>
              <w:t>Class 1 Rec</w:t>
            </w:r>
          </w:p>
        </w:tc>
        <w:tc>
          <w:tcPr>
            <w:tcW w:type="dxa" w:w="1491"/>
          </w:tcPr>
          <w:p>
            <w:pPr>
              <w:jc w:val="center"/>
            </w:pPr>
            <w:r>
              <w:rPr>
                <w:rFonts w:ascii="Times New Roman" w:hAnsi="Times New Roman"/>
                <w:b/>
                <w:i w:val="0"/>
                <w:color w:val="000000"/>
                <w:sz w:val="16"/>
              </w:rPr>
              <w:t>Class 1 F1</w:t>
            </w:r>
          </w:p>
        </w:tc>
        <w:tc>
          <w:tcPr>
            <w:tcW w:type="dxa" w:w="1491"/>
          </w:tcPr>
          <w:p>
            <w:pPr>
              <w:jc w:val="center"/>
            </w:pPr>
            <w:r>
              <w:rPr>
                <w:rFonts w:ascii="Times New Roman" w:hAnsi="Times New Roman"/>
                <w:b/>
                <w:i w:val="0"/>
                <w:color w:val="000000"/>
                <w:sz w:val="16"/>
              </w:rPr>
              <w:t>Macro F1</w:t>
            </w:r>
          </w:p>
        </w:tc>
        <w:tc>
          <w:tcPr>
            <w:tcW w:type="dxa" w:w="1491"/>
          </w:tcPr>
          <w:p>
            <w:pPr>
              <w:jc w:val="center"/>
            </w:pPr>
            <w:r>
              <w:rPr>
                <w:rFonts w:ascii="Times New Roman" w:hAnsi="Times New Roman"/>
                <w:b/>
                <w:i w:val="0"/>
                <w:color w:val="000000"/>
                <w:sz w:val="16"/>
              </w:rPr>
              <w:t>ROC-AUC</w:t>
            </w:r>
          </w:p>
        </w:tc>
      </w:tr>
      <w:tr>
        <w:tc>
          <w:tcPr>
            <w:tcW w:type="dxa" w:w="1491"/>
          </w:tcPr>
          <w:p>
            <w:pPr>
              <w:jc w:val="center"/>
            </w:pPr>
            <w:r>
              <w:rPr>
                <w:rFonts w:ascii="Times New Roman" w:hAnsi="Times New Roman"/>
                <w:b w:val="0"/>
                <w:i w:val="0"/>
                <w:color w:val="000000"/>
                <w:sz w:val="16"/>
              </w:rPr>
              <w:t>Logistic Regression</w:t>
            </w:r>
          </w:p>
        </w:tc>
        <w:tc>
          <w:tcPr>
            <w:tcW w:type="dxa" w:w="1491"/>
          </w:tcPr>
          <w:p>
            <w:pPr>
              <w:jc w:val="center"/>
            </w:pPr>
            <w:r>
              <w:rPr>
                <w:rFonts w:ascii="Times New Roman" w:hAnsi="Times New Roman"/>
                <w:b w:val="0"/>
                <w:i w:val="0"/>
                <w:color w:val="000000"/>
                <w:sz w:val="16"/>
              </w:rPr>
              <w:t>96.84%</w:t>
            </w:r>
          </w:p>
        </w:tc>
        <w:tc>
          <w:tcPr>
            <w:tcW w:type="dxa" w:w="1491"/>
          </w:tcPr>
          <w:p>
            <w:pPr>
              <w:jc w:val="center"/>
            </w:pPr>
            <w:r>
              <w:rPr>
                <w:rFonts w:ascii="Times New Roman" w:hAnsi="Times New Roman"/>
                <w:b w:val="0"/>
                <w:i w:val="0"/>
                <w:color w:val="000000"/>
                <w:sz w:val="16"/>
              </w:rPr>
              <w:t>62.10%</w:t>
            </w:r>
          </w:p>
        </w:tc>
        <w:tc>
          <w:tcPr>
            <w:tcW w:type="dxa" w:w="1491"/>
          </w:tcPr>
          <w:p>
            <w:pPr>
              <w:jc w:val="center"/>
            </w:pPr>
            <w:r>
              <w:rPr>
                <w:rFonts w:ascii="Times New Roman" w:hAnsi="Times New Roman"/>
                <w:b w:val="0"/>
                <w:i w:val="0"/>
                <w:color w:val="000000"/>
                <w:sz w:val="16"/>
              </w:rPr>
              <w:t>89.02%</w:t>
            </w:r>
          </w:p>
        </w:tc>
        <w:tc>
          <w:tcPr>
            <w:tcW w:type="dxa" w:w="1491"/>
          </w:tcPr>
          <w:p>
            <w:pPr>
              <w:jc w:val="center"/>
            </w:pPr>
            <w:r>
              <w:rPr>
                <w:rFonts w:ascii="Times New Roman" w:hAnsi="Times New Roman"/>
                <w:b w:val="0"/>
                <w:i w:val="0"/>
                <w:color w:val="000000"/>
                <w:sz w:val="16"/>
              </w:rPr>
              <w:t>73.16%</w:t>
            </w:r>
          </w:p>
        </w:tc>
        <w:tc>
          <w:tcPr>
            <w:tcW w:type="dxa" w:w="1491"/>
          </w:tcPr>
          <w:p>
            <w:pPr>
              <w:jc w:val="center"/>
            </w:pPr>
            <w:r>
              <w:rPr>
                <w:rFonts w:ascii="Times New Roman" w:hAnsi="Times New Roman"/>
                <w:b w:val="0"/>
                <w:i w:val="0"/>
                <w:color w:val="000000"/>
                <w:sz w:val="16"/>
              </w:rPr>
              <w:t>86.08%</w:t>
            </w:r>
          </w:p>
        </w:tc>
        <w:tc>
          <w:tcPr>
            <w:tcW w:type="dxa" w:w="1491"/>
          </w:tcPr>
          <w:p>
            <w:pPr>
              <w:jc w:val="center"/>
            </w:pPr>
            <w:r>
              <w:rPr>
                <w:rFonts w:ascii="Times New Roman" w:hAnsi="Times New Roman"/>
                <w:b w:val="0"/>
                <w:i w:val="0"/>
                <w:color w:val="000000"/>
                <w:sz w:val="16"/>
              </w:rPr>
              <w:t>98.64%</w:t>
            </w:r>
          </w:p>
        </w:tc>
      </w:tr>
      <w:tr>
        <w:tc>
          <w:tcPr>
            <w:tcW w:type="dxa" w:w="1491"/>
          </w:tcPr>
          <w:p>
            <w:pPr>
              <w:jc w:val="center"/>
            </w:pPr>
            <w:r>
              <w:rPr>
                <w:rFonts w:ascii="Times New Roman" w:hAnsi="Times New Roman"/>
                <w:b w:val="0"/>
                <w:i w:val="0"/>
                <w:color w:val="000000"/>
                <w:sz w:val="16"/>
              </w:rPr>
              <w:t>Random Forest</w:t>
            </w:r>
          </w:p>
        </w:tc>
        <w:tc>
          <w:tcPr>
            <w:tcW w:type="dxa" w:w="1491"/>
          </w:tcPr>
          <w:p>
            <w:pPr>
              <w:jc w:val="center"/>
            </w:pPr>
            <w:r>
              <w:rPr>
                <w:rFonts w:ascii="Times New Roman" w:hAnsi="Times New Roman"/>
                <w:b w:val="0"/>
                <w:i w:val="0"/>
                <w:color w:val="000000"/>
                <w:sz w:val="16"/>
              </w:rPr>
              <w:t>97.85%</w:t>
            </w:r>
          </w:p>
        </w:tc>
        <w:tc>
          <w:tcPr>
            <w:tcW w:type="dxa" w:w="1491"/>
          </w:tcPr>
          <w:p>
            <w:pPr>
              <w:jc w:val="center"/>
            </w:pPr>
            <w:r>
              <w:rPr>
                <w:rFonts w:ascii="Times New Roman" w:hAnsi="Times New Roman"/>
                <w:b w:val="0"/>
                <w:i w:val="0"/>
                <w:color w:val="000000"/>
                <w:sz w:val="16"/>
              </w:rPr>
              <w:t>100.00%</w:t>
            </w:r>
          </w:p>
        </w:tc>
        <w:tc>
          <w:tcPr>
            <w:tcW w:type="dxa" w:w="1491"/>
          </w:tcPr>
          <w:p>
            <w:pPr>
              <w:jc w:val="center"/>
            </w:pPr>
            <w:r>
              <w:rPr>
                <w:rFonts w:ascii="Times New Roman" w:hAnsi="Times New Roman"/>
                <w:b w:val="0"/>
                <w:i w:val="0"/>
                <w:color w:val="000000"/>
                <w:sz w:val="16"/>
              </w:rPr>
              <w:t>55.49%</w:t>
            </w:r>
          </w:p>
        </w:tc>
        <w:tc>
          <w:tcPr>
            <w:tcW w:type="dxa" w:w="1491"/>
          </w:tcPr>
          <w:p>
            <w:pPr>
              <w:jc w:val="center"/>
            </w:pPr>
            <w:r>
              <w:rPr>
                <w:rFonts w:ascii="Times New Roman" w:hAnsi="Times New Roman"/>
                <w:b w:val="0"/>
                <w:i w:val="0"/>
                <w:color w:val="000000"/>
                <w:sz w:val="16"/>
              </w:rPr>
              <w:t>71.38%</w:t>
            </w:r>
          </w:p>
        </w:tc>
        <w:tc>
          <w:tcPr>
            <w:tcW w:type="dxa" w:w="1491"/>
          </w:tcPr>
          <w:p>
            <w:pPr>
              <w:jc w:val="center"/>
            </w:pPr>
            <w:r>
              <w:rPr>
                <w:rFonts w:ascii="Times New Roman" w:hAnsi="Times New Roman"/>
                <w:b w:val="0"/>
                <w:i w:val="0"/>
                <w:color w:val="000000"/>
                <w:sz w:val="16"/>
              </w:rPr>
              <w:t>85.20%</w:t>
            </w:r>
          </w:p>
        </w:tc>
        <w:tc>
          <w:tcPr>
            <w:tcW w:type="dxa" w:w="1491"/>
          </w:tcPr>
          <w:p>
            <w:pPr>
              <w:jc w:val="center"/>
            </w:pPr>
            <w:r>
              <w:rPr>
                <w:rFonts w:ascii="Times New Roman" w:hAnsi="Times New Roman"/>
                <w:b w:val="0"/>
                <w:i w:val="0"/>
                <w:color w:val="000000"/>
                <w:sz w:val="16"/>
              </w:rPr>
              <w:t>98.87%</w:t>
            </w:r>
          </w:p>
        </w:tc>
      </w:tr>
      <w:tr>
        <w:tc>
          <w:tcPr>
            <w:tcW w:type="dxa" w:w="1491"/>
          </w:tcPr>
          <w:p>
            <w:pPr>
              <w:jc w:val="center"/>
            </w:pPr>
            <w:r>
              <w:rPr>
                <w:rFonts w:ascii="Times New Roman" w:hAnsi="Times New Roman"/>
                <w:b w:val="0"/>
                <w:i w:val="0"/>
                <w:color w:val="000000"/>
                <w:sz w:val="16"/>
              </w:rPr>
              <w:t>Proposed BERT-BiLSTM</w:t>
            </w:r>
          </w:p>
        </w:tc>
        <w:tc>
          <w:tcPr>
            <w:tcW w:type="dxa" w:w="1491"/>
          </w:tcPr>
          <w:p>
            <w:pPr>
              <w:jc w:val="center"/>
            </w:pPr>
            <w:r>
              <w:rPr>
                <w:rFonts w:ascii="Times New Roman" w:hAnsi="Times New Roman"/>
                <w:b w:val="0"/>
                <w:i w:val="0"/>
                <w:color w:val="000000"/>
                <w:sz w:val="16"/>
              </w:rPr>
              <w:t>98.91%</w:t>
            </w:r>
          </w:p>
        </w:tc>
        <w:tc>
          <w:tcPr>
            <w:tcW w:type="dxa" w:w="1491"/>
          </w:tcPr>
          <w:p>
            <w:pPr>
              <w:jc w:val="center"/>
            </w:pPr>
            <w:r>
              <w:rPr>
                <w:rFonts w:ascii="Times New Roman" w:hAnsi="Times New Roman"/>
                <w:b w:val="0"/>
                <w:i w:val="0"/>
                <w:color w:val="000000"/>
                <w:sz w:val="16"/>
              </w:rPr>
              <w:t>92.41%</w:t>
            </w:r>
          </w:p>
        </w:tc>
        <w:tc>
          <w:tcPr>
            <w:tcW w:type="dxa" w:w="1491"/>
          </w:tcPr>
          <w:p>
            <w:pPr>
              <w:jc w:val="center"/>
            </w:pPr>
            <w:r>
              <w:rPr>
                <w:rFonts w:ascii="Times New Roman" w:hAnsi="Times New Roman"/>
                <w:b w:val="0"/>
                <w:i w:val="0"/>
                <w:color w:val="000000"/>
                <w:sz w:val="16"/>
              </w:rPr>
              <w:t>84.39%</w:t>
            </w:r>
          </w:p>
        </w:tc>
        <w:tc>
          <w:tcPr>
            <w:tcW w:type="dxa" w:w="1491"/>
          </w:tcPr>
          <w:p>
            <w:pPr>
              <w:jc w:val="center"/>
            </w:pPr>
            <w:r>
              <w:rPr>
                <w:rFonts w:ascii="Times New Roman" w:hAnsi="Times New Roman"/>
                <w:b w:val="0"/>
                <w:i w:val="0"/>
                <w:color w:val="000000"/>
                <w:sz w:val="16"/>
              </w:rPr>
              <w:t>88.22%</w:t>
            </w:r>
          </w:p>
        </w:tc>
        <w:tc>
          <w:tcPr>
            <w:tcW w:type="dxa" w:w="1491"/>
          </w:tcPr>
          <w:p>
            <w:pPr>
              <w:jc w:val="center"/>
            </w:pPr>
            <w:r>
              <w:rPr>
                <w:rFonts w:ascii="Times New Roman" w:hAnsi="Times New Roman"/>
                <w:b w:val="0"/>
                <w:i w:val="0"/>
                <w:color w:val="000000"/>
                <w:sz w:val="16"/>
              </w:rPr>
              <w:t>93.82%</w:t>
            </w:r>
          </w:p>
        </w:tc>
        <w:tc>
          <w:tcPr>
            <w:tcW w:type="dxa" w:w="1491"/>
          </w:tcPr>
          <w:p>
            <w:pPr>
              <w:jc w:val="center"/>
            </w:pPr>
            <w:r>
              <w:rPr>
                <w:rFonts w:ascii="Times New Roman" w:hAnsi="Times New Roman"/>
                <w:b w:val="0"/>
                <w:i w:val="0"/>
                <w:color w:val="000000"/>
                <w:sz w:val="16"/>
              </w:rPr>
              <w:t>98.75%</w:t>
            </w:r>
          </w:p>
        </w:tc>
      </w:tr>
      <w:tr>
        <w:tc>
          <w:tcPr>
            <w:tcW w:type="dxa" w:w="1491"/>
          </w:tcPr>
          <w:p>
            <w:pPr>
              <w:jc w:val="center"/>
            </w:pPr>
            <w:r>
              <w:rPr>
                <w:rFonts w:ascii="Times New Roman" w:hAnsi="Times New Roman"/>
                <w:b w:val="0"/>
                <w:i w:val="0"/>
                <w:color w:val="000000"/>
                <w:sz w:val="16"/>
              </w:rPr>
              <w:t>Optimized Standalone BERT</w:t>
            </w:r>
          </w:p>
        </w:tc>
        <w:tc>
          <w:tcPr>
            <w:tcW w:type="dxa" w:w="1491"/>
          </w:tcPr>
          <w:p>
            <w:pPr>
              <w:jc w:val="center"/>
            </w:pPr>
            <w:r>
              <w:rPr>
                <w:rFonts w:ascii="Times New Roman" w:hAnsi="Times New Roman"/>
                <w:b w:val="0"/>
                <w:i w:val="0"/>
                <w:color w:val="000000"/>
                <w:sz w:val="16"/>
              </w:rPr>
              <w:t>99.02%</w:t>
            </w:r>
          </w:p>
        </w:tc>
        <w:tc>
          <w:tcPr>
            <w:tcW w:type="dxa" w:w="1491"/>
          </w:tcPr>
          <w:p>
            <w:pPr>
              <w:jc w:val="center"/>
            </w:pPr>
            <w:r>
              <w:rPr>
                <w:rFonts w:ascii="Times New Roman" w:hAnsi="Times New Roman"/>
                <w:b w:val="0"/>
                <w:i w:val="0"/>
                <w:color w:val="000000"/>
                <w:sz w:val="16"/>
              </w:rPr>
              <w:t>91.57%</w:t>
            </w:r>
          </w:p>
        </w:tc>
        <w:tc>
          <w:tcPr>
            <w:tcW w:type="dxa" w:w="1491"/>
          </w:tcPr>
          <w:p>
            <w:pPr>
              <w:jc w:val="center"/>
            </w:pPr>
            <w:r>
              <w:rPr>
                <w:rFonts w:ascii="Times New Roman" w:hAnsi="Times New Roman"/>
                <w:b w:val="0"/>
                <w:i w:val="0"/>
                <w:color w:val="000000"/>
                <w:sz w:val="16"/>
              </w:rPr>
              <w:t>87.86%</w:t>
            </w:r>
          </w:p>
        </w:tc>
        <w:tc>
          <w:tcPr>
            <w:tcW w:type="dxa" w:w="1491"/>
          </w:tcPr>
          <w:p>
            <w:pPr>
              <w:jc w:val="center"/>
            </w:pPr>
            <w:r>
              <w:rPr>
                <w:rFonts w:ascii="Times New Roman" w:hAnsi="Times New Roman"/>
                <w:b w:val="0"/>
                <w:i w:val="0"/>
                <w:color w:val="000000"/>
                <w:sz w:val="16"/>
              </w:rPr>
              <w:t>89.68%</w:t>
            </w:r>
          </w:p>
        </w:tc>
        <w:tc>
          <w:tcPr>
            <w:tcW w:type="dxa" w:w="1491"/>
          </w:tcPr>
          <w:p>
            <w:pPr>
              <w:jc w:val="center"/>
            </w:pPr>
            <w:r>
              <w:rPr>
                <w:rFonts w:ascii="Times New Roman" w:hAnsi="Times New Roman"/>
                <w:b w:val="0"/>
                <w:i w:val="0"/>
                <w:color w:val="000000"/>
                <w:sz w:val="16"/>
              </w:rPr>
              <w:t>94.58%</w:t>
            </w:r>
          </w:p>
        </w:tc>
        <w:tc>
          <w:tcPr>
            <w:tcW w:type="dxa" w:w="1491"/>
          </w:tcPr>
          <w:p>
            <w:pPr>
              <w:jc w:val="center"/>
            </w:pPr>
            <w:r>
              <w:rPr>
                <w:rFonts w:ascii="Times New Roman" w:hAnsi="Times New Roman"/>
                <w:b w:val="0"/>
                <w:i w:val="0"/>
                <w:color w:val="000000"/>
                <w:sz w:val="16"/>
              </w:rPr>
              <w:t>99.22%</w:t>
            </w:r>
          </w:p>
        </w:tc>
      </w:tr>
    </w:tbl>
    <w:p>
      <w:pPr>
        <w:spacing w:after="80"/>
      </w:pPr>
    </w:p>
    <w:p>
      <w:pPr>
        <w:spacing w:line="252" w:lineRule="auto" w:after="80"/>
        <w:ind w:firstLine="216"/>
        <w:jc w:val="both"/>
      </w:pPr>
      <w:r>
        <w:rPr>
          <w:rFonts w:ascii="Times New Roman" w:hAnsi="Times New Roman"/>
          <w:b w:val="0"/>
          <w:i w:val="0"/>
          <w:color w:val="000000"/>
          <w:sz w:val="20"/>
        </w:rPr>
        <w:t xml:space="preserve">As shown in Table I, traditional machine learning models show reasonable accuracy but suffer from lower F1-scores. Random Forest achieves perfect precision (100.00%) but low recall (55.49%). Standalone BERT achieves an F1-score of 89.68% and a macro F1 of 94.58%. Our proposed hybrid BERT-BiLSTM framework achieves an F1-score of 88.22% and a macro F1 of 93.82%, directly outperforming the reported baselines from previous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due to our optimized preprocessing and class-weight calibration.</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3. ROC Curves comparison for all evaluated models on EMSCAD test set.</w:t>
      </w:r>
    </w:p>
    <w:p>
      <w:pPr>
        <w:keepNext/>
        <w:spacing w:before="16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evaluate the contributions of our design steps, we perform an ablation study. Table II summarizes the ablation analysis.</w:t>
      </w:r>
    </w:p>
    <w:p>
      <w:pPr>
        <w:keepNext/>
        <w:spacing w:before="160" w:after="80"/>
        <w:jc w:val="center"/>
      </w:pPr>
      <w:r>
        <w:rPr>
          <w:rFonts w:ascii="Times New Roman" w:hAnsi="Times New Roman"/>
          <w:b/>
          <w:i w:val="0"/>
          <w:color w:val="000000"/>
          <w:sz w:val="16"/>
        </w:rPr>
        <w:t>TABLE II: Ablation Study of Proposed Architecture</w:t>
      </w:r>
    </w:p>
    <w:tbl>
      <w:tblPr>
        <w:tblW w:type="auto" w:w="0"/>
        <w:jc w:val="center"/>
        <w:tblLook w:firstColumn="1" w:firstRow="1" w:lastColumn="0" w:lastRow="0" w:noHBand="0" w:noVBand="1" w:val="04A0"/>
      </w:tblPr>
      <w:tblGrid>
        <w:gridCol w:w="2610"/>
        <w:gridCol w:w="2610"/>
        <w:gridCol w:w="2610"/>
        <w:gridCol w:w="2610"/>
      </w:tblGrid>
      <w:tr>
        <w:tc>
          <w:tcPr>
            <w:tcW w:type="dxa" w:w="2610"/>
          </w:tcPr>
          <w:p>
            <w:pPr>
              <w:jc w:val="center"/>
            </w:pPr>
            <w:r>
              <w:rPr>
                <w:rFonts w:ascii="Times New Roman" w:hAnsi="Times New Roman"/>
                <w:b/>
                <w:i w:val="0"/>
                <w:color w:val="000000"/>
                <w:sz w:val="16"/>
              </w:rPr>
              <w:t>Embedding Layer</w:t>
            </w:r>
          </w:p>
        </w:tc>
        <w:tc>
          <w:tcPr>
            <w:tcW w:type="dxa" w:w="2610"/>
          </w:tcPr>
          <w:p>
            <w:pPr>
              <w:jc w:val="center"/>
            </w:pPr>
            <w:r>
              <w:rPr>
                <w:rFonts w:ascii="Times New Roman" w:hAnsi="Times New Roman"/>
                <w:b/>
                <w:i w:val="0"/>
                <w:color w:val="000000"/>
                <w:sz w:val="16"/>
              </w:rPr>
              <w:t>Classifier Head</w:t>
            </w:r>
          </w:p>
        </w:tc>
        <w:tc>
          <w:tcPr>
            <w:tcW w:type="dxa" w:w="2610"/>
          </w:tcPr>
          <w:p>
            <w:pPr>
              <w:jc w:val="center"/>
            </w:pPr>
            <w:r>
              <w:rPr>
                <w:rFonts w:ascii="Times New Roman" w:hAnsi="Times New Roman"/>
                <w:b/>
                <w:i w:val="0"/>
                <w:color w:val="000000"/>
                <w:sz w:val="16"/>
              </w:rPr>
              <w:t>Class 1 F1-score</w:t>
            </w:r>
          </w:p>
        </w:tc>
        <w:tc>
          <w:tcPr>
            <w:tcW w:type="dxa" w:w="2610"/>
          </w:tcPr>
          <w:p>
            <w:pPr>
              <w:jc w:val="center"/>
            </w:pPr>
            <w:r>
              <w:rPr>
                <w:rFonts w:ascii="Times New Roman" w:hAnsi="Times New Roman"/>
                <w:b/>
                <w:i w:val="0"/>
                <w:color w:val="000000"/>
                <w:sz w:val="16"/>
              </w:rPr>
              <w:t>F1 Gain</w:t>
            </w:r>
          </w:p>
        </w:tc>
      </w:tr>
      <w:tr>
        <w:tc>
          <w:tcPr>
            <w:tcW w:type="dxa" w:w="2610"/>
          </w:tcPr>
          <w:p>
            <w:pPr>
              <w:jc w:val="center"/>
            </w:pPr>
            <w:r>
              <w:rPr>
                <w:rFonts w:ascii="Times New Roman" w:hAnsi="Times New Roman"/>
                <w:b w:val="0"/>
                <w:i w:val="0"/>
                <w:color w:val="000000"/>
                <w:sz w:val="16"/>
              </w:rPr>
              <w:t>Static (Embedding Layer)</w:t>
            </w:r>
          </w:p>
        </w:tc>
        <w:tc>
          <w:tcPr>
            <w:tcW w:type="dxa" w:w="2610"/>
          </w:tcPr>
          <w:p>
            <w:pPr>
              <w:jc w:val="center"/>
            </w:pPr>
            <w:r>
              <w:rPr>
                <w:rFonts w:ascii="Times New Roman" w:hAnsi="Times New Roman"/>
                <w:b w:val="0"/>
                <w:i w:val="0"/>
                <w:color w:val="000000"/>
                <w:sz w:val="16"/>
              </w:rPr>
              <w:t>Bi-LSTM + Max Pool</w:t>
            </w:r>
          </w:p>
        </w:tc>
        <w:tc>
          <w:tcPr>
            <w:tcW w:type="dxa" w:w="2610"/>
          </w:tcPr>
          <w:p>
            <w:pPr>
              <w:jc w:val="center"/>
            </w:pPr>
            <w:r>
              <w:rPr>
                <w:rFonts w:ascii="Times New Roman" w:hAnsi="Times New Roman"/>
                <w:b w:val="0"/>
                <w:i w:val="0"/>
                <w:color w:val="000000"/>
                <w:sz w:val="16"/>
              </w:rPr>
              <w:t>80.46%</w:t>
            </w:r>
          </w:p>
        </w:tc>
        <w:tc>
          <w:tcPr>
            <w:tcW w:type="dxa" w:w="2610"/>
          </w:tcPr>
          <w:p>
            <w:pPr>
              <w:jc w:val="center"/>
            </w:pPr>
            <w:r>
              <w:rPr>
                <w:rFonts w:ascii="Times New Roman" w:hAnsi="Times New Roman"/>
                <w:b w:val="0"/>
                <w:i w:val="0"/>
                <w:color w:val="000000"/>
                <w:sz w:val="16"/>
              </w:rPr>
              <w:t>Baseline</w:t>
            </w:r>
          </w:p>
        </w:tc>
      </w:tr>
      <w:tr>
        <w:tc>
          <w:tcPr>
            <w:tcW w:type="dxa" w:w="2610"/>
          </w:tcPr>
          <w:p>
            <w:pPr>
              <w:jc w:val="center"/>
            </w:pPr>
            <w:r>
              <w:rPr>
                <w:rFonts w:ascii="Times New Roman" w:hAnsi="Times New Roman"/>
                <w:b w:val="0"/>
                <w:i w:val="0"/>
                <w:color w:val="000000"/>
                <w:sz w:val="16"/>
              </w:rPr>
              <w:t>Contextual (BERT-base)</w:t>
            </w:r>
          </w:p>
        </w:tc>
        <w:tc>
          <w:tcPr>
            <w:tcW w:type="dxa" w:w="2610"/>
          </w:tcPr>
          <w:p>
            <w:pPr>
              <w:jc w:val="center"/>
            </w:pPr>
            <w:r>
              <w:rPr>
                <w:rFonts w:ascii="Times New Roman" w:hAnsi="Times New Roman"/>
                <w:b w:val="0"/>
                <w:i w:val="0"/>
                <w:color w:val="000000"/>
                <w:sz w:val="16"/>
              </w:rPr>
              <w:t>Linear (on [CLS])</w:t>
            </w:r>
          </w:p>
        </w:tc>
        <w:tc>
          <w:tcPr>
            <w:tcW w:type="dxa" w:w="2610"/>
          </w:tcPr>
          <w:p>
            <w:pPr>
              <w:jc w:val="center"/>
            </w:pPr>
            <w:r>
              <w:rPr>
                <w:rFonts w:ascii="Times New Roman" w:hAnsi="Times New Roman"/>
                <w:b w:val="0"/>
                <w:i w:val="0"/>
                <w:color w:val="000000"/>
                <w:sz w:val="16"/>
              </w:rPr>
              <w:t>86.41%</w:t>
            </w:r>
          </w:p>
        </w:tc>
        <w:tc>
          <w:tcPr>
            <w:tcW w:type="dxa" w:w="2610"/>
          </w:tcPr>
          <w:p>
            <w:pPr>
              <w:jc w:val="center"/>
            </w:pPr>
            <w:r>
              <w:rPr>
                <w:rFonts w:ascii="Times New Roman" w:hAnsi="Times New Roman"/>
                <w:b w:val="0"/>
                <w:i w:val="0"/>
                <w:color w:val="000000"/>
                <w:sz w:val="16"/>
              </w:rPr>
              <w:t>+5.95%</w:t>
            </w:r>
          </w:p>
        </w:tc>
      </w:tr>
      <w:tr>
        <w:tc>
          <w:tcPr>
            <w:tcW w:type="dxa" w:w="2610"/>
          </w:tcPr>
          <w:p>
            <w:pPr>
              <w:jc w:val="center"/>
            </w:pPr>
            <w:r>
              <w:rPr>
                <w:rFonts w:ascii="Times New Roman" w:hAnsi="Times New Roman"/>
                <w:b w:val="0"/>
                <w:i w:val="0"/>
                <w:color w:val="000000"/>
                <w:sz w:val="16"/>
              </w:rPr>
              <w:t>Contextual (BERT-base)</w:t>
            </w:r>
          </w:p>
        </w:tc>
        <w:tc>
          <w:tcPr>
            <w:tcW w:type="dxa" w:w="2610"/>
          </w:tcPr>
          <w:p>
            <w:pPr>
              <w:jc w:val="center"/>
            </w:pPr>
            <w:r>
              <w:rPr>
                <w:rFonts w:ascii="Times New Roman" w:hAnsi="Times New Roman"/>
                <w:b w:val="0"/>
                <w:i w:val="0"/>
                <w:color w:val="000000"/>
                <w:sz w:val="16"/>
              </w:rPr>
              <w:t>Linear (on Avg Pool)</w:t>
            </w:r>
          </w:p>
        </w:tc>
        <w:tc>
          <w:tcPr>
            <w:tcW w:type="dxa" w:w="2610"/>
          </w:tcPr>
          <w:p>
            <w:pPr>
              <w:jc w:val="center"/>
            </w:pPr>
            <w:r>
              <w:rPr>
                <w:rFonts w:ascii="Times New Roman" w:hAnsi="Times New Roman"/>
                <w:b w:val="0"/>
                <w:i w:val="0"/>
                <w:color w:val="000000"/>
                <w:sz w:val="16"/>
              </w:rPr>
              <w:t>87.12%</w:t>
            </w:r>
          </w:p>
        </w:tc>
        <w:tc>
          <w:tcPr>
            <w:tcW w:type="dxa" w:w="2610"/>
          </w:tcPr>
          <w:p>
            <w:pPr>
              <w:jc w:val="center"/>
            </w:pPr>
            <w:r>
              <w:rPr>
                <w:rFonts w:ascii="Times New Roman" w:hAnsi="Times New Roman"/>
                <w:b w:val="0"/>
                <w:i w:val="0"/>
                <w:color w:val="000000"/>
                <w:sz w:val="16"/>
              </w:rPr>
              <w:t>+6.66%</w:t>
            </w:r>
          </w:p>
        </w:tc>
      </w:tr>
      <w:tr>
        <w:tc>
          <w:tcPr>
            <w:tcW w:type="dxa" w:w="2610"/>
          </w:tcPr>
          <w:p>
            <w:pPr>
              <w:jc w:val="center"/>
            </w:pPr>
            <w:r>
              <w:rPr>
                <w:rFonts w:ascii="Times New Roman" w:hAnsi="Times New Roman"/>
                <w:b w:val="0"/>
                <w:i w:val="0"/>
                <w:color w:val="000000"/>
                <w:sz w:val="16"/>
              </w:rPr>
              <w:t>Contextual (BERT-base)</w:t>
            </w:r>
          </w:p>
        </w:tc>
        <w:tc>
          <w:tcPr>
            <w:tcW w:type="dxa" w:w="2610"/>
          </w:tcPr>
          <w:p>
            <w:pPr>
              <w:jc w:val="center"/>
            </w:pPr>
            <w:r>
              <w:rPr>
                <w:rFonts w:ascii="Times New Roman" w:hAnsi="Times New Roman"/>
                <w:b w:val="0"/>
                <w:i w:val="0"/>
                <w:color w:val="000000"/>
                <w:sz w:val="16"/>
              </w:rPr>
              <w:t>Bi-LSTM + Max Pool</w:t>
            </w:r>
          </w:p>
        </w:tc>
        <w:tc>
          <w:tcPr>
            <w:tcW w:type="dxa" w:w="2610"/>
          </w:tcPr>
          <w:p>
            <w:pPr>
              <w:jc w:val="center"/>
            </w:pPr>
            <w:r>
              <w:rPr>
                <w:rFonts w:ascii="Times New Roman" w:hAnsi="Times New Roman"/>
                <w:b w:val="0"/>
                <w:i w:val="0"/>
                <w:color w:val="000000"/>
                <w:sz w:val="16"/>
              </w:rPr>
              <w:t>88.22%</w:t>
            </w:r>
          </w:p>
        </w:tc>
        <w:tc>
          <w:tcPr>
            <w:tcW w:type="dxa" w:w="2610"/>
          </w:tcPr>
          <w:p>
            <w:pPr>
              <w:jc w:val="center"/>
            </w:pPr>
            <w:r>
              <w:rPr>
                <w:rFonts w:ascii="Times New Roman" w:hAnsi="Times New Roman"/>
                <w:b w:val="0"/>
                <w:i w:val="0"/>
                <w:color w:val="000000"/>
                <w:sz w:val="16"/>
              </w:rPr>
              <w:t>+7.76%</w:t>
            </w:r>
          </w:p>
        </w:tc>
      </w:tr>
    </w:tbl>
    <w:p>
      <w:pPr>
        <w:spacing w:after="80"/>
      </w:pPr>
    </w:p>
    <w:p>
      <w:pPr>
        <w:keepNext/>
        <w:spacing w:before="160" w:after="80"/>
        <w:jc w:val="left"/>
      </w:pPr>
      <w:r>
        <w:rPr>
          <w:rFonts w:ascii="Times New Roman" w:hAnsi="Times New Roman"/>
          <w:b w:val="0"/>
          <w:i/>
          <w:color w:val="000000"/>
          <w:sz w:val="20"/>
        </w:rPr>
        <w:t>C. Error Analysis</w:t>
      </w:r>
    </w:p>
    <w:p>
      <w:pPr>
        <w:spacing w:line="252" w:lineRule="auto" w:after="80"/>
        <w:ind w:firstLine="216"/>
        <w:jc w:val="both"/>
      </w:pPr>
      <w:r>
        <w:rPr>
          <w:rFonts w:ascii="Times New Roman" w:hAnsi="Times New Roman"/>
          <w:b w:val="0"/>
          <w:i w:val="0"/>
          <w:color w:val="000000"/>
          <w:sz w:val="20"/>
        </w:rPr>
        <w:t>To understand the limitations of our model, we audited the misclassified cases in the test set. 1) False Positives occurred in job postings containing aggressive recruitment jargon or lacking corporate identification metadata, such as generic email domains. 2) False Negatives occurred in highly sophisticated scams where fraudsters cloned the exact text of reputable organizations and only modified the contact email domain, demonstrating a need for metadata verification.</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model on EMSCAD test set.</w:t>
      </w:r>
    </w:p>
    <w:p>
      <w:pPr>
        <w:keepNext/>
        <w:spacing w:before="240" w:after="120"/>
        <w:jc w:val="center"/>
      </w:pPr>
      <w:r>
        <w:rPr>
          <w:rFonts w:ascii="Times New Roman" w:hAnsi="Times New Roman"/>
          <w:b/>
          <w:i w:val="0"/>
          <w:color w:val="000000"/>
          <w:sz w:val="20"/>
        </w:rPr>
        <w:t>VII.  CONCLUSION AND FUTURE SCOPE</w:t>
      </w:r>
    </w:p>
    <w:p>
      <w:pPr>
        <w:spacing w:line="252" w:lineRule="auto" w:after="80"/>
        <w:ind w:firstLine="216"/>
        <w:jc w:val="both"/>
      </w:pPr>
      <w:r>
        <w:rPr>
          <w:rFonts w:ascii="Times New Roman" w:hAnsi="Times New Roman"/>
          <w:b w:val="0"/>
          <w:i w:val="0"/>
          <w:color w:val="000000"/>
          <w:sz w:val="20"/>
        </w:rPr>
        <w:t>This paper presented automated fraud detection architectures evaluated on the imbalanced EMSCAD dataset. By implementing a robust 10-field concatenation helper and optimizing class weights, our models achieve high classification F1 scores. Incorporating SHAP values addresses the interpretability challenge, providing transparent token attribution analysis. In future work, we plan to extend this framework by evaluating it on multi-source datasets to check cross-platform generalizability.</w:t>
      </w:r>
    </w:p>
    <w:p>
      <w:pPr>
        <w:keepNext/>
        <w:spacing w:before="24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