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00"/>
        <w:jc w:val="center"/>
      </w:pPr>
      <w:r>
        <w:rPr>
          <w:rFonts w:ascii="Times New Roman" w:hAnsi="Times New Roman"/>
          <w:b/>
          <w:i w:val="0"/>
          <w:color w:val="000000"/>
          <w:sz w:val="44"/>
        </w:rPr>
        <w:t>An Explainable and Sequence-Preserving BERT-BiLSTM Framework for</w:t>
        <w:br/>
        <w:t>Online Recruitment Fraud Detection</w:t>
      </w:r>
    </w:p>
    <w:p>
      <w:pPr>
        <w:spacing w:after="280"/>
        <w:jc w:val="center"/>
      </w:pPr>
      <w:r>
        <w:rPr>
          <w:rFonts w:ascii="Times New Roman" w:hAnsi="Times New Roman"/>
          <w:b w:val="0"/>
          <w:i w:val="0"/>
          <w:color w:val="000000"/>
          <w:sz w:val="21"/>
        </w:rPr>
        <w:t>Akhilesh</w:t>
        <w:br/>
        <w:t>Department of Computer Science and Engineering</w:t>
        <w:br/>
        <w:t>M.Sc. (Data Science)</w:t>
        <w:br/>
        <w:t>India</w:t>
        <w:br/>
        <w:t>email@example.com</w:t>
      </w:r>
    </w:p>
    <w:p>
      <w:pPr>
        <w:sectPr>
          <w:pgSz w:w="12240" w:h="15840"/>
          <w:pgMar w:top="1080" w:right="900" w:bottom="1224" w:left="900" w:header="720" w:footer="720" w:gutter="0"/>
          <w:cols w:space="720"/>
          <w:docGrid w:linePitch="360"/>
        </w:sectPr>
      </w:pPr>
    </w:p>
    <w:p>
      <w:pPr>
        <w:spacing w:after="100"/>
        <w:ind w:firstLine="216"/>
        <w:jc w:val="both"/>
      </w:pPr>
      <w:r>
        <w:rPr>
          <w:rFonts w:ascii="Times New Roman" w:hAnsi="Times New Roman"/>
          <w:b/>
          <w:i/>
          <w:color w:val="000000"/>
          <w:sz w:val="18"/>
        </w:rPr>
        <w:t>Abstract---</w:t>
      </w:r>
      <w:r>
        <w:rPr>
          <w:rFonts w:ascii="Times New Roman" w:hAnsi="Times New Roman"/>
          <w:b/>
          <w:i w:val="0"/>
          <w:color w:val="000000"/>
          <w:sz w:val="18"/>
        </w:rPr>
        <w:t>Online recruitment platforms streamline candidate searches but also allow scammers to publish fraudulent job posts. These fake postings aim to steal personal identification details or extract illicit fees from job seekers. Manual inspection of job ads is slow and difficult because scammers copy legitimate company profiles. Traditional machine learning models fail to capture semantic context, while standard transformer architectures discard intermediate sequential structure by relying solely on a single classification vector. This paper presents an explainable, sequence-preserving hybrid framework combining Bidirectional Encoder Representations from Transformers (BERT) and a 2-layer Bidirectional Long Short-Term Memory (Bi-LSTM) network. The model fine-tunes bert-base-uncased to extract context-rich token hidden states, which are then passed to a 2-layer Bi-LSTM to retain sequential syntax. We address severe class imbalance using a class-weighted binary cross-entropy loss function. Furthermore, we integrate SHAP (SHapley Additive exPlanations) for token-level visual explainability, resolving the black-box limitation of deep networks. Following standard macro-averaged evaluation, our proposed framework achieves a precision of 0.97, recall of 0.92, F1-score of 0.94, accuracy of 0.99 (99.02%), and a ROC-AUC of 0.99 (0.9902) on the EMSCAD dataset. This setup outperforms the published Fraud-BERT baseline across all evaluated metrics and provides a transparent classification pipeline.</w:t>
      </w:r>
    </w:p>
    <w:p>
      <w:pPr>
        <w:spacing w:after="200"/>
        <w:ind w:firstLine="216"/>
        <w:jc w:val="both"/>
      </w:pPr>
      <w:r>
        <w:rPr>
          <w:rFonts w:ascii="Times New Roman" w:hAnsi="Times New Roman"/>
          <w:b/>
          <w:i/>
          <w:color w:val="000000"/>
          <w:sz w:val="18"/>
        </w:rPr>
        <w:t>Keywords---</w:t>
      </w:r>
      <w:r>
        <w:rPr>
          <w:rFonts w:ascii="Times New Roman" w:hAnsi="Times New Roman"/>
          <w:b w:val="0"/>
          <w:i w:val="0"/>
          <w:color w:val="000000"/>
          <w:sz w:val="18"/>
        </w:rPr>
        <w:t>Online Recruitment Fraud, Fake Job Detection, Transformers, BERT, Bi-LSTM, Explainable AI, SHAP.</w:t>
      </w:r>
    </w:p>
    <w:p>
      <w:pPr>
        <w:keepNext/>
        <w:spacing w:before="200" w:after="80"/>
        <w:jc w:val="center"/>
      </w:pPr>
      <w:r>
        <w:rPr>
          <w:rFonts w:ascii="Times New Roman" w:hAnsi="Times New Roman"/>
          <w:b/>
          <w:i w:val="0"/>
          <w:color w:val="000000"/>
          <w:sz w:val="20"/>
        </w:rPr>
        <w:t>I.  INTRODUCTION</w:t>
      </w:r>
    </w:p>
    <w:p>
      <w:pPr>
        <w:spacing w:line="252" w:lineRule="auto" w:after="60"/>
        <w:ind w:firstLine="216"/>
        <w:jc w:val="both"/>
      </w:pPr>
      <w:r>
        <w:rPr>
          <w:rFonts w:ascii="Times New Roman" w:hAnsi="Times New Roman"/>
          <w:b w:val="0"/>
          <w:i w:val="0"/>
          <w:color w:val="000000"/>
          <w:sz w:val="20"/>
        </w:rPr>
        <w:t xml:space="preserve">Online job portals like LinkedIn and Indeed have simplified recruitment, allowing companies to post job openings and connect with applicants quickly. However, these open platforms are vulnerable to Online Recruitment Fraud (ORF)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Scammers publish fake job listings to obtain sensitive applicant data, such as national identification numbers and banking credentials, or to demand advance fees for visas, training, or equipment </w:t>
      </w:r>
      <w:hyperlink w:anchor="ref_3">
        <w:r>
          <w:rPr>
            <w:rFonts w:ascii="Times New Roman" w:hAnsi="Times New Roman"/>
            <w:sz w:val="20"/>
            <w:u w:val="single"/>
            <w:color w:val="0000FF"/>
          </w:rPr>
          <w:t>[3]</w:t>
        </w:r>
      </w:hyperlink>
      <w:r>
        <w:rPr>
          <w:rFonts w:ascii="Times New Roman" w:hAnsi="Times New Roman"/>
          <w:b w:val="0"/>
          <w:i w:val="0"/>
          <w:color w:val="000000"/>
          <w:sz w:val="20"/>
        </w:rPr>
        <w:t>. Because these fraudulent postings are crafted using standard corporate terminology, manual inspection by platform moderators is slow and error-prone.</w:t>
      </w:r>
    </w:p>
    <w:p>
      <w:pPr>
        <w:spacing w:line="252" w:lineRule="auto" w:after="60"/>
        <w:ind w:firstLine="216"/>
        <w:jc w:val="both"/>
      </w:pPr>
      <w:r>
        <w:rPr>
          <w:rFonts w:ascii="Times New Roman" w:hAnsi="Times New Roman"/>
          <w:b w:val="0"/>
          <w:i w:val="0"/>
          <w:color w:val="000000"/>
          <w:sz w:val="20"/>
        </w:rPr>
        <w:t xml:space="preserve">Identifying these listings automatically requires natural language processing models capable of recognizing deceptive language. Early approaches used machine learning models like Logistic Regression and Random Forest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These models rely on TF-IDF or Bag-of-Words features, which produce sparse vectors that ignore word order and semantic context. Deep learning models, such as standard LSTMs and GRUs, capture sequence information but often use static embeddings like Word2Vec </w:t>
      </w:r>
      <w:hyperlink w:anchor="ref_2">
        <w:r>
          <w:rPr>
            <w:rFonts w:ascii="Times New Roman" w:hAnsi="Times New Roman"/>
            <w:sz w:val="20"/>
            <w:u w:val="single"/>
            <w:color w:val="0000FF"/>
          </w:rPr>
          <w:t>[2]</w:t>
        </w:r>
      </w:hyperlink>
      <w:r>
        <w:rPr>
          <w:rFonts w:ascii="Times New Roman" w:hAnsi="Times New Roman"/>
          <w:b w:val="0"/>
          <w:i w:val="0"/>
          <w:color w:val="000000"/>
          <w:sz w:val="20"/>
        </w:rPr>
        <w:t>. Since static vectors assign the same representation to a word regardless of where it appears, they struggle to capture polysemy and semantic shifts across fraudulent postings.</w:t>
      </w:r>
    </w:p>
    <w:p>
      <w:pPr>
        <w:spacing w:line="252" w:lineRule="auto" w:after="60"/>
        <w:ind w:firstLine="216"/>
        <w:jc w:val="both"/>
      </w:pPr>
      <w:r>
        <w:rPr>
          <w:rFonts w:ascii="Times New Roman" w:hAnsi="Times New Roman"/>
          <w:b w:val="0"/>
          <w:i w:val="0"/>
          <w:color w:val="000000"/>
          <w:sz w:val="20"/>
        </w:rPr>
        <w:t xml:space="preserve">Pre-trained transformer models, particularly BERT, resolved context representation issues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w:t>
      </w:r>
      <w:hyperlink w:anchor="ref_7">
        <w:r>
          <w:rPr>
            <w:rFonts w:ascii="Times New Roman" w:hAnsi="Times New Roman"/>
            <w:sz w:val="20"/>
            <w:u w:val="single"/>
            <w:color w:val="0000FF"/>
          </w:rPr>
          <w:t>[7]</w:t>
        </w:r>
      </w:hyperlink>
      <w:r>
        <w:rPr>
          <w:rFonts w:ascii="Times New Roman" w:hAnsi="Times New Roman"/>
          <w:b w:val="0"/>
          <w:i w:val="0"/>
          <w:color w:val="000000"/>
          <w:sz w:val="20"/>
        </w:rPr>
        <w:t>. BERT uses bidirectional self-attention to generate context-aware token representations. However, standard BERT classifiers pass only the classification token ([CLS]) to the output layer, discarding token-level sequential and contextual details across the text. Furthermore, deep neural network classifiers function as black boxes, preventing platform administrators from explaining why a particular listing was flagged as fraudulent. This lack of interpretability is a major barrier to deploying automated screening tools in production recruitment platforms.</w:t>
      </w:r>
    </w:p>
    <w:p>
      <w:pPr>
        <w:spacing w:line="252" w:lineRule="auto" w:after="60"/>
        <w:ind w:firstLine="216"/>
        <w:jc w:val="both"/>
      </w:pPr>
      <w:r>
        <w:rPr>
          <w:rFonts w:ascii="Times New Roman" w:hAnsi="Times New Roman"/>
          <w:b w:val="0"/>
          <w:i w:val="0"/>
          <w:color w:val="000000"/>
          <w:sz w:val="20"/>
        </w:rPr>
        <w:t xml:space="preserve">To resolve these limitations, we propose a hybrid </w:t>
      </w:r>
      <w:r>
        <w:rPr>
          <w:rFonts w:ascii="Times New Roman" w:hAnsi="Times New Roman"/>
          <w:b/>
          <w:i w:val="0"/>
          <w:color w:val="000000"/>
          <w:sz w:val="20"/>
        </w:rPr>
        <w:t>BERT-BiLSTM</w:t>
      </w:r>
      <w:r>
        <w:rPr>
          <w:rFonts w:ascii="Times New Roman" w:hAnsi="Times New Roman"/>
          <w:b w:val="0"/>
          <w:i w:val="0"/>
          <w:color w:val="000000"/>
          <w:sz w:val="20"/>
        </w:rPr>
        <w:t xml:space="preserve"> framework. Our approach uses a fine-tuned </w:t>
      </w:r>
      <w:r>
        <w:rPr>
          <w:rFonts w:ascii="Times New Roman" w:hAnsi="Times New Roman"/>
          <w:b/>
          <w:i w:val="0"/>
          <w:color w:val="000000"/>
          <w:sz w:val="20"/>
        </w:rPr>
        <w:t>bert-base-uncased</w:t>
      </w:r>
      <w:r>
        <w:rPr>
          <w:rFonts w:ascii="Times New Roman" w:hAnsi="Times New Roman"/>
          <w:b w:val="0"/>
          <w:i w:val="0"/>
          <w:color w:val="000000"/>
          <w:sz w:val="20"/>
        </w:rPr>
        <w:t xml:space="preserve"> model to extract context-rich token embeddings. Instead of discarding the sequence, we feed the full sequence hidden states to a </w:t>
      </w:r>
      <w:r>
        <w:rPr>
          <w:rFonts w:ascii="Times New Roman" w:hAnsi="Times New Roman"/>
          <w:b/>
          <w:i w:val="0"/>
          <w:color w:val="000000"/>
          <w:sz w:val="20"/>
        </w:rPr>
        <w:t>2-layer Bidirectional LSTM (Bi-LSTM)</w:t>
      </w:r>
      <w:r>
        <w:rPr>
          <w:rFonts w:ascii="Times New Roman" w:hAnsi="Times New Roman"/>
          <w:b w:val="0"/>
          <w:i w:val="0"/>
          <w:color w:val="000000"/>
          <w:sz w:val="20"/>
        </w:rPr>
        <w:t xml:space="preserve"> network to analyze sequential syntax and long-range word relationships. To address the class imbalance of the EMSCAD dataset (where fake ads constitute less than 5% of postings), we apply a class-weighted loss function. Crucially, we integrate </w:t>
      </w:r>
      <w:r>
        <w:rPr>
          <w:rFonts w:ascii="Times New Roman" w:hAnsi="Times New Roman"/>
          <w:b/>
          <w:i w:val="0"/>
          <w:color w:val="000000"/>
          <w:sz w:val="20"/>
        </w:rPr>
        <w:t>SHAP (SHapley Additive exPlanations)</w:t>
      </w:r>
      <w:r>
        <w:rPr>
          <w:rFonts w:ascii="Times New Roman" w:hAnsi="Times New Roman"/>
          <w:b w:val="0"/>
          <w:i w:val="0"/>
          <w:color w:val="000000"/>
          <w:sz w:val="20"/>
        </w:rPr>
        <w:t xml:space="preserve"> to extract token attributions, providing complete transparency by showing which words contribute to flagging a job as fake. We validate our model through comparative evaluations and error analyses.</w:t>
      </w:r>
    </w:p>
    <w:p>
      <w:pPr>
        <w:spacing w:line="252" w:lineRule="auto" w:after="60"/>
        <w:ind w:firstLine="216"/>
        <w:jc w:val="both"/>
      </w:pPr>
      <w:r>
        <w:rPr>
          <w:rFonts w:ascii="Times New Roman" w:hAnsi="Times New Roman"/>
          <w:b w:val="0"/>
          <w:i w:val="0"/>
          <w:color w:val="000000"/>
          <w:sz w:val="20"/>
        </w:rPr>
        <w:t>In this work, we outline several contributions. First, we implement a robust preprocessing and concatenation pipeline that combines 10 metadata fields while filtering out null entries and formatting noise. Second, we present a sequence-preserving BERT-BiLSTM architecture that maintains token-level contextual hidden states. Third, we integrate SHAP for token-level visual explainability, addressing the black-box limitation. Finally, we provide a comprehensive empirical evaluation against multiple baselines, detailing macro-averaged and class-specific classification metrics.</w:t>
      </w:r>
    </w:p>
    <w:p>
      <w:pPr>
        <w:keepNext/>
        <w:spacing w:before="200" w:after="80"/>
        <w:jc w:val="center"/>
      </w:pPr>
      <w:r>
        <w:rPr>
          <w:rFonts w:ascii="Times New Roman" w:hAnsi="Times New Roman"/>
          <w:b/>
          <w:i w:val="0"/>
          <w:color w:val="000000"/>
          <w:sz w:val="20"/>
        </w:rPr>
        <w:t>II.  RELATED WORK</w:t>
      </w:r>
    </w:p>
    <w:p>
      <w:pPr>
        <w:spacing w:line="252" w:lineRule="auto" w:after="60"/>
        <w:ind w:firstLine="216"/>
        <w:jc w:val="both"/>
      </w:pPr>
      <w:r>
        <w:rPr>
          <w:rFonts w:ascii="Times New Roman" w:hAnsi="Times New Roman"/>
          <w:b w:val="0"/>
          <w:i w:val="0"/>
          <w:color w:val="000000"/>
          <w:sz w:val="20"/>
        </w:rPr>
        <w:t>Online recruitment fraud detection has received substantial attention as the number of online job boards has expanded. Early research treated this task as a standard binary classification problem.</w:t>
      </w:r>
    </w:p>
    <w:p>
      <w:pPr>
        <w:keepNext/>
        <w:spacing w:before="160" w:after="60"/>
        <w:jc w:val="left"/>
      </w:pPr>
      <w:r>
        <w:rPr>
          <w:rFonts w:ascii="Times New Roman" w:hAnsi="Times New Roman"/>
          <w:b w:val="0"/>
          <w:i/>
          <w:color w:val="000000"/>
          <w:sz w:val="20"/>
        </w:rPr>
        <w:t>A. Machine Learning Approaches</w:t>
      </w:r>
    </w:p>
    <w:p>
      <w:pPr>
        <w:spacing w:line="252" w:lineRule="auto" w:after="60"/>
        <w:ind w:firstLine="216"/>
        <w:jc w:val="both"/>
      </w:pPr>
      <w:r>
        <w:rPr>
          <w:rFonts w:ascii="Times New Roman" w:hAnsi="Times New Roman"/>
          <w:b w:val="0"/>
          <w:i w:val="0"/>
          <w:color w:val="000000"/>
          <w:sz w:val="20"/>
        </w:rPr>
        <w:t xml:space="preserve">Salloum et al. </w:t>
      </w:r>
      <w:hyperlink w:anchor="ref_5">
        <w:r>
          <w:rPr>
            <w:rFonts w:ascii="Times New Roman" w:hAnsi="Times New Roman"/>
            <w:sz w:val="20"/>
            <w:u w:val="single"/>
            <w:color w:val="0000FF"/>
          </w:rPr>
          <w:t>[5]</w:t>
        </w:r>
      </w:hyperlink>
      <w:r>
        <w:rPr>
          <w:rFonts w:ascii="Times New Roman" w:hAnsi="Times New Roman"/>
          <w:b w:val="0"/>
          <w:i w:val="0"/>
          <w:color w:val="000000"/>
          <w:sz w:val="20"/>
        </w:rPr>
        <w:t xml:space="preserve"> applied Logistic Regression and Decision Trees using TF-IDF feature extraction on job texts, achieving an accuracy of 96.78%. However, their evaluation showed high variance in F1-scores, heavily biased toward the majority (genuine) class due to severe data imbalance. Chiraratanasopha and Chay-intr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addressed this limitation by designing custom metadata features reflecting real-world fraud indicators, such as missing company logos, absence of screening questions, and specific salary exaggerations, which yielded an accuracy of 97.64%. Naud{\'e} et al. </w:t>
      </w:r>
      <w:hyperlink w:anchor="ref_3">
        <w:r>
          <w:rPr>
            <w:rFonts w:ascii="Times New Roman" w:hAnsi="Times New Roman"/>
            <w:sz w:val="20"/>
            <w:u w:val="single"/>
            <w:color w:val="0000FF"/>
          </w:rPr>
          <w:t>[3]</w:t>
        </w:r>
      </w:hyperlink>
      <w:r>
        <w:rPr>
          <w:rFonts w:ascii="Times New Roman" w:hAnsi="Times New Roman"/>
          <w:b w:val="0"/>
          <w:i w:val="0"/>
          <w:color w:val="000000"/>
          <w:sz w:val="20"/>
        </w:rPr>
        <w:t xml:space="preserve"> classified fraudulent job postings into specific sub-categories, demonstrating that Gradient Boosting classifiers using POS tags and rule-set features obtained an F1-score of 0.88. Additionally, Habib et al. </w:t>
      </w:r>
      <w:hyperlink w:anchor="ref_9">
        <w:r>
          <w:rPr>
            <w:rFonts w:ascii="Times New Roman" w:hAnsi="Times New Roman"/>
            <w:sz w:val="20"/>
            <w:u w:val="single"/>
            <w:color w:val="0000FF"/>
          </w:rPr>
          <w:t>[9]</w:t>
        </w:r>
      </w:hyperlink>
      <w:r>
        <w:rPr>
          <w:rFonts w:ascii="Times New Roman" w:hAnsi="Times New Roman"/>
          <w:b w:val="0"/>
          <w:i w:val="0"/>
          <w:color w:val="000000"/>
          <w:sz w:val="20"/>
        </w:rPr>
        <w:t xml:space="preserve"> developed an ensemble voting classifier that integrates Random Forest and Naive Bayes to identify job vacancy fraud, showing notable stability on imbalanced sets. Roy et al. </w:t>
      </w:r>
      <w:hyperlink w:anchor="ref_13">
        <w:r>
          <w:rPr>
            <w:rFonts w:ascii="Times New Roman" w:hAnsi="Times New Roman"/>
            <w:sz w:val="20"/>
            <w:u w:val="single"/>
            <w:color w:val="0000FF"/>
          </w:rPr>
          <w:t>[13]</w:t>
        </w:r>
      </w:hyperlink>
      <w:r>
        <w:rPr>
          <w:rFonts w:ascii="Times New Roman" w:hAnsi="Times New Roman"/>
          <w:b w:val="0"/>
          <w:i w:val="0"/>
          <w:color w:val="000000"/>
          <w:sz w:val="20"/>
        </w:rPr>
        <w:t xml:space="preserve"> benchmarked several traditional ML models and noted that Support Vector Machines (SVM) could extract reliable linear decision boundaries on smaller token vocabularies.</w:t>
      </w:r>
    </w:p>
    <w:p>
      <w:pPr>
        <w:keepNext/>
        <w:spacing w:before="160" w:after="60"/>
        <w:jc w:val="left"/>
      </w:pPr>
      <w:r>
        <w:rPr>
          <w:rFonts w:ascii="Times New Roman" w:hAnsi="Times New Roman"/>
          <w:b w:val="0"/>
          <w:i/>
          <w:color w:val="000000"/>
          <w:sz w:val="20"/>
        </w:rPr>
        <w:t>B. Deep Learning and Transformer Models</w:t>
      </w:r>
    </w:p>
    <w:p>
      <w:pPr>
        <w:spacing w:line="252" w:lineRule="auto" w:after="60"/>
        <w:ind w:firstLine="216"/>
        <w:jc w:val="both"/>
      </w:pPr>
      <w:r>
        <w:rPr>
          <w:rFonts w:ascii="Times New Roman" w:hAnsi="Times New Roman"/>
          <w:b w:val="0"/>
          <w:i w:val="0"/>
          <w:color w:val="000000"/>
          <w:sz w:val="20"/>
        </w:rPr>
        <w:t xml:space="preserve">To overcome the sparsity of TF-IDF representations, deep learning models were introduced. Pillai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utilized a Bi-LSTM model trained on static word embeddings to capture temporal sequences in job text. While achieving a high accuracy of 98.71%, the static nature of the embeddings prevented the model from capturing context-specific word variations. Alghamdi and Alharby </w:t>
      </w:r>
      <w:hyperlink w:anchor="ref_10">
        <w:r>
          <w:rPr>
            <w:rFonts w:ascii="Times New Roman" w:hAnsi="Times New Roman"/>
            <w:sz w:val="20"/>
            <w:u w:val="single"/>
            <w:color w:val="0000FF"/>
          </w:rPr>
          <w:t>[10]</w:t>
        </w:r>
      </w:hyperlink>
      <w:r>
        <w:rPr>
          <w:rFonts w:ascii="Times New Roman" w:hAnsi="Times New Roman"/>
          <w:b w:val="0"/>
          <w:i w:val="0"/>
          <w:color w:val="000000"/>
          <w:sz w:val="20"/>
        </w:rPr>
        <w:t xml:space="preserve"> proposed Gated Recurrent Units (GRU) for identifying ORF scams, concluding that GRUs have fewer parameters than LSTMs while achieving similar classification capacity. Kumar and Garg </w:t>
      </w:r>
      <w:hyperlink w:anchor="ref_11">
        <w:r>
          <w:rPr>
            <w:rFonts w:ascii="Times New Roman" w:hAnsi="Times New Roman"/>
            <w:sz w:val="20"/>
            <w:u w:val="single"/>
            <w:color w:val="0000FF"/>
          </w:rPr>
          <w:t>[11]</w:t>
        </w:r>
      </w:hyperlink>
      <w:r>
        <w:rPr>
          <w:rFonts w:ascii="Times New Roman" w:hAnsi="Times New Roman"/>
          <w:b w:val="0"/>
          <w:i w:val="0"/>
          <w:color w:val="000000"/>
          <w:sz w:val="20"/>
        </w:rPr>
        <w:t xml:space="preserve"> investigated deceptive content detection on recruitment platforms using ensemble learning combined with Word2Vec representations. Vidros et al. </w:t>
      </w:r>
      <w:hyperlink w:anchor="ref_12">
        <w:r>
          <w:rPr>
            <w:rFonts w:ascii="Times New Roman" w:hAnsi="Times New Roman"/>
            <w:sz w:val="20"/>
            <w:u w:val="single"/>
            <w:color w:val="0000FF"/>
          </w:rPr>
          <w:t>[12]</w:t>
        </w:r>
      </w:hyperlink>
      <w:r>
        <w:rPr>
          <w:rFonts w:ascii="Times New Roman" w:hAnsi="Times New Roman"/>
          <w:b w:val="0"/>
          <w:i w:val="0"/>
          <w:color w:val="000000"/>
          <w:sz w:val="20"/>
        </w:rPr>
        <w:t xml:space="preserve"> presented a systematic review and classification scheme for ORF, outlining standard guidelines for deep learning architectures in this domain.</w:t>
      </w:r>
    </w:p>
    <w:p>
      <w:pPr>
        <w:spacing w:line="252" w:lineRule="auto" w:after="60"/>
        <w:ind w:firstLine="216"/>
        <w:jc w:val="both"/>
      </w:pPr>
      <w:r>
        <w:rPr>
          <w:rFonts w:ascii="Times New Roman" w:hAnsi="Times New Roman"/>
          <w:b w:val="0"/>
          <w:i w:val="0"/>
          <w:color w:val="000000"/>
          <w:sz w:val="20"/>
        </w:rPr>
        <w:t xml:space="preserve">The emergence of pre-trained transformers solved the static embedding issue. Taneja et al.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proposed </w:t>
      </w:r>
      <w:r>
        <w:rPr>
          <w:rFonts w:ascii="Times New Roman" w:hAnsi="Times New Roman"/>
          <w:b w:val="0"/>
          <w:i/>
          <w:color w:val="000000"/>
          <w:sz w:val="20"/>
        </w:rPr>
        <w:t>Fraud-BERT</w:t>
      </w:r>
      <w:r>
        <w:rPr>
          <w:rFonts w:ascii="Times New Roman" w:hAnsi="Times New Roman"/>
          <w:b w:val="0"/>
          <w:i w:val="0"/>
          <w:color w:val="000000"/>
          <w:sz w:val="20"/>
        </w:rPr>
        <w:t xml:space="preserve">, fine-tuning a BERT classifier on the EMSCAD dataset and reporting a macro F1-score of 0.93 and accuracy of 99%. Similarly, Sanisetty et al.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combined BERT with sentiment polarity analysis to model the emotional tone of descriptions. Gupta and Rani </w:t>
      </w:r>
      <w:hyperlink w:anchor="ref_14">
        <w:r>
          <w:rPr>
            <w:rFonts w:ascii="Times New Roman" w:hAnsi="Times New Roman"/>
            <w:sz w:val="20"/>
            <w:u w:val="single"/>
            <w:color w:val="0000FF"/>
          </w:rPr>
          <w:t>[14]</w:t>
        </w:r>
      </w:hyperlink>
      <w:r>
        <w:rPr>
          <w:rFonts w:ascii="Times New Roman" w:hAnsi="Times New Roman"/>
          <w:b w:val="0"/>
          <w:i w:val="0"/>
          <w:color w:val="000000"/>
          <w:sz w:val="20"/>
        </w:rPr>
        <w:t xml:space="preserve"> utilized contextualized representations from BERT to detect scams, reporting that bidirectional self-attention is extremely critical to capturing vocabulary variations. Liao and Wang </w:t>
      </w:r>
      <w:hyperlink w:anchor="ref_15">
        <w:r>
          <w:rPr>
            <w:rFonts w:ascii="Times New Roman" w:hAnsi="Times New Roman"/>
            <w:sz w:val="20"/>
            <w:u w:val="single"/>
            <w:color w:val="0000FF"/>
          </w:rPr>
          <w:t>[15]</w:t>
        </w:r>
      </w:hyperlink>
      <w:r>
        <w:rPr>
          <w:rFonts w:ascii="Times New Roman" w:hAnsi="Times New Roman"/>
          <w:b w:val="0"/>
          <w:i w:val="0"/>
          <w:color w:val="000000"/>
          <w:sz w:val="20"/>
        </w:rPr>
        <w:t xml:space="preserve"> recently combined a pre-trained transformer with a hybrid deep learning classifier to detect ORF, showcasing the benefits of feature extraction.</w:t>
      </w:r>
    </w:p>
    <w:p>
      <w:pPr>
        <w:spacing w:line="252" w:lineRule="auto" w:after="60"/>
        <w:ind w:firstLine="216"/>
        <w:jc w:val="both"/>
      </w:pPr>
      <w:r>
        <w:rPr>
          <w:rFonts w:ascii="Times New Roman" w:hAnsi="Times New Roman"/>
          <w:b w:val="0"/>
          <w:i w:val="0"/>
          <w:color w:val="000000"/>
          <w:sz w:val="20"/>
        </w:rPr>
        <w:t>Our research improves upon these existing models by pairing BERT's contextual power with a sequential Bi-LSTM head, offering a unified, computationally efficient framework that trains directly on the class-weighted imbalanced dataset without distorting original textual distributions.</w:t>
      </w:r>
    </w:p>
    <w:p>
      <w:pPr>
        <w:keepNext/>
        <w:spacing w:before="200" w:after="80"/>
        <w:jc w:val="center"/>
      </w:pPr>
      <w:r>
        <w:rPr>
          <w:rFonts w:ascii="Times New Roman" w:hAnsi="Times New Roman"/>
          <w:b/>
          <w:i w:val="0"/>
          <w:color w:val="000000"/>
          <w:sz w:val="20"/>
        </w:rPr>
        <w:t>III.  PROPOSED METHODOLOGY</w:t>
      </w:r>
    </w:p>
    <w:p>
      <w:pPr>
        <w:spacing w:line="252" w:lineRule="auto" w:after="60"/>
        <w:ind w:firstLine="216"/>
        <w:jc w:val="both"/>
      </w:pPr>
      <w:r>
        <w:rPr>
          <w:rFonts w:ascii="Times New Roman" w:hAnsi="Times New Roman"/>
          <w:b w:val="0"/>
          <w:i w:val="0"/>
          <w:color w:val="000000"/>
          <w:sz w:val="20"/>
        </w:rPr>
        <w:t>The proposed hybrid BERT-BiLSTM framework consists of four main steps: (A) Robust Concatenation, (B) BERT Embedding Extraction, (C) Bi-LSTM Classification, and (D) SHAP Explainability. Figure 1 shows the architecture of our system.</w:t>
      </w:r>
    </w:p>
    <w:p>
      <w:pPr>
        <w:keepNext/>
        <w:spacing w:before="120" w:after="40"/>
        <w:jc w:val="center"/>
      </w:pPr>
      <w:r>
        <w:drawing>
          <wp:inline xmlns:a="http://schemas.openxmlformats.org/drawingml/2006/main" xmlns:pic="http://schemas.openxmlformats.org/drawingml/2006/picture">
            <wp:extent cx="2651760" cy="4437578"/>
            <wp:docPr id="1" name="Picture 1"/>
            <wp:cNvGraphicFramePr>
              <a:graphicFrameLocks noChangeAspect="1"/>
            </wp:cNvGraphicFramePr>
            <a:graphic>
              <a:graphicData uri="http://schemas.openxmlformats.org/drawingml/2006/picture">
                <pic:pic>
                  <pic:nvPicPr>
                    <pic:cNvPr id="0" name="architecture_proposed.png"/>
                    <pic:cNvPicPr/>
                  </pic:nvPicPr>
                  <pic:blipFill>
                    <a:blip r:embed="rId9"/>
                    <a:stretch>
                      <a:fillRect/>
                    </a:stretch>
                  </pic:blipFill>
                  <pic:spPr>
                    <a:xfrm>
                      <a:off x="0" y="0"/>
                      <a:ext cx="2651760" cy="4437578"/>
                    </a:xfrm>
                    <a:prstGeom prst="rect"/>
                  </pic:spPr>
                </pic:pic>
              </a:graphicData>
            </a:graphic>
          </wp:inline>
        </w:drawing>
      </w:r>
    </w:p>
    <w:p>
      <w:pPr>
        <w:spacing w:after="120"/>
        <w:jc w:val="center"/>
      </w:pPr>
      <w:r>
        <w:rPr>
          <w:rFonts w:ascii="Times New Roman" w:hAnsi="Times New Roman"/>
          <w:b w:val="0"/>
          <w:i w:val="0"/>
          <w:color w:val="000000"/>
          <w:sz w:val="16"/>
        </w:rPr>
        <w:t>Fig. 1. System Architecture of the Proposed Hybrid BERT-BiLSTM framework.</w:t>
      </w:r>
    </w:p>
    <w:p>
      <w:pPr>
        <w:keepNext/>
        <w:spacing w:before="160" w:after="60"/>
        <w:jc w:val="left"/>
      </w:pPr>
      <w:r>
        <w:rPr>
          <w:rFonts w:ascii="Times New Roman" w:hAnsi="Times New Roman"/>
          <w:b w:val="0"/>
          <w:i/>
          <w:color w:val="000000"/>
          <w:sz w:val="20"/>
        </w:rPr>
        <w:t>A. Robust Concatenation</w:t>
      </w:r>
    </w:p>
    <w:p>
      <w:pPr>
        <w:spacing w:line="252" w:lineRule="auto" w:after="60"/>
        <w:ind w:firstLine="216"/>
        <w:jc w:val="both"/>
      </w:pPr>
      <w:r>
        <w:rPr>
          <w:rFonts w:ascii="Times New Roman" w:hAnsi="Times New Roman"/>
          <w:b w:val="0"/>
          <w:i w:val="0"/>
          <w:color w:val="000000"/>
          <w:sz w:val="20"/>
        </w:rPr>
        <w:t>Each job advertisement contains structured metadata and unstructured descriptions. To avoid text loss, we combine 10 metadata fields: Title, Profile, Description, Requirements, Benefits, Employment Type, Experience, Education, Industry, and Function. To prevent NaN conversion noise, we filter empty entries using a clean concatenation builder. The combined sequence is defined as:</w:t>
      </w:r>
    </w:p>
    <w:p>
      <w:pPr>
        <w:spacing w:before="80" w:after="80"/>
        <w:jc w:val="center"/>
      </w:pPr>
      <w:r>
        <w:rPr>
          <w:rFonts w:ascii="Times New Roman" w:hAnsi="Times New Roman"/>
          <w:b w:val="0"/>
          <w:i/>
          <w:color w:val="000000"/>
          <w:sz w:val="20"/>
        </w:rPr>
        <w:t>X_i = \text{Concat}(Field_1, Field_2, \dots, Field_{10})</w:t>
        <w:tab/>
        <w:tab/>
      </w:r>
      <w:r>
        <w:rPr>
          <w:rFonts w:ascii="Times New Roman" w:hAnsi="Times New Roman"/>
          <w:b w:val="0"/>
          <w:i w:val="0"/>
          <w:color w:val="000000"/>
          <w:sz w:val="20"/>
        </w:rPr>
        <w:t>(1)</w:t>
      </w:r>
    </w:p>
    <w:p>
      <w:pPr>
        <w:spacing w:line="252" w:lineRule="auto" w:after="60"/>
        <w:ind w:firstLine="216"/>
        <w:jc w:val="both"/>
      </w:pPr>
      <w:r>
        <w:rPr>
          <w:rFonts w:ascii="Times New Roman" w:hAnsi="Times New Roman"/>
          <w:b w:val="0"/>
          <w:i w:val="0"/>
          <w:color w:val="000000"/>
          <w:sz w:val="20"/>
        </w:rPr>
        <w:t>This function checks if each field contains a valid string and filters out any null or float values, ensuring the tokenizer receives only semantic data. This step is critical because standard string conversions convert NaN float values to the word 'nan', which acts as noise for self-attention.</w:t>
      </w:r>
    </w:p>
    <w:p>
      <w:pPr>
        <w:keepNext/>
        <w:spacing w:before="160" w:after="60"/>
        <w:jc w:val="left"/>
      </w:pPr>
      <w:r>
        <w:rPr>
          <w:rFonts w:ascii="Times New Roman" w:hAnsi="Times New Roman"/>
          <w:b w:val="0"/>
          <w:i/>
          <w:color w:val="000000"/>
          <w:sz w:val="20"/>
        </w:rPr>
        <w:t>B. BERT Embedding Extraction</w:t>
      </w:r>
    </w:p>
    <w:p>
      <w:pPr>
        <w:spacing w:line="252" w:lineRule="auto" w:after="60"/>
        <w:ind w:firstLine="216"/>
        <w:jc w:val="both"/>
      </w:pPr>
      <w:r>
        <w:rPr>
          <w:rFonts w:ascii="Times New Roman" w:hAnsi="Times New Roman"/>
          <w:b w:val="0"/>
          <w:i w:val="0"/>
          <w:color w:val="000000"/>
          <w:sz w:val="20"/>
        </w:rPr>
        <w:t>The cleaned text sequence is tokenized using the WordPiece tokenizer of the pre-trained bert-base-uncased model. The sequence length is set to 512. The token representations are passed to the BERT layers to generate context-aware hidden states:</w:t>
      </w:r>
    </w:p>
    <w:p>
      <w:pPr>
        <w:spacing w:before="80" w:after="80"/>
        <w:jc w:val="center"/>
      </w:pPr>
      <w:r>
        <w:rPr>
          <w:rFonts w:ascii="Times New Roman" w:hAnsi="Times New Roman"/>
          <w:b w:val="0"/>
          <w:i/>
          <w:color w:val="000000"/>
          <w:sz w:val="20"/>
        </w:rPr>
        <w:t>H = \text{BERT}(I, A) \in \mathbb{R}^{B \times L \times D}</w:t>
        <w:tab/>
        <w:tab/>
      </w:r>
      <w:r>
        <w:rPr>
          <w:rFonts w:ascii="Times New Roman" w:hAnsi="Times New Roman"/>
          <w:b w:val="0"/>
          <w:i w:val="0"/>
          <w:color w:val="000000"/>
          <w:sz w:val="20"/>
        </w:rPr>
        <w:t>(2)</w:t>
      </w:r>
    </w:p>
    <w:p>
      <w:pPr>
        <w:spacing w:line="252" w:lineRule="auto" w:after="60"/>
        <w:ind w:firstLine="216"/>
        <w:jc w:val="both"/>
      </w:pPr>
      <w:r>
        <w:rPr>
          <w:rFonts w:ascii="Times New Roman" w:hAnsi="Times New Roman"/>
          <w:b w:val="0"/>
          <w:i w:val="0"/>
          <w:color w:val="000000"/>
          <w:sz w:val="20"/>
        </w:rPr>
        <w:t>where B is batch size, L is sequence length (512), and D is embedding dimension (768). Unlike standard models that use only the [CLS] embedding, we pass the full sequence representation H to the recurrent layers.</w:t>
      </w:r>
    </w:p>
    <w:p>
      <w:pPr>
        <w:keepNext/>
        <w:spacing w:before="160" w:after="60"/>
        <w:jc w:val="left"/>
      </w:pPr>
      <w:r>
        <w:rPr>
          <w:rFonts w:ascii="Times New Roman" w:hAnsi="Times New Roman"/>
          <w:b w:val="0"/>
          <w:i/>
          <w:color w:val="000000"/>
          <w:sz w:val="20"/>
        </w:rPr>
        <w:t>C. Bi-LSTM Sequential Classification</w:t>
      </w:r>
    </w:p>
    <w:p>
      <w:pPr>
        <w:spacing w:line="252" w:lineRule="auto" w:after="60"/>
        <w:ind w:firstLine="216"/>
        <w:jc w:val="both"/>
      </w:pPr>
      <w:r>
        <w:rPr>
          <w:rFonts w:ascii="Times New Roman" w:hAnsi="Times New Roman"/>
          <w:b w:val="0"/>
          <w:i w:val="0"/>
          <w:color w:val="000000"/>
          <w:sz w:val="20"/>
        </w:rPr>
        <w:t>To capture sentence structure and long-range context, we pass the states H to a 2-layer Bi-LSTM layer. The forward and backward LSTM steps are defined as:</w:t>
      </w:r>
    </w:p>
    <w:p>
      <w:pPr>
        <w:spacing w:before="80" w:after="80"/>
        <w:jc w:val="center"/>
      </w:pPr>
      <w:r>
        <w:rPr>
          <w:rFonts w:ascii="Times New Roman" w:hAnsi="Times New Roman"/>
          <w:b w:val="0"/>
          <w:i/>
          <w:color w:val="000000"/>
          <w:sz w:val="20"/>
        </w:rPr>
        <w:t>h_{t, fwd} = \text{LSTM}_{fwd}(H_t, h_{t-1, fwd})</w:t>
        <w:tab/>
        <w:tab/>
      </w:r>
      <w:r>
        <w:rPr>
          <w:rFonts w:ascii="Times New Roman" w:hAnsi="Times New Roman"/>
          <w:b w:val="0"/>
          <w:i w:val="0"/>
          <w:color w:val="000000"/>
          <w:sz w:val="20"/>
        </w:rPr>
        <w:t>(3)</w:t>
      </w:r>
    </w:p>
    <w:p>
      <w:pPr>
        <w:spacing w:before="80" w:after="80"/>
        <w:jc w:val="center"/>
      </w:pPr>
      <w:r>
        <w:rPr>
          <w:rFonts w:ascii="Times New Roman" w:hAnsi="Times New Roman"/>
          <w:b w:val="0"/>
          <w:i/>
          <w:color w:val="000000"/>
          <w:sz w:val="20"/>
        </w:rPr>
        <w:t>h_{t, bwd} = \text{LSTM}_{bwd}(H_t, h_{t+1, bwd})</w:t>
        <w:tab/>
        <w:tab/>
      </w:r>
      <w:r>
        <w:rPr>
          <w:rFonts w:ascii="Times New Roman" w:hAnsi="Times New Roman"/>
          <w:b w:val="0"/>
          <w:i w:val="0"/>
          <w:color w:val="000000"/>
          <w:sz w:val="20"/>
        </w:rPr>
        <w:t>(4)</w:t>
      </w:r>
    </w:p>
    <w:p>
      <w:pPr>
        <w:spacing w:line="252" w:lineRule="auto" w:after="60"/>
        <w:ind w:firstLine="216"/>
        <w:jc w:val="both"/>
      </w:pPr>
      <w:r>
        <w:rPr>
          <w:rFonts w:ascii="Times New Roman" w:hAnsi="Times New Roman"/>
          <w:b w:val="0"/>
          <w:i w:val="0"/>
          <w:color w:val="000000"/>
          <w:sz w:val="20"/>
        </w:rPr>
        <w:t>For each token t, the directional hidden states are concatenated to form the complete state:</w:t>
      </w:r>
    </w:p>
    <w:p>
      <w:pPr>
        <w:spacing w:before="80" w:after="80"/>
        <w:jc w:val="center"/>
      </w:pPr>
      <w:r>
        <w:rPr>
          <w:rFonts w:ascii="Times New Roman" w:hAnsi="Times New Roman"/>
          <w:b w:val="0"/>
          <w:i/>
          <w:color w:val="000000"/>
          <w:sz w:val="20"/>
        </w:rPr>
        <w:t>h_t = [h_{t, fwd} \mathbin{\Vert} h_{t, bwd}] \in \mathbb{R}^{2 \cdot D_{lstm}}</w:t>
        <w:tab/>
        <w:tab/>
      </w:r>
      <w:r>
        <w:rPr>
          <w:rFonts w:ascii="Times New Roman" w:hAnsi="Times New Roman"/>
          <w:b w:val="0"/>
          <w:i w:val="0"/>
          <w:color w:val="000000"/>
          <w:sz w:val="20"/>
        </w:rPr>
        <w:t>(5)</w:t>
      </w:r>
    </w:p>
    <w:p>
      <w:pPr>
        <w:spacing w:line="252" w:lineRule="auto" w:after="60"/>
        <w:ind w:firstLine="216"/>
        <w:jc w:val="both"/>
      </w:pPr>
      <w:r>
        <w:rPr>
          <w:rFonts w:ascii="Times New Roman" w:hAnsi="Times New Roman"/>
          <w:b w:val="0"/>
          <w:i w:val="0"/>
          <w:color w:val="000000"/>
          <w:sz w:val="20"/>
        </w:rPr>
        <w:t>where $D_{lstm} = 128$. We apply global max and average pooling over the sequence dimension to form the pooled feature:</w:t>
      </w:r>
    </w:p>
    <w:p>
      <w:pPr>
        <w:spacing w:before="80" w:after="80"/>
        <w:jc w:val="center"/>
      </w:pPr>
      <w:r>
        <w:rPr>
          <w:rFonts w:ascii="Times New Roman" w:hAnsi="Times New Roman"/>
          <w:b w:val="0"/>
          <w:i/>
          <w:color w:val="000000"/>
          <w:sz w:val="20"/>
        </w:rPr>
        <w:t>Z_{pooled} = [\text{MaxPool}(Y) \mathbin{\Vert} \text{AvgPool}(Y)] \in \mathbb{R}^{4 \cdot D_{lstm}}</w:t>
        <w:tab/>
        <w:tab/>
      </w:r>
      <w:r>
        <w:rPr>
          <w:rFonts w:ascii="Times New Roman" w:hAnsi="Times New Roman"/>
          <w:b w:val="0"/>
          <w:i w:val="0"/>
          <w:color w:val="000000"/>
          <w:sz w:val="20"/>
        </w:rPr>
        <w:t>(6)</w:t>
      </w:r>
    </w:p>
    <w:p>
      <w:pPr>
        <w:spacing w:line="252" w:lineRule="auto" w:after="60"/>
        <w:ind w:firstLine="216"/>
        <w:jc w:val="both"/>
      </w:pPr>
      <w:r>
        <w:rPr>
          <w:rFonts w:ascii="Times New Roman" w:hAnsi="Times New Roman"/>
          <w:b w:val="0"/>
          <w:i w:val="0"/>
          <w:color w:val="000000"/>
          <w:sz w:val="20"/>
        </w:rPr>
        <w:t>This representation is passed to a dense dropout classifier to compute the class logits:</w:t>
      </w:r>
    </w:p>
    <w:p>
      <w:pPr>
        <w:spacing w:before="80" w:after="80"/>
        <w:jc w:val="center"/>
      </w:pPr>
      <w:r>
        <w:rPr>
          <w:rFonts w:ascii="Times New Roman" w:hAnsi="Times New Roman"/>
          <w:b w:val="0"/>
          <w:i/>
          <w:color w:val="000000"/>
          <w:sz w:val="20"/>
        </w:rPr>
        <w:t>\hat{y} = \text{Linear}(\text{ReLU}(\text{Dropout}(\text{Linear}(Z_{pooled}))))</w:t>
        <w:tab/>
        <w:tab/>
      </w:r>
      <w:r>
        <w:rPr>
          <w:rFonts w:ascii="Times New Roman" w:hAnsi="Times New Roman"/>
          <w:b w:val="0"/>
          <w:i w:val="0"/>
          <w:color w:val="000000"/>
          <w:sz w:val="20"/>
        </w:rPr>
        <w:t>(7)</w:t>
      </w:r>
    </w:p>
    <w:p>
      <w:pPr>
        <w:spacing w:line="252" w:lineRule="auto" w:after="60"/>
        <w:ind w:firstLine="216"/>
        <w:jc w:val="both"/>
      </w:pPr>
      <w:r>
        <w:rPr>
          <w:rFonts w:ascii="Times New Roman" w:hAnsi="Times New Roman"/>
          <w:b w:val="0"/>
          <w:i w:val="0"/>
          <w:color w:val="000000"/>
          <w:sz w:val="20"/>
        </w:rPr>
        <w:t>The model is optimized using a class-weighted binary cross-entropy loss function to handle the imbalanced labels:</w:t>
      </w:r>
    </w:p>
    <w:p>
      <w:pPr>
        <w:spacing w:before="80" w:after="80"/>
        <w:jc w:val="center"/>
      </w:pPr>
      <w:r>
        <w:rPr>
          <w:rFonts w:ascii="Times New Roman" w:hAnsi="Times New Roman"/>
          <w:b w:val="0"/>
          <w:i/>
          <w:color w:val="000000"/>
          <w:sz w:val="20"/>
        </w:rPr>
        <w:t>\mathcal{L} = - [ w_{pos} \cdot y \log(\sigma(\hat{y})) + (1 - y) \log(1 - \sigma(\hat{y})) ]</w:t>
        <w:tab/>
        <w:tab/>
      </w:r>
      <w:r>
        <w:rPr>
          <w:rFonts w:ascii="Times New Roman" w:hAnsi="Times New Roman"/>
          <w:b w:val="0"/>
          <w:i w:val="0"/>
          <w:color w:val="000000"/>
          <w:sz w:val="20"/>
        </w:rPr>
        <w:t>(8)</w:t>
      </w:r>
    </w:p>
    <w:p>
      <w:pPr>
        <w:spacing w:line="252" w:lineRule="auto" w:after="60"/>
        <w:ind w:firstLine="216"/>
        <w:jc w:val="both"/>
      </w:pPr>
      <w:r>
        <w:rPr>
          <w:rFonts w:ascii="Times New Roman" w:hAnsi="Times New Roman"/>
          <w:b w:val="0"/>
          <w:i w:val="0"/>
          <w:color w:val="000000"/>
          <w:sz w:val="20"/>
        </w:rPr>
        <w:t>where we set $w_{pos} = 2.0$ to maintain an optimal balance between precision and recall.</w:t>
      </w:r>
    </w:p>
    <w:p>
      <w:pPr>
        <w:keepNext/>
        <w:spacing w:before="160" w:after="60"/>
        <w:jc w:val="left"/>
      </w:pPr>
      <w:r>
        <w:rPr>
          <w:rFonts w:ascii="Times New Roman" w:hAnsi="Times New Roman"/>
          <w:b w:val="0"/>
          <w:i/>
          <w:color w:val="000000"/>
          <w:sz w:val="20"/>
        </w:rPr>
        <w:t>D. Explainable AI using SHAP</w:t>
      </w:r>
    </w:p>
    <w:p>
      <w:pPr>
        <w:spacing w:line="252" w:lineRule="auto" w:after="60"/>
        <w:ind w:firstLine="216"/>
        <w:jc w:val="both"/>
      </w:pPr>
      <w:r>
        <w:rPr>
          <w:rFonts w:ascii="Times New Roman" w:hAnsi="Times New Roman"/>
          <w:b w:val="0"/>
          <w:i w:val="0"/>
          <w:color w:val="000000"/>
          <w:sz w:val="20"/>
        </w:rPr>
        <w:t>To make the network transparent, we integrate SHAP (SHapley Additive exPlanations). SHAP calculates the marginal contribution of each token to the classification logit. The Shapley value for a token i is defined as:</w:t>
      </w:r>
    </w:p>
    <w:p>
      <w:pPr>
        <w:spacing w:before="80" w:after="80"/>
        <w:jc w:val="center"/>
      </w:pPr>
      <w:r>
        <w:rPr>
          <w:rFonts w:ascii="Times New Roman" w:hAnsi="Times New Roman"/>
          <w:b w:val="0"/>
          <w:i/>
          <w:color w:val="000000"/>
          <w:sz w:val="20"/>
        </w:rPr>
        <w:t>\phi_i = \sum_{S \subseteq F \setminus \{i\}} \frac{|S|!(|F| - |S| - 1)!}{|F|!} [ f_x(S \cup \{i\}) - f_x(S) ]</w:t>
        <w:tab/>
        <w:tab/>
      </w:r>
      <w:r>
        <w:rPr>
          <w:rFonts w:ascii="Times New Roman" w:hAnsi="Times New Roman"/>
          <w:b w:val="0"/>
          <w:i w:val="0"/>
          <w:color w:val="000000"/>
          <w:sz w:val="20"/>
        </w:rPr>
        <w:t>(9)</w:t>
      </w:r>
    </w:p>
    <w:p>
      <w:pPr>
        <w:spacing w:line="252" w:lineRule="auto" w:after="60"/>
        <w:ind w:firstLine="216"/>
        <w:jc w:val="both"/>
      </w:pPr>
      <w:r>
        <w:rPr>
          <w:rFonts w:ascii="Times New Roman" w:hAnsi="Times New Roman"/>
          <w:b w:val="0"/>
          <w:i w:val="0"/>
          <w:color w:val="000000"/>
          <w:sz w:val="20"/>
        </w:rPr>
        <w:t>where F is the set of all input tokens, S is a subset of features excluding token i, and $f_x(S)$ is the model output conditioned on subset S. This allows us to calculate exact token-level feature attribution scores.</w:t>
      </w:r>
    </w:p>
    <w:p>
      <w:pPr>
        <w:keepNext/>
        <w:spacing w:before="200" w:after="80"/>
        <w:jc w:val="center"/>
      </w:pPr>
      <w:r>
        <w:rPr>
          <w:rFonts w:ascii="Times New Roman" w:hAnsi="Times New Roman"/>
          <w:b/>
          <w:i w:val="0"/>
          <w:color w:val="000000"/>
          <w:sz w:val="20"/>
        </w:rPr>
        <w:t>IV.  EXPERIMENTAL SETUP</w:t>
      </w:r>
    </w:p>
    <w:p>
      <w:pPr>
        <w:keepNext/>
        <w:spacing w:before="160" w:after="60"/>
        <w:jc w:val="left"/>
      </w:pPr>
      <w:r>
        <w:rPr>
          <w:rFonts w:ascii="Times New Roman" w:hAnsi="Times New Roman"/>
          <w:b w:val="0"/>
          <w:i/>
          <w:color w:val="000000"/>
          <w:sz w:val="20"/>
        </w:rPr>
        <w:t>A. Dataset</w:t>
      </w:r>
    </w:p>
    <w:p>
      <w:pPr>
        <w:spacing w:line="252" w:lineRule="auto" w:after="60"/>
        <w:ind w:firstLine="216"/>
        <w:jc w:val="both"/>
      </w:pPr>
      <w:r>
        <w:rPr>
          <w:rFonts w:ascii="Times New Roman" w:hAnsi="Times New Roman"/>
          <w:b w:val="0"/>
          <w:i w:val="0"/>
          <w:color w:val="000000"/>
          <w:sz w:val="20"/>
        </w:rPr>
        <w:t>We evaluate our model on the EMSCAD dataset (17,880 listings). The data is highly imbalanced, containing 17,014 genuine ads (95.16%) and 866 fraudulent ads (4.84%). This represents a realistic recruitment scenario.</w:t>
      </w:r>
    </w:p>
    <w:p>
      <w:pPr>
        <w:keepNext/>
        <w:spacing w:before="160" w:after="60"/>
        <w:jc w:val="left"/>
      </w:pPr>
      <w:r>
        <w:rPr>
          <w:rFonts w:ascii="Times New Roman" w:hAnsi="Times New Roman"/>
          <w:b w:val="0"/>
          <w:i/>
          <w:color w:val="000000"/>
          <w:sz w:val="20"/>
        </w:rPr>
        <w:t>B. Hardware and Hyperparameters</w:t>
      </w:r>
    </w:p>
    <w:p>
      <w:pPr>
        <w:spacing w:line="252" w:lineRule="auto" w:after="60"/>
        <w:ind w:firstLine="216"/>
        <w:jc w:val="both"/>
      </w:pPr>
      <w:r>
        <w:rPr>
          <w:rFonts w:ascii="Times New Roman" w:hAnsi="Times New Roman"/>
          <w:b w:val="0"/>
          <w:i w:val="0"/>
          <w:color w:val="000000"/>
          <w:sz w:val="20"/>
        </w:rPr>
        <w:t>Models were trained on a Google Colab T4 GPU runtime. Sequence length was set to 512, with a batch size of 16. The model was trained for 5 epochs using early stopping with a patience of 2. We use the AdamW optimizer with discriminative learning rates: BERT parameters were fine-tuned at 2e-5, while recurrent and dense layers were trained at 2e-4 and 1e-3 respectively. This discriminative setup prevents catastrophic forgetting in BERT.</w:t>
      </w:r>
    </w:p>
    <w:p>
      <w:pPr>
        <w:keepNext/>
        <w:spacing w:before="160" w:after="60"/>
        <w:jc w:val="left"/>
      </w:pPr>
      <w:r>
        <w:rPr>
          <w:rFonts w:ascii="Times New Roman" w:hAnsi="Times New Roman"/>
          <w:b w:val="0"/>
          <w:i/>
          <w:color w:val="000000"/>
          <w:sz w:val="20"/>
        </w:rPr>
        <w:t>C. Baseline Models</w:t>
      </w:r>
    </w:p>
    <w:p>
      <w:pPr>
        <w:spacing w:line="252" w:lineRule="auto" w:after="60"/>
        <w:ind w:firstLine="216"/>
        <w:jc w:val="both"/>
      </w:pPr>
      <w:r>
        <w:rPr>
          <w:rFonts w:ascii="Times New Roman" w:hAnsi="Times New Roman"/>
          <w:b w:val="0"/>
          <w:i w:val="0"/>
          <w:color w:val="000000"/>
          <w:sz w:val="20"/>
        </w:rPr>
        <w:t xml:space="preserve">We benchmark our model against several baselines: (1) Logistic Regression with TF-IDF features, (2) Random Forest with TF-IDF features, (3) Standard Bi-LSTM, and (4) Standalone BERT Classifier (Fraud-BERT replica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The Standalone BERT baseline matches the model configuration and hyperparameter settings of the original Fraud-BERT study </w:t>
      </w:r>
      <w:hyperlink w:anchor="ref_1">
        <w:r>
          <w:rPr>
            <w:rFonts w:ascii="Times New Roman" w:hAnsi="Times New Roman"/>
            <w:sz w:val="20"/>
            <w:u w:val="single"/>
            <w:color w:val="0000FF"/>
          </w:rPr>
          <w:t>[1]</w:t>
        </w:r>
      </w:hyperlink>
      <w:r>
        <w:rPr>
          <w:rFonts w:ascii="Times New Roman" w:hAnsi="Times New Roman"/>
          <w:b w:val="0"/>
          <w:i w:val="0"/>
          <w:color w:val="000000"/>
          <w:sz w:val="20"/>
        </w:rPr>
        <w:t>.</w:t>
      </w:r>
    </w:p>
    <w:p>
      <w:pPr>
        <w:keepNext/>
        <w:spacing w:before="200" w:after="80"/>
        <w:jc w:val="center"/>
      </w:pPr>
      <w:r>
        <w:rPr>
          <w:rFonts w:ascii="Times New Roman" w:hAnsi="Times New Roman"/>
          <w:b/>
          <w:i w:val="0"/>
          <w:color w:val="000000"/>
          <w:sz w:val="20"/>
        </w:rPr>
        <w:t>V.  RESULTS AND DISCUSSION</w:t>
      </w:r>
    </w:p>
    <w:p>
      <w:pPr>
        <w:keepNext/>
        <w:spacing w:before="160" w:after="60"/>
        <w:jc w:val="left"/>
      </w:pPr>
      <w:r>
        <w:rPr>
          <w:rFonts w:ascii="Times New Roman" w:hAnsi="Times New Roman"/>
          <w:b w:val="0"/>
          <w:i/>
          <w:color w:val="000000"/>
          <w:sz w:val="20"/>
        </w:rPr>
        <w:t>A. Performance Evaluation of Proposed Model Against Baseline Models</w:t>
      </w:r>
    </w:p>
    <w:p>
      <w:pPr>
        <w:spacing w:line="252" w:lineRule="auto" w:after="60"/>
        <w:ind w:firstLine="216"/>
        <w:jc w:val="both"/>
      </w:pPr>
      <w:r>
        <w:rPr>
          <w:rFonts w:ascii="Times New Roman" w:hAnsi="Times New Roman"/>
          <w:b w:val="0"/>
          <w:i w:val="0"/>
          <w:color w:val="000000"/>
          <w:sz w:val="20"/>
        </w:rPr>
        <w:t xml:space="preserve">The performance of the proposed approach in comparison to baseline models is presented in Table I. Following the evaluation methodology established in benchmark online recruitment fraud studies </w:t>
      </w:r>
      <w:hyperlink w:anchor="ref_1">
        <w:r>
          <w:rPr>
            <w:rFonts w:ascii="Times New Roman" w:hAnsi="Times New Roman"/>
            <w:sz w:val="20"/>
            <w:u w:val="single"/>
            <w:color w:val="0000FF"/>
          </w:rPr>
          <w:t>[1]</w:t>
        </w:r>
      </w:hyperlink>
      <w:r>
        <w:rPr>
          <w:rFonts w:ascii="Times New Roman" w:hAnsi="Times New Roman"/>
          <w:b w:val="0"/>
          <w:i w:val="0"/>
          <w:color w:val="000000"/>
          <w:sz w:val="20"/>
        </w:rPr>
        <w:t>, we report the macro-averaged values of Precision (P), Recall (R), and F1-score (F1), alongside overall Accuracy and Area Under the ROC Curve (AUC).</w:t>
      </w:r>
    </w:p>
    <w:tbl>
      <w:tblPr>
        <w:tblStyle w:val="LightShading-Accent1"/>
        <w:tblW w:type="auto" w:w="0"/>
        <w:tblLook w:firstColumn="1" w:firstRow="1" w:lastColumn="0" w:lastRow="0" w:noHBand="0" w:noVBand="1" w:val="04A0"/>
      </w:tblPr>
      <w:tblGrid>
        <w:gridCol w:w="1740"/>
        <w:gridCol w:w="1740"/>
        <w:gridCol w:w="1740"/>
        <w:gridCol w:w="1740"/>
        <w:gridCol w:w="1740"/>
        <w:gridCol w:w="1740"/>
      </w:tblGrid>
      <w:tr>
        <w:tc>
          <w:tcPr>
            <w:tcW w:type="dxa" w:w="1740"/>
          </w:tcPr>
          <w:p>
            <w:pPr>
              <w:jc w:val="center"/>
            </w:pPr>
            <w:r>
              <w:rPr>
                <w:rFonts w:ascii="Times New Roman" w:hAnsi="Times New Roman"/>
                <w:b/>
                <w:i w:val="0"/>
                <w:color w:val="000000"/>
                <w:sz w:val="18"/>
              </w:rPr>
              <w:t>Model</w:t>
            </w:r>
          </w:p>
        </w:tc>
        <w:tc>
          <w:tcPr>
            <w:tcW w:type="dxa" w:w="1740"/>
          </w:tcPr>
          <w:p>
            <w:pPr>
              <w:jc w:val="center"/>
            </w:pPr>
            <w:r>
              <w:rPr>
                <w:rFonts w:ascii="Times New Roman" w:hAnsi="Times New Roman"/>
                <w:b/>
                <w:i w:val="0"/>
                <w:color w:val="000000"/>
                <w:sz w:val="18"/>
              </w:rPr>
              <w:t>P</w:t>
            </w:r>
          </w:p>
        </w:tc>
        <w:tc>
          <w:tcPr>
            <w:tcW w:type="dxa" w:w="1740"/>
          </w:tcPr>
          <w:p>
            <w:pPr>
              <w:jc w:val="center"/>
            </w:pPr>
            <w:r>
              <w:rPr>
                <w:rFonts w:ascii="Times New Roman" w:hAnsi="Times New Roman"/>
                <w:b/>
                <w:i w:val="0"/>
                <w:color w:val="000000"/>
                <w:sz w:val="18"/>
              </w:rPr>
              <w:t>R</w:t>
            </w:r>
          </w:p>
        </w:tc>
        <w:tc>
          <w:tcPr>
            <w:tcW w:type="dxa" w:w="1740"/>
          </w:tcPr>
          <w:p>
            <w:pPr>
              <w:jc w:val="center"/>
            </w:pPr>
            <w:r>
              <w:rPr>
                <w:rFonts w:ascii="Times New Roman" w:hAnsi="Times New Roman"/>
                <w:b/>
                <w:i w:val="0"/>
                <w:color w:val="000000"/>
                <w:sz w:val="18"/>
              </w:rPr>
              <w:t>F1</w:t>
            </w:r>
          </w:p>
        </w:tc>
        <w:tc>
          <w:tcPr>
            <w:tcW w:type="dxa" w:w="1740"/>
          </w:tcPr>
          <w:p>
            <w:pPr>
              <w:jc w:val="center"/>
            </w:pPr>
            <w:r>
              <w:rPr>
                <w:rFonts w:ascii="Times New Roman" w:hAnsi="Times New Roman"/>
                <w:b/>
                <w:i w:val="0"/>
                <w:color w:val="000000"/>
                <w:sz w:val="18"/>
              </w:rPr>
              <w:t>Accuracy</w:t>
            </w:r>
          </w:p>
        </w:tc>
        <w:tc>
          <w:tcPr>
            <w:tcW w:type="dxa" w:w="1740"/>
          </w:tcPr>
          <w:p>
            <w:pPr>
              <w:jc w:val="center"/>
            </w:pPr>
            <w:r>
              <w:rPr>
                <w:rFonts w:ascii="Times New Roman" w:hAnsi="Times New Roman"/>
                <w:b/>
                <w:i w:val="0"/>
                <w:color w:val="000000"/>
                <w:sz w:val="18"/>
              </w:rPr>
              <w:t>AUC</w:t>
            </w:r>
          </w:p>
        </w:tc>
      </w:tr>
      <w:tr>
        <w:tc>
          <w:tcPr>
            <w:tcW w:type="dxa" w:w="1740"/>
          </w:tcPr>
          <w:p>
            <w:pPr>
              <w:jc w:val="left"/>
            </w:pPr>
            <w:r>
              <w:rPr>
                <w:rFonts w:ascii="Times New Roman" w:hAnsi="Times New Roman"/>
                <w:b w:val="0"/>
                <w:i w:val="0"/>
                <w:color w:val="000000"/>
                <w:sz w:val="18"/>
              </w:rPr>
              <w:t>Logistic Regression</w:t>
            </w:r>
          </w:p>
        </w:tc>
        <w:tc>
          <w:tcPr>
            <w:tcW w:type="dxa" w:w="1740"/>
          </w:tcPr>
          <w:p>
            <w:pPr>
              <w:jc w:val="center"/>
            </w:pPr>
            <w:r>
              <w:rPr>
                <w:rFonts w:ascii="Times New Roman" w:hAnsi="Times New Roman"/>
                <w:b w:val="0"/>
                <w:i w:val="0"/>
                <w:color w:val="000000"/>
                <w:sz w:val="18"/>
              </w:rPr>
              <w:t>0.81</w:t>
            </w:r>
          </w:p>
        </w:tc>
        <w:tc>
          <w:tcPr>
            <w:tcW w:type="dxa" w:w="1740"/>
          </w:tcPr>
          <w:p>
            <w:pPr>
              <w:jc w:val="center"/>
            </w:pPr>
            <w:r>
              <w:rPr>
                <w:rFonts w:ascii="Times New Roman" w:hAnsi="Times New Roman"/>
                <w:b w:val="0"/>
                <w:i w:val="0"/>
                <w:color w:val="000000"/>
                <w:sz w:val="18"/>
              </w:rPr>
              <w:t>0.93</w:t>
            </w:r>
          </w:p>
        </w:tc>
        <w:tc>
          <w:tcPr>
            <w:tcW w:type="dxa" w:w="1740"/>
          </w:tcPr>
          <w:p>
            <w:pPr>
              <w:jc w:val="center"/>
            </w:pPr>
            <w:r>
              <w:rPr>
                <w:rFonts w:ascii="Times New Roman" w:hAnsi="Times New Roman"/>
                <w:b w:val="0"/>
                <w:i w:val="0"/>
                <w:color w:val="000000"/>
                <w:sz w:val="18"/>
              </w:rPr>
              <w:t>0.86</w:t>
            </w:r>
          </w:p>
        </w:tc>
        <w:tc>
          <w:tcPr>
            <w:tcW w:type="dxa" w:w="1740"/>
          </w:tcPr>
          <w:p>
            <w:pPr>
              <w:jc w:val="center"/>
            </w:pPr>
            <w:r>
              <w:rPr>
                <w:rFonts w:ascii="Times New Roman" w:hAnsi="Times New Roman"/>
                <w:b w:val="0"/>
                <w:i w:val="0"/>
                <w:color w:val="000000"/>
                <w:sz w:val="18"/>
              </w:rPr>
              <w:t>0.97</w:t>
            </w:r>
          </w:p>
        </w:tc>
        <w:tc>
          <w:tcPr>
            <w:tcW w:type="dxa" w:w="1740"/>
          </w:tcPr>
          <w:p>
            <w:pPr>
              <w:jc w:val="center"/>
            </w:pPr>
            <w:r>
              <w:rPr>
                <w:rFonts w:ascii="Times New Roman" w:hAnsi="Times New Roman"/>
                <w:b w:val="0"/>
                <w:i w:val="0"/>
                <w:color w:val="000000"/>
                <w:sz w:val="18"/>
              </w:rPr>
              <w:t>0.98</w:t>
            </w:r>
          </w:p>
        </w:tc>
      </w:tr>
      <w:tr>
        <w:tc>
          <w:tcPr>
            <w:tcW w:type="dxa" w:w="1740"/>
          </w:tcPr>
          <w:p>
            <w:pPr>
              <w:jc w:val="left"/>
            </w:pPr>
            <w:r>
              <w:rPr>
                <w:rFonts w:ascii="Times New Roman" w:hAnsi="Times New Roman"/>
                <w:b w:val="0"/>
                <w:i w:val="0"/>
                <w:color w:val="000000"/>
                <w:sz w:val="18"/>
              </w:rPr>
              <w:t>Random Forest</w:t>
            </w:r>
          </w:p>
        </w:tc>
        <w:tc>
          <w:tcPr>
            <w:tcW w:type="dxa" w:w="1740"/>
          </w:tcPr>
          <w:p>
            <w:pPr>
              <w:jc w:val="center"/>
            </w:pPr>
            <w:r>
              <w:rPr>
                <w:rFonts w:ascii="Times New Roman" w:hAnsi="Times New Roman"/>
                <w:b w:val="0"/>
                <w:i w:val="0"/>
                <w:color w:val="000000"/>
                <w:sz w:val="18"/>
              </w:rPr>
              <w:t>0.99</w:t>
            </w:r>
          </w:p>
        </w:tc>
        <w:tc>
          <w:tcPr>
            <w:tcW w:type="dxa" w:w="1740"/>
          </w:tcPr>
          <w:p>
            <w:pPr>
              <w:jc w:val="center"/>
            </w:pPr>
            <w:r>
              <w:rPr>
                <w:rFonts w:ascii="Times New Roman" w:hAnsi="Times New Roman"/>
                <w:b w:val="0"/>
                <w:i w:val="0"/>
                <w:color w:val="000000"/>
                <w:sz w:val="18"/>
              </w:rPr>
              <w:t>0.78</w:t>
            </w:r>
          </w:p>
        </w:tc>
        <w:tc>
          <w:tcPr>
            <w:tcW w:type="dxa" w:w="1740"/>
          </w:tcPr>
          <w:p>
            <w:pPr>
              <w:jc w:val="center"/>
            </w:pPr>
            <w:r>
              <w:rPr>
                <w:rFonts w:ascii="Times New Roman" w:hAnsi="Times New Roman"/>
                <w:b w:val="0"/>
                <w:i w:val="0"/>
                <w:color w:val="000000"/>
                <w:sz w:val="18"/>
              </w:rPr>
              <w:t>0.85</w:t>
            </w:r>
          </w:p>
        </w:tc>
        <w:tc>
          <w:tcPr>
            <w:tcW w:type="dxa" w:w="1740"/>
          </w:tcPr>
          <w:p>
            <w:pPr>
              <w:jc w:val="center"/>
            </w:pPr>
            <w:r>
              <w:rPr>
                <w:rFonts w:ascii="Times New Roman" w:hAnsi="Times New Roman"/>
                <w:b w:val="0"/>
                <w:i w:val="0"/>
                <w:color w:val="000000"/>
                <w:sz w:val="18"/>
              </w:rPr>
              <w:t>0.98</w:t>
            </w:r>
          </w:p>
        </w:tc>
        <w:tc>
          <w:tcPr>
            <w:tcW w:type="dxa" w:w="1740"/>
          </w:tcPr>
          <w:p>
            <w:pPr>
              <w:jc w:val="center"/>
            </w:pPr>
            <w:r>
              <w:rPr>
                <w:rFonts w:ascii="Times New Roman" w:hAnsi="Times New Roman"/>
                <w:b w:val="0"/>
                <w:i w:val="0"/>
                <w:color w:val="000000"/>
                <w:sz w:val="18"/>
              </w:rPr>
              <w:t>0.98</w:t>
            </w:r>
          </w:p>
        </w:tc>
      </w:tr>
      <w:tr>
        <w:tc>
          <w:tcPr>
            <w:tcW w:type="dxa" w:w="1740"/>
          </w:tcPr>
          <w:p>
            <w:pPr>
              <w:jc w:val="left"/>
            </w:pPr>
            <w:r>
              <w:rPr>
                <w:rFonts w:ascii="Times New Roman" w:hAnsi="Times New Roman"/>
                <w:b w:val="0"/>
                <w:i w:val="0"/>
                <w:color w:val="000000"/>
                <w:sz w:val="18"/>
              </w:rPr>
              <w:t>Bi-LSTM</w:t>
            </w:r>
          </w:p>
        </w:tc>
        <w:tc>
          <w:tcPr>
            <w:tcW w:type="dxa" w:w="1740"/>
          </w:tcPr>
          <w:p>
            <w:pPr>
              <w:jc w:val="center"/>
            </w:pPr>
            <w:r>
              <w:rPr>
                <w:rFonts w:ascii="Times New Roman" w:hAnsi="Times New Roman"/>
                <w:b w:val="0"/>
                <w:i w:val="0"/>
                <w:color w:val="000000"/>
                <w:sz w:val="18"/>
              </w:rPr>
              <w:t>0.89</w:t>
            </w:r>
          </w:p>
        </w:tc>
        <w:tc>
          <w:tcPr>
            <w:tcW w:type="dxa" w:w="1740"/>
          </w:tcPr>
          <w:p>
            <w:pPr>
              <w:jc w:val="center"/>
            </w:pPr>
            <w:r>
              <w:rPr>
                <w:rFonts w:ascii="Times New Roman" w:hAnsi="Times New Roman"/>
                <w:b w:val="0"/>
                <w:i w:val="0"/>
                <w:color w:val="000000"/>
                <w:sz w:val="18"/>
              </w:rPr>
              <w:t>0.90</w:t>
            </w:r>
          </w:p>
        </w:tc>
        <w:tc>
          <w:tcPr>
            <w:tcW w:type="dxa" w:w="1740"/>
          </w:tcPr>
          <w:p>
            <w:pPr>
              <w:jc w:val="center"/>
            </w:pPr>
            <w:r>
              <w:rPr>
                <w:rFonts w:ascii="Times New Roman" w:hAnsi="Times New Roman"/>
                <w:b w:val="0"/>
                <w:i w:val="0"/>
                <w:color w:val="000000"/>
                <w:sz w:val="18"/>
              </w:rPr>
              <w:t>0.90</w:t>
            </w:r>
          </w:p>
        </w:tc>
        <w:tc>
          <w:tcPr>
            <w:tcW w:type="dxa" w:w="1740"/>
          </w:tcPr>
          <w:p>
            <w:pPr>
              <w:jc w:val="center"/>
            </w:pPr>
            <w:r>
              <w:rPr>
                <w:rFonts w:ascii="Times New Roman" w:hAnsi="Times New Roman"/>
                <w:b w:val="0"/>
                <w:i w:val="0"/>
                <w:color w:val="000000"/>
                <w:sz w:val="18"/>
              </w:rPr>
              <w:t>0.98</w:t>
            </w:r>
          </w:p>
        </w:tc>
        <w:tc>
          <w:tcPr>
            <w:tcW w:type="dxa" w:w="1740"/>
          </w:tcPr>
          <w:p>
            <w:pPr>
              <w:jc w:val="center"/>
            </w:pPr>
            <w:r>
              <w:rPr>
                <w:rFonts w:ascii="Times New Roman" w:hAnsi="Times New Roman"/>
                <w:b w:val="0"/>
                <w:i w:val="0"/>
                <w:color w:val="000000"/>
                <w:sz w:val="18"/>
              </w:rPr>
              <w:t>0.88</w:t>
            </w:r>
          </w:p>
        </w:tc>
      </w:tr>
      <w:tr>
        <w:tc>
          <w:tcPr>
            <w:tcW w:type="dxa" w:w="1740"/>
          </w:tcPr>
          <w:p>
            <w:pPr>
              <w:jc w:val="left"/>
            </w:pPr>
            <w:r>
              <w:rPr>
                <w:rFonts w:ascii="Times New Roman" w:hAnsi="Times New Roman"/>
                <w:b w:val="0"/>
                <w:i w:val="0"/>
                <w:color w:val="000000"/>
                <w:sz w:val="18"/>
              </w:rPr>
              <w:t>Fraud-BERT [1]</w:t>
            </w:r>
          </w:p>
        </w:tc>
        <w:tc>
          <w:tcPr>
            <w:tcW w:type="dxa" w:w="1740"/>
          </w:tcPr>
          <w:p>
            <w:pPr>
              <w:jc w:val="center"/>
            </w:pPr>
            <w:r>
              <w:rPr>
                <w:rFonts w:ascii="Times New Roman" w:hAnsi="Times New Roman"/>
                <w:b w:val="0"/>
                <w:i w:val="0"/>
                <w:color w:val="000000"/>
                <w:sz w:val="18"/>
              </w:rPr>
              <w:t>0.94</w:t>
            </w:r>
          </w:p>
        </w:tc>
        <w:tc>
          <w:tcPr>
            <w:tcW w:type="dxa" w:w="1740"/>
          </w:tcPr>
          <w:p>
            <w:pPr>
              <w:jc w:val="center"/>
            </w:pPr>
            <w:r>
              <w:rPr>
                <w:rFonts w:ascii="Times New Roman" w:hAnsi="Times New Roman"/>
                <w:b w:val="0"/>
                <w:i w:val="0"/>
                <w:color w:val="000000"/>
                <w:sz w:val="18"/>
              </w:rPr>
              <w:t>0.92</w:t>
            </w:r>
          </w:p>
        </w:tc>
        <w:tc>
          <w:tcPr>
            <w:tcW w:type="dxa" w:w="1740"/>
          </w:tcPr>
          <w:p>
            <w:pPr>
              <w:jc w:val="center"/>
            </w:pPr>
            <w:r>
              <w:rPr>
                <w:rFonts w:ascii="Times New Roman" w:hAnsi="Times New Roman"/>
                <w:b w:val="0"/>
                <w:i w:val="0"/>
                <w:color w:val="000000"/>
                <w:sz w:val="18"/>
              </w:rPr>
              <w:t>0.93</w:t>
            </w:r>
          </w:p>
        </w:tc>
        <w:tc>
          <w:tcPr>
            <w:tcW w:type="dxa" w:w="1740"/>
          </w:tcPr>
          <w:p>
            <w:pPr>
              <w:jc w:val="center"/>
            </w:pPr>
            <w:r>
              <w:rPr>
                <w:rFonts w:ascii="Times New Roman" w:hAnsi="Times New Roman"/>
                <w:b w:val="0"/>
                <w:i w:val="0"/>
                <w:color w:val="000000"/>
                <w:sz w:val="18"/>
              </w:rPr>
              <w:t>0.99</w:t>
            </w:r>
          </w:p>
        </w:tc>
        <w:tc>
          <w:tcPr>
            <w:tcW w:type="dxa" w:w="1740"/>
          </w:tcPr>
          <w:p>
            <w:pPr>
              <w:jc w:val="center"/>
            </w:pPr>
            <w:r>
              <w:rPr>
                <w:rFonts w:ascii="Times New Roman" w:hAnsi="Times New Roman"/>
                <w:b w:val="0"/>
                <w:i w:val="0"/>
                <w:color w:val="000000"/>
                <w:sz w:val="18"/>
              </w:rPr>
              <w:t>0.99</w:t>
            </w:r>
          </w:p>
        </w:tc>
      </w:tr>
      <w:tr>
        <w:tc>
          <w:tcPr>
            <w:tcW w:type="dxa" w:w="1740"/>
          </w:tcPr>
          <w:p>
            <w:pPr>
              <w:jc w:val="left"/>
            </w:pPr>
            <w:r>
              <w:rPr>
                <w:rFonts w:ascii="Times New Roman" w:hAnsi="Times New Roman"/>
                <w:b/>
                <w:i w:val="0"/>
                <w:color w:val="000000"/>
                <w:sz w:val="18"/>
              </w:rPr>
              <w:t>Proposed BERT-BiLSTM</w:t>
            </w:r>
          </w:p>
        </w:tc>
        <w:tc>
          <w:tcPr>
            <w:tcW w:type="dxa" w:w="1740"/>
          </w:tcPr>
          <w:p>
            <w:pPr>
              <w:jc w:val="center"/>
            </w:pPr>
            <w:r>
              <w:rPr>
                <w:rFonts w:ascii="Times New Roman" w:hAnsi="Times New Roman"/>
                <w:b/>
                <w:i w:val="0"/>
                <w:color w:val="000000"/>
                <w:sz w:val="18"/>
              </w:rPr>
              <w:t>0.97</w:t>
            </w:r>
          </w:p>
        </w:tc>
        <w:tc>
          <w:tcPr>
            <w:tcW w:type="dxa" w:w="1740"/>
          </w:tcPr>
          <w:p>
            <w:pPr>
              <w:jc w:val="center"/>
            </w:pPr>
            <w:r>
              <w:rPr>
                <w:rFonts w:ascii="Times New Roman" w:hAnsi="Times New Roman"/>
                <w:b/>
                <w:i w:val="0"/>
                <w:color w:val="000000"/>
                <w:sz w:val="18"/>
              </w:rPr>
              <w:t>0.92</w:t>
            </w:r>
          </w:p>
        </w:tc>
        <w:tc>
          <w:tcPr>
            <w:tcW w:type="dxa" w:w="1740"/>
          </w:tcPr>
          <w:p>
            <w:pPr>
              <w:jc w:val="center"/>
            </w:pPr>
            <w:r>
              <w:rPr>
                <w:rFonts w:ascii="Times New Roman" w:hAnsi="Times New Roman"/>
                <w:b/>
                <w:i w:val="0"/>
                <w:color w:val="000000"/>
                <w:sz w:val="18"/>
              </w:rPr>
              <w:t>0.94</w:t>
            </w:r>
          </w:p>
        </w:tc>
        <w:tc>
          <w:tcPr>
            <w:tcW w:type="dxa" w:w="1740"/>
          </w:tcPr>
          <w:p>
            <w:pPr>
              <w:jc w:val="center"/>
            </w:pPr>
            <w:r>
              <w:rPr>
                <w:rFonts w:ascii="Times New Roman" w:hAnsi="Times New Roman"/>
                <w:b/>
                <w:i w:val="0"/>
                <w:color w:val="000000"/>
                <w:sz w:val="18"/>
              </w:rPr>
              <w:t>0.99</w:t>
            </w:r>
          </w:p>
        </w:tc>
        <w:tc>
          <w:tcPr>
            <w:tcW w:type="dxa" w:w="1740"/>
          </w:tcPr>
          <w:p>
            <w:pPr>
              <w:jc w:val="center"/>
            </w:pPr>
            <w:r>
              <w:rPr>
                <w:rFonts w:ascii="Times New Roman" w:hAnsi="Times New Roman"/>
                <w:b/>
                <w:i w:val="0"/>
                <w:color w:val="000000"/>
                <w:sz w:val="18"/>
              </w:rPr>
              <w:t>0.99</w:t>
            </w:r>
          </w:p>
        </w:tc>
      </w:tr>
    </w:tbl>
    <w:p>
      <w:pPr>
        <w:spacing w:before="60" w:after="120"/>
        <w:jc w:val="center"/>
      </w:pPr>
      <w:r>
        <w:rPr>
          <w:rFonts w:ascii="Times New Roman" w:hAnsi="Times New Roman"/>
          <w:b/>
          <w:i w:val="0"/>
          <w:color w:val="000000"/>
          <w:sz w:val="16"/>
        </w:rPr>
        <w:t>TABLE I. Comparison of Proposed Model with Baseline Models</w:t>
      </w:r>
    </w:p>
    <w:p>
      <w:pPr>
        <w:spacing w:line="252" w:lineRule="auto" w:after="60"/>
        <w:ind w:firstLine="216"/>
        <w:jc w:val="both"/>
      </w:pPr>
      <w:r>
        <w:rPr>
          <w:rFonts w:ascii="Times New Roman" w:hAnsi="Times New Roman"/>
          <w:b w:val="0"/>
          <w:i w:val="0"/>
          <w:color w:val="000000"/>
          <w:sz w:val="20"/>
        </w:rPr>
        <w:t xml:space="preserve">It can be clearly observed from Table I that the proposed BERT-BiLSTM model achieves superior performance across all evaluation metrics. The proposed framework attains a macro-averaged precision of </w:t>
      </w:r>
      <w:r>
        <w:rPr>
          <w:rFonts w:ascii="Times New Roman" w:hAnsi="Times New Roman"/>
          <w:b/>
          <w:i w:val="0"/>
          <w:color w:val="000000"/>
          <w:sz w:val="20"/>
        </w:rPr>
        <w:t>0.97</w:t>
      </w:r>
      <w:r>
        <w:rPr>
          <w:rFonts w:ascii="Times New Roman" w:hAnsi="Times New Roman"/>
          <w:b w:val="0"/>
          <w:i w:val="0"/>
          <w:color w:val="000000"/>
          <w:sz w:val="20"/>
        </w:rPr>
        <w:t xml:space="preserve"> (96.74%), recall of </w:t>
      </w:r>
      <w:r>
        <w:rPr>
          <w:rFonts w:ascii="Times New Roman" w:hAnsi="Times New Roman"/>
          <w:b/>
          <w:i w:val="0"/>
          <w:color w:val="000000"/>
          <w:sz w:val="20"/>
        </w:rPr>
        <w:t>0.92</w:t>
      </w:r>
      <w:r>
        <w:rPr>
          <w:rFonts w:ascii="Times New Roman" w:hAnsi="Times New Roman"/>
          <w:b w:val="0"/>
          <w:i w:val="0"/>
          <w:color w:val="000000"/>
          <w:sz w:val="20"/>
        </w:rPr>
        <w:t xml:space="preserve"> (92.35%), F1-score of </w:t>
      </w:r>
      <w:r>
        <w:rPr>
          <w:rFonts w:ascii="Times New Roman" w:hAnsi="Times New Roman"/>
          <w:b/>
          <w:i w:val="0"/>
          <w:color w:val="000000"/>
          <w:sz w:val="20"/>
        </w:rPr>
        <w:t>0.94</w:t>
      </w:r>
      <w:r>
        <w:rPr>
          <w:rFonts w:ascii="Times New Roman" w:hAnsi="Times New Roman"/>
          <w:b w:val="0"/>
          <w:i w:val="0"/>
          <w:color w:val="000000"/>
          <w:sz w:val="20"/>
        </w:rPr>
        <w:t xml:space="preserve"> (94.42%), classification accuracy of </w:t>
      </w:r>
      <w:r>
        <w:rPr>
          <w:rFonts w:ascii="Times New Roman" w:hAnsi="Times New Roman"/>
          <w:b/>
          <w:i w:val="0"/>
          <w:color w:val="000000"/>
          <w:sz w:val="20"/>
        </w:rPr>
        <w:t>0.99</w:t>
      </w:r>
      <w:r>
        <w:rPr>
          <w:rFonts w:ascii="Times New Roman" w:hAnsi="Times New Roman"/>
          <w:b w:val="0"/>
          <w:i w:val="0"/>
          <w:color w:val="000000"/>
          <w:sz w:val="20"/>
        </w:rPr>
        <w:t xml:space="preserve"> (99.02%), and an AUC score of </w:t>
      </w:r>
      <w:r>
        <w:rPr>
          <w:rFonts w:ascii="Times New Roman" w:hAnsi="Times New Roman"/>
          <w:b/>
          <w:i w:val="0"/>
          <w:color w:val="000000"/>
          <w:sz w:val="20"/>
        </w:rPr>
        <w:t>0.99</w:t>
      </w:r>
      <w:r>
        <w:rPr>
          <w:rFonts w:ascii="Times New Roman" w:hAnsi="Times New Roman"/>
          <w:b w:val="0"/>
          <w:i w:val="0"/>
          <w:color w:val="000000"/>
          <w:sz w:val="20"/>
        </w:rPr>
        <w:t xml:space="preserve"> (0.9902). In comparison, the published Fraud-BERT baseline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achieved a precision of 0.94, recall of 0.92, F1-score of 0.93, accuracy of 0.99 (98.71%), and AUC of 0.99 (0.9860). Specifically on the minority fraudulent class (Class 1), our model achieves an F1-score of </w:t>
      </w:r>
      <w:r>
        <w:rPr>
          <w:rFonts w:ascii="Times New Roman" w:hAnsi="Times New Roman"/>
          <w:b/>
          <w:i w:val="0"/>
          <w:color w:val="000000"/>
          <w:sz w:val="20"/>
        </w:rPr>
        <w:t>89.36%</w:t>
      </w:r>
      <w:r>
        <w:rPr>
          <w:rFonts w:ascii="Times New Roman" w:hAnsi="Times New Roman"/>
          <w:b w:val="0"/>
          <w:i w:val="0"/>
          <w:color w:val="000000"/>
          <w:sz w:val="20"/>
        </w:rPr>
        <w:t xml:space="preserve"> and precision of </w:t>
      </w:r>
      <w:r>
        <w:rPr>
          <w:rFonts w:ascii="Times New Roman" w:hAnsi="Times New Roman"/>
          <w:b/>
          <w:i w:val="0"/>
          <w:color w:val="000000"/>
          <w:sz w:val="20"/>
        </w:rPr>
        <w:t>94.23%</w:t>
      </w:r>
      <w:r>
        <w:rPr>
          <w:rFonts w:ascii="Times New Roman" w:hAnsi="Times New Roman"/>
          <w:b w:val="0"/>
          <w:i w:val="0"/>
          <w:color w:val="000000"/>
          <w:sz w:val="20"/>
        </w:rPr>
        <w:t>, catching 147 out of 173 fraud cases vs. 145 in Fraud-BERT while significantly reducing false alarms. Standard Bi-LSTM delivers an F1-score of 0.90, whereas traditional models like Logistic Regression and Random Forest suffer from lower F1-scores (0.86 and 0.85 respectively) due to their inability to model sentence semantics.</w:t>
      </w:r>
    </w:p>
    <w:p>
      <w:pPr>
        <w:keepNext/>
        <w:spacing w:before="120" w:after="40"/>
        <w:jc w:val="center"/>
      </w:pPr>
      <w:r>
        <w:drawing>
          <wp:inline xmlns:a="http://schemas.openxmlformats.org/drawingml/2006/main" xmlns:pic="http://schemas.openxmlformats.org/drawingml/2006/picture">
            <wp:extent cx="2651760" cy="2075290"/>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2651760" cy="2075290"/>
                    </a:xfrm>
                    <a:prstGeom prst="rect"/>
                  </pic:spPr>
                </pic:pic>
              </a:graphicData>
            </a:graphic>
          </wp:inline>
        </w:drawing>
      </w:r>
    </w:p>
    <w:p>
      <w:pPr>
        <w:spacing w:after="120"/>
        <w:jc w:val="center"/>
      </w:pPr>
      <w:r>
        <w:rPr>
          <w:rFonts w:ascii="Times New Roman" w:hAnsi="Times New Roman"/>
          <w:b w:val="0"/>
          <w:i w:val="0"/>
          <w:color w:val="000000"/>
          <w:sz w:val="16"/>
        </w:rPr>
        <w:t>Fig. 2. Receiver Operating Characteristic (ROC) Comparison across baseline and proposed models.</w:t>
      </w:r>
    </w:p>
    <w:p>
      <w:pPr>
        <w:keepNext/>
        <w:spacing w:before="160" w:after="60"/>
        <w:jc w:val="left"/>
      </w:pPr>
      <w:r>
        <w:rPr>
          <w:rFonts w:ascii="Times New Roman" w:hAnsi="Times New Roman"/>
          <w:b w:val="0"/>
          <w:i/>
          <w:color w:val="000000"/>
          <w:sz w:val="20"/>
        </w:rPr>
        <w:t>B. Ablation Study</w:t>
      </w:r>
    </w:p>
    <w:p>
      <w:pPr>
        <w:spacing w:line="252" w:lineRule="auto" w:after="60"/>
        <w:ind w:firstLine="216"/>
        <w:jc w:val="both"/>
      </w:pPr>
      <w:r>
        <w:rPr>
          <w:rFonts w:ascii="Times New Roman" w:hAnsi="Times New Roman"/>
          <w:b w:val="0"/>
          <w:i w:val="0"/>
          <w:color w:val="000000"/>
          <w:sz w:val="20"/>
        </w:rPr>
        <w:t>To isolate the specific contributions of the transformer encoder and the recurrent sequential head, we conduct an ablation study. We compare: (1) static word embeddings vs. BERT contextual embeddings, and (2) standard linear heads vs. sequential Bi-LSTM heads. Table II details the ablation results.</w:t>
      </w:r>
    </w:p>
    <w:tbl>
      <w:tblPr>
        <w:tblStyle w:val="LightShading-Accent1"/>
        <w:tblW w:type="auto" w:w="0"/>
        <w:tblLook w:firstColumn="1" w:firstRow="1" w:lastColumn="0" w:lastRow="0" w:noHBand="0" w:noVBand="1" w:val="04A0"/>
      </w:tblPr>
      <w:tblGrid>
        <w:gridCol w:w="2088"/>
        <w:gridCol w:w="2088"/>
        <w:gridCol w:w="2088"/>
        <w:gridCol w:w="2088"/>
        <w:gridCol w:w="2088"/>
      </w:tblGrid>
      <w:tr>
        <w:tc>
          <w:tcPr>
            <w:tcW w:type="dxa" w:w="2088"/>
          </w:tcPr>
          <w:p>
            <w:pPr>
              <w:jc w:val="center"/>
            </w:pPr>
            <w:r>
              <w:rPr>
                <w:rFonts w:ascii="Times New Roman" w:hAnsi="Times New Roman"/>
                <w:b/>
                <w:i w:val="0"/>
                <w:color w:val="000000"/>
                <w:sz w:val="18"/>
              </w:rPr>
              <w:t>Configuration</w:t>
            </w:r>
          </w:p>
        </w:tc>
        <w:tc>
          <w:tcPr>
            <w:tcW w:type="dxa" w:w="2088"/>
          </w:tcPr>
          <w:p>
            <w:pPr>
              <w:jc w:val="center"/>
            </w:pPr>
            <w:r>
              <w:rPr>
                <w:rFonts w:ascii="Times New Roman" w:hAnsi="Times New Roman"/>
                <w:b/>
                <w:i w:val="0"/>
                <w:color w:val="000000"/>
                <w:sz w:val="18"/>
              </w:rPr>
              <w:t>Embedding</w:t>
            </w:r>
          </w:p>
        </w:tc>
        <w:tc>
          <w:tcPr>
            <w:tcW w:type="dxa" w:w="2088"/>
          </w:tcPr>
          <w:p>
            <w:pPr>
              <w:jc w:val="center"/>
            </w:pPr>
            <w:r>
              <w:rPr>
                <w:rFonts w:ascii="Times New Roman" w:hAnsi="Times New Roman"/>
                <w:b/>
                <w:i w:val="0"/>
                <w:color w:val="000000"/>
                <w:sz w:val="18"/>
              </w:rPr>
              <w:t>Classifier Head</w:t>
            </w:r>
          </w:p>
        </w:tc>
        <w:tc>
          <w:tcPr>
            <w:tcW w:type="dxa" w:w="2088"/>
          </w:tcPr>
          <w:p>
            <w:pPr>
              <w:jc w:val="center"/>
            </w:pPr>
            <w:r>
              <w:rPr>
                <w:rFonts w:ascii="Times New Roman" w:hAnsi="Times New Roman"/>
                <w:b/>
                <w:i w:val="0"/>
                <w:color w:val="000000"/>
                <w:sz w:val="18"/>
              </w:rPr>
              <w:t>F1-score</w:t>
            </w:r>
          </w:p>
        </w:tc>
        <w:tc>
          <w:tcPr>
            <w:tcW w:type="dxa" w:w="2088"/>
          </w:tcPr>
          <w:p>
            <w:pPr>
              <w:jc w:val="center"/>
            </w:pPr>
            <w:r>
              <w:rPr>
                <w:rFonts w:ascii="Times New Roman" w:hAnsi="Times New Roman"/>
                <w:b/>
                <w:i w:val="0"/>
                <w:color w:val="000000"/>
                <w:sz w:val="18"/>
              </w:rPr>
              <w:t>F1 Gain</w:t>
            </w:r>
          </w:p>
        </w:tc>
      </w:tr>
      <w:tr>
        <w:tc>
          <w:tcPr>
            <w:tcW w:type="dxa" w:w="2088"/>
          </w:tcPr>
          <w:p>
            <w:pPr>
              <w:jc w:val="left"/>
            </w:pPr>
            <w:r>
              <w:rPr>
                <w:rFonts w:ascii="Times New Roman" w:hAnsi="Times New Roman"/>
                <w:b w:val="0"/>
                <w:i w:val="0"/>
                <w:color w:val="000000"/>
                <w:sz w:val="18"/>
              </w:rPr>
              <w:t>Standard Bi-LSTM</w:t>
            </w:r>
          </w:p>
        </w:tc>
        <w:tc>
          <w:tcPr>
            <w:tcW w:type="dxa" w:w="2088"/>
          </w:tcPr>
          <w:p>
            <w:pPr>
              <w:jc w:val="center"/>
            </w:pPr>
            <w:r>
              <w:rPr>
                <w:rFonts w:ascii="Times New Roman" w:hAnsi="Times New Roman"/>
                <w:b w:val="0"/>
                <w:i w:val="0"/>
                <w:color w:val="000000"/>
                <w:sz w:val="18"/>
              </w:rPr>
              <w:t>Static (Embedding Layer)</w:t>
            </w:r>
          </w:p>
        </w:tc>
        <w:tc>
          <w:tcPr>
            <w:tcW w:type="dxa" w:w="2088"/>
          </w:tcPr>
          <w:p>
            <w:pPr>
              <w:jc w:val="center"/>
            </w:pPr>
            <w:r>
              <w:rPr>
                <w:rFonts w:ascii="Times New Roman" w:hAnsi="Times New Roman"/>
                <w:b w:val="0"/>
                <w:i w:val="0"/>
                <w:color w:val="000000"/>
                <w:sz w:val="18"/>
              </w:rPr>
              <w:t>Bi-LSTM + Max Pool</w:t>
            </w:r>
          </w:p>
        </w:tc>
        <w:tc>
          <w:tcPr>
            <w:tcW w:type="dxa" w:w="2088"/>
          </w:tcPr>
          <w:p>
            <w:pPr>
              <w:jc w:val="center"/>
            </w:pPr>
            <w:r>
              <w:rPr>
                <w:rFonts w:ascii="Times New Roman" w:hAnsi="Times New Roman"/>
                <w:b w:val="0"/>
                <w:i w:val="0"/>
                <w:color w:val="000000"/>
                <w:sz w:val="18"/>
              </w:rPr>
              <w:t>80.46%</w:t>
            </w:r>
          </w:p>
        </w:tc>
        <w:tc>
          <w:tcPr>
            <w:tcW w:type="dxa" w:w="2088"/>
          </w:tcPr>
          <w:p>
            <w:pPr>
              <w:jc w:val="center"/>
            </w:pPr>
            <w:r>
              <w:rPr>
                <w:rFonts w:ascii="Times New Roman" w:hAnsi="Times New Roman"/>
                <w:b w:val="0"/>
                <w:i w:val="0"/>
                <w:color w:val="000000"/>
                <w:sz w:val="18"/>
              </w:rPr>
              <w:t>Baseline</w:t>
            </w:r>
          </w:p>
        </w:tc>
      </w:tr>
      <w:tr>
        <w:tc>
          <w:tcPr>
            <w:tcW w:type="dxa" w:w="2088"/>
          </w:tcPr>
          <w:p>
            <w:pPr>
              <w:jc w:val="left"/>
            </w:pPr>
            <w:r>
              <w:rPr>
                <w:rFonts w:ascii="Times New Roman" w:hAnsi="Times New Roman"/>
                <w:b w:val="0"/>
                <w:i w:val="0"/>
                <w:color w:val="000000"/>
                <w:sz w:val="18"/>
              </w:rPr>
              <w:t>Fraud-BERT [1]</w:t>
            </w:r>
          </w:p>
        </w:tc>
        <w:tc>
          <w:tcPr>
            <w:tcW w:type="dxa" w:w="2088"/>
          </w:tcPr>
          <w:p>
            <w:pPr>
              <w:jc w:val="center"/>
            </w:pPr>
            <w:r>
              <w:rPr>
                <w:rFonts w:ascii="Times New Roman" w:hAnsi="Times New Roman"/>
                <w:b w:val="0"/>
                <w:i w:val="0"/>
                <w:color w:val="000000"/>
                <w:sz w:val="18"/>
              </w:rPr>
              <w:t>Contextual (BERT)</w:t>
            </w:r>
          </w:p>
        </w:tc>
        <w:tc>
          <w:tcPr>
            <w:tcW w:type="dxa" w:w="2088"/>
          </w:tcPr>
          <w:p>
            <w:pPr>
              <w:jc w:val="center"/>
            </w:pPr>
            <w:r>
              <w:rPr>
                <w:rFonts w:ascii="Times New Roman" w:hAnsi="Times New Roman"/>
                <w:b w:val="0"/>
                <w:i w:val="0"/>
                <w:color w:val="000000"/>
                <w:sz w:val="18"/>
              </w:rPr>
              <w:t>Linear (on [CLS])</w:t>
            </w:r>
          </w:p>
        </w:tc>
        <w:tc>
          <w:tcPr>
            <w:tcW w:type="dxa" w:w="2088"/>
          </w:tcPr>
          <w:p>
            <w:pPr>
              <w:jc w:val="center"/>
            </w:pPr>
            <w:r>
              <w:rPr>
                <w:rFonts w:ascii="Times New Roman" w:hAnsi="Times New Roman"/>
                <w:b w:val="0"/>
                <w:i w:val="0"/>
                <w:color w:val="000000"/>
                <w:sz w:val="18"/>
              </w:rPr>
              <w:t>86.31%</w:t>
            </w:r>
          </w:p>
        </w:tc>
        <w:tc>
          <w:tcPr>
            <w:tcW w:type="dxa" w:w="2088"/>
          </w:tcPr>
          <w:p>
            <w:pPr>
              <w:jc w:val="center"/>
            </w:pPr>
            <w:r>
              <w:rPr>
                <w:rFonts w:ascii="Times New Roman" w:hAnsi="Times New Roman"/>
                <w:b w:val="0"/>
                <w:i w:val="0"/>
                <w:color w:val="000000"/>
                <w:sz w:val="18"/>
              </w:rPr>
              <w:t>+5.85%</w:t>
            </w:r>
          </w:p>
        </w:tc>
      </w:tr>
      <w:tr>
        <w:tc>
          <w:tcPr>
            <w:tcW w:type="dxa" w:w="2088"/>
          </w:tcPr>
          <w:p>
            <w:pPr>
              <w:jc w:val="left"/>
            </w:pPr>
            <w:r>
              <w:rPr>
                <w:rFonts w:ascii="Times New Roman" w:hAnsi="Times New Roman"/>
                <w:b w:val="0"/>
                <w:i w:val="0"/>
                <w:color w:val="000000"/>
                <w:sz w:val="18"/>
              </w:rPr>
              <w:t>BERT + Linear Head</w:t>
            </w:r>
          </w:p>
        </w:tc>
        <w:tc>
          <w:tcPr>
            <w:tcW w:type="dxa" w:w="2088"/>
          </w:tcPr>
          <w:p>
            <w:pPr>
              <w:jc w:val="center"/>
            </w:pPr>
            <w:r>
              <w:rPr>
                <w:rFonts w:ascii="Times New Roman" w:hAnsi="Times New Roman"/>
                <w:b w:val="0"/>
                <w:i w:val="0"/>
                <w:color w:val="000000"/>
                <w:sz w:val="18"/>
              </w:rPr>
              <w:t>Contextual (BERT)</w:t>
            </w:r>
          </w:p>
        </w:tc>
        <w:tc>
          <w:tcPr>
            <w:tcW w:type="dxa" w:w="2088"/>
          </w:tcPr>
          <w:p>
            <w:pPr>
              <w:jc w:val="center"/>
            </w:pPr>
            <w:r>
              <w:rPr>
                <w:rFonts w:ascii="Times New Roman" w:hAnsi="Times New Roman"/>
                <w:b w:val="0"/>
                <w:i w:val="0"/>
                <w:color w:val="000000"/>
                <w:sz w:val="18"/>
              </w:rPr>
              <w:t>Linear (on Avg Pool)</w:t>
            </w:r>
          </w:p>
        </w:tc>
        <w:tc>
          <w:tcPr>
            <w:tcW w:type="dxa" w:w="2088"/>
          </w:tcPr>
          <w:p>
            <w:pPr>
              <w:jc w:val="center"/>
            </w:pPr>
            <w:r>
              <w:rPr>
                <w:rFonts w:ascii="Times New Roman" w:hAnsi="Times New Roman"/>
                <w:b w:val="0"/>
                <w:i w:val="0"/>
                <w:color w:val="000000"/>
                <w:sz w:val="18"/>
              </w:rPr>
              <w:t>87.52%</w:t>
            </w:r>
          </w:p>
        </w:tc>
        <w:tc>
          <w:tcPr>
            <w:tcW w:type="dxa" w:w="2088"/>
          </w:tcPr>
          <w:p>
            <w:pPr>
              <w:jc w:val="center"/>
            </w:pPr>
            <w:r>
              <w:rPr>
                <w:rFonts w:ascii="Times New Roman" w:hAnsi="Times New Roman"/>
                <w:b w:val="0"/>
                <w:i w:val="0"/>
                <w:color w:val="000000"/>
                <w:sz w:val="18"/>
              </w:rPr>
              <w:t>+7.06%</w:t>
            </w:r>
          </w:p>
        </w:tc>
      </w:tr>
      <w:tr>
        <w:tc>
          <w:tcPr>
            <w:tcW w:type="dxa" w:w="2088"/>
          </w:tcPr>
          <w:p>
            <w:pPr>
              <w:jc w:val="left"/>
            </w:pPr>
            <w:r>
              <w:rPr>
                <w:rFonts w:ascii="Times New Roman" w:hAnsi="Times New Roman"/>
                <w:b/>
                <w:i w:val="0"/>
                <w:color w:val="000000"/>
                <w:sz w:val="18"/>
              </w:rPr>
              <w:t>Proposed BERT-BiLSTM</w:t>
            </w:r>
          </w:p>
        </w:tc>
        <w:tc>
          <w:tcPr>
            <w:tcW w:type="dxa" w:w="2088"/>
          </w:tcPr>
          <w:p>
            <w:pPr>
              <w:jc w:val="center"/>
            </w:pPr>
            <w:r>
              <w:rPr>
                <w:rFonts w:ascii="Times New Roman" w:hAnsi="Times New Roman"/>
                <w:b/>
                <w:i w:val="0"/>
                <w:color w:val="000000"/>
                <w:sz w:val="18"/>
              </w:rPr>
              <w:t>Contextual (BERT)</w:t>
            </w:r>
          </w:p>
        </w:tc>
        <w:tc>
          <w:tcPr>
            <w:tcW w:type="dxa" w:w="2088"/>
          </w:tcPr>
          <w:p>
            <w:pPr>
              <w:jc w:val="center"/>
            </w:pPr>
            <w:r>
              <w:rPr>
                <w:rFonts w:ascii="Times New Roman" w:hAnsi="Times New Roman"/>
                <w:b/>
                <w:i w:val="0"/>
                <w:color w:val="000000"/>
                <w:sz w:val="18"/>
              </w:rPr>
              <w:t>Bi-LSTM + Max Pool</w:t>
            </w:r>
          </w:p>
        </w:tc>
        <w:tc>
          <w:tcPr>
            <w:tcW w:type="dxa" w:w="2088"/>
          </w:tcPr>
          <w:p>
            <w:pPr>
              <w:jc w:val="center"/>
            </w:pPr>
            <w:r>
              <w:rPr>
                <w:rFonts w:ascii="Times New Roman" w:hAnsi="Times New Roman"/>
                <w:b/>
                <w:i w:val="0"/>
                <w:color w:val="000000"/>
                <w:sz w:val="18"/>
              </w:rPr>
              <w:t>89.36%</w:t>
            </w:r>
          </w:p>
        </w:tc>
        <w:tc>
          <w:tcPr>
            <w:tcW w:type="dxa" w:w="2088"/>
          </w:tcPr>
          <w:p>
            <w:pPr>
              <w:jc w:val="center"/>
            </w:pPr>
            <w:r>
              <w:rPr>
                <w:rFonts w:ascii="Times New Roman" w:hAnsi="Times New Roman"/>
                <w:b/>
                <w:i w:val="0"/>
                <w:color w:val="000000"/>
                <w:sz w:val="18"/>
              </w:rPr>
              <w:t>+8.90%</w:t>
            </w:r>
          </w:p>
        </w:tc>
      </w:tr>
    </w:tbl>
    <w:p>
      <w:pPr>
        <w:spacing w:before="60" w:after="120"/>
        <w:jc w:val="center"/>
      </w:pPr>
      <w:r>
        <w:rPr>
          <w:rFonts w:ascii="Times New Roman" w:hAnsi="Times New Roman"/>
          <w:b/>
          <w:i w:val="0"/>
          <w:color w:val="000000"/>
          <w:sz w:val="16"/>
        </w:rPr>
        <w:t>TABLE II. Ablation Study of Proposed Architecture</w:t>
      </w:r>
    </w:p>
    <w:p>
      <w:pPr>
        <w:spacing w:line="252" w:lineRule="auto" w:after="60"/>
        <w:ind w:firstLine="216"/>
        <w:jc w:val="both"/>
      </w:pPr>
      <w:r>
        <w:rPr>
          <w:rFonts w:ascii="Times New Roman" w:hAnsi="Times New Roman"/>
          <w:b w:val="0"/>
          <w:i w:val="0"/>
          <w:color w:val="000000"/>
          <w:sz w:val="20"/>
        </w:rPr>
        <w:t>The ablation findings highlight two clear trends: First, replacing static word embeddings with BERT contextual representations while maintaining the Bi-LSTM head provides an 8.90% increase in F1-score (from 80.46% to 89.36%). Contextual embeddings allow the network to recognize when common words are used in suspicious contexts. Second, passing full sequence hidden states through a 2-layer Bi-LSTM head outperforms a standard linear classifier on the [CLS] token (89.36% vs. 86.31%), demonstrating that retaining sentence structure is critical for scam detection.</w:t>
      </w:r>
    </w:p>
    <w:p>
      <w:pPr>
        <w:keepNext/>
        <w:spacing w:before="160" w:after="60"/>
        <w:jc w:val="left"/>
      </w:pPr>
      <w:r>
        <w:rPr>
          <w:rFonts w:ascii="Times New Roman" w:hAnsi="Times New Roman"/>
          <w:b w:val="0"/>
          <w:i/>
          <w:color w:val="000000"/>
          <w:sz w:val="20"/>
        </w:rPr>
        <w:t>C. Cross-Domain Generalization Analysis</w:t>
      </w:r>
    </w:p>
    <w:p>
      <w:pPr>
        <w:spacing w:line="252" w:lineRule="auto" w:after="60"/>
        <w:ind w:firstLine="216"/>
        <w:jc w:val="both"/>
      </w:pPr>
      <w:r>
        <w:rPr>
          <w:rFonts w:ascii="Times New Roman" w:hAnsi="Times New Roman"/>
          <w:b w:val="0"/>
          <w:i w:val="0"/>
          <w:color w:val="000000"/>
          <w:sz w:val="20"/>
        </w:rPr>
        <w:t xml:space="preserve">To test whether our framework generalizes beyond standard office posts, we run a domain generalization experiment by splitting the EMSCAD dataset along the 'telecommuting' attribute (Work-from-Home vs. On-site jobs). Remote jobs feature unique vocabulary and a higher density of deceptive listings. We train the network exclusively on On-site postings (17,014 samples) and evaluate it on Work-from-Home postings (866 samples). The proposed BERT-BiLSTM model maintains an F1-score of </w:t>
      </w:r>
      <w:r>
        <w:rPr>
          <w:rFonts w:ascii="Times New Roman" w:hAnsi="Times New Roman"/>
          <w:b/>
          <w:i w:val="0"/>
          <w:color w:val="000000"/>
          <w:sz w:val="20"/>
        </w:rPr>
        <w:t>88.50%</w:t>
      </w:r>
      <w:r>
        <w:rPr>
          <w:rFonts w:ascii="Times New Roman" w:hAnsi="Times New Roman"/>
          <w:b w:val="0"/>
          <w:i w:val="0"/>
          <w:color w:val="000000"/>
          <w:sz w:val="20"/>
        </w:rPr>
        <w:t xml:space="preserve"> under this distribution shift, while traditional Logistic Regression drops to an F1-score of </w:t>
      </w:r>
      <w:r>
        <w:rPr>
          <w:rFonts w:ascii="Times New Roman" w:hAnsi="Times New Roman"/>
          <w:b/>
          <w:i w:val="0"/>
          <w:color w:val="000000"/>
          <w:sz w:val="20"/>
        </w:rPr>
        <w:t>65.40%</w:t>
      </w:r>
      <w:r>
        <w:rPr>
          <w:rFonts w:ascii="Times New Roman" w:hAnsi="Times New Roman"/>
          <w:b w:val="0"/>
          <w:i w:val="0"/>
          <w:color w:val="000000"/>
          <w:sz w:val="20"/>
        </w:rPr>
        <w:t>. This confirms that pre-trained transformer representations provide strong out-of-domain robustness.</w:t>
      </w:r>
    </w:p>
    <w:p>
      <w:pPr>
        <w:keepNext/>
        <w:spacing w:before="160" w:after="60"/>
        <w:jc w:val="left"/>
      </w:pPr>
      <w:r>
        <w:rPr>
          <w:rFonts w:ascii="Times New Roman" w:hAnsi="Times New Roman"/>
          <w:b w:val="0"/>
          <w:i/>
          <w:color w:val="000000"/>
          <w:sz w:val="20"/>
        </w:rPr>
        <w:t>D. Statistical Significance Testing</w:t>
      </w:r>
    </w:p>
    <w:p>
      <w:pPr>
        <w:spacing w:line="252" w:lineRule="auto" w:after="60"/>
        <w:ind w:firstLine="216"/>
        <w:jc w:val="both"/>
      </w:pPr>
      <w:r>
        <w:rPr>
          <w:rFonts w:ascii="Times New Roman" w:hAnsi="Times New Roman"/>
          <w:b w:val="0"/>
          <w:i w:val="0"/>
          <w:color w:val="000000"/>
          <w:sz w:val="20"/>
        </w:rPr>
        <w:t>To verify that the performance gains are statistically significant rather than an artifact of test sampling, we perform a McNemar significance test. McNemar's test evaluates the paired disagreement matrix between model predictions on the identical test set. The comparison between our proposed BERT-BiLSTM framework and the baseline Fraud-BERT model yields a chi-squared value of 14.22 with a p-value of 0.00016. Because the p-value is well below the significance threshold (alpha = 0.01), we reject the null hypothesis, confirming that the improvement is statistically meaningful.</w:t>
      </w:r>
    </w:p>
    <w:p>
      <w:pPr>
        <w:keepNext/>
        <w:spacing w:before="160" w:after="60"/>
        <w:jc w:val="left"/>
      </w:pPr>
      <w:r>
        <w:rPr>
          <w:rFonts w:ascii="Times New Roman" w:hAnsi="Times New Roman"/>
          <w:b w:val="0"/>
          <w:i/>
          <w:color w:val="000000"/>
          <w:sz w:val="20"/>
        </w:rPr>
        <w:t>E. Explainability Analysis using SHAP</w:t>
      </w:r>
    </w:p>
    <w:p>
      <w:pPr>
        <w:spacing w:line="252" w:lineRule="auto" w:after="60"/>
        <w:ind w:firstLine="216"/>
        <w:jc w:val="both"/>
      </w:pPr>
      <w:r>
        <w:rPr>
          <w:rFonts w:ascii="Times New Roman" w:hAnsi="Times New Roman"/>
          <w:b w:val="0"/>
          <w:i w:val="0"/>
          <w:color w:val="000000"/>
          <w:sz w:val="20"/>
        </w:rPr>
        <w:t>To address the black-box limitation of previous deep learning studies, we apply SHAP to extract token-level attributions. Figure 3 shows the feature importance plot for the most influential words in the test set. Terms such as 'Immediate', 'Entry', 'Wire', and 'Verification' are identified as strong indicators of fraud, whereas detailed company profiles and standard benefit terms shift predictions toward genuine classifications. This transparency allows recruitment moderators to review model decisions with confidence before taking action.</w:t>
      </w:r>
    </w:p>
    <w:p>
      <w:pPr>
        <w:keepNext/>
        <w:spacing w:before="120" w:after="40"/>
        <w:jc w:val="center"/>
      </w:pPr>
      <w:r>
        <w:drawing>
          <wp:inline xmlns:a="http://schemas.openxmlformats.org/drawingml/2006/main" xmlns:pic="http://schemas.openxmlformats.org/drawingml/2006/picture">
            <wp:extent cx="2651760" cy="1657350"/>
            <wp:docPr id="3" name="Picture 3"/>
            <wp:cNvGraphicFramePr>
              <a:graphicFrameLocks noChangeAspect="1"/>
            </wp:cNvGraphicFramePr>
            <a:graphic>
              <a:graphicData uri="http://schemas.openxmlformats.org/drawingml/2006/picture">
                <pic:pic>
                  <pic:nvPicPr>
                    <pic:cNvPr id="0" name="shap_importance.png"/>
                    <pic:cNvPicPr/>
                  </pic:nvPicPr>
                  <pic:blipFill>
                    <a:blip r:embed="rId11"/>
                    <a:stretch>
                      <a:fillRect/>
                    </a:stretch>
                  </pic:blipFill>
                  <pic:spPr>
                    <a:xfrm>
                      <a:off x="0" y="0"/>
                      <a:ext cx="2651760" cy="1657350"/>
                    </a:xfrm>
                    <a:prstGeom prst="rect"/>
                  </pic:spPr>
                </pic:pic>
              </a:graphicData>
            </a:graphic>
          </wp:inline>
        </w:drawing>
      </w:r>
    </w:p>
    <w:p>
      <w:pPr>
        <w:spacing w:after="120"/>
        <w:jc w:val="center"/>
      </w:pPr>
      <w:r>
        <w:rPr>
          <w:rFonts w:ascii="Times New Roman" w:hAnsi="Times New Roman"/>
          <w:b w:val="0"/>
          <w:i w:val="0"/>
          <w:color w:val="000000"/>
          <w:sz w:val="16"/>
        </w:rPr>
        <w:t>Fig. 3. Mean SHAP Values of top fraudulent and genuine text indicators.</w:t>
      </w:r>
    </w:p>
    <w:p>
      <w:pPr>
        <w:keepNext/>
        <w:spacing w:before="160" w:after="60"/>
        <w:jc w:val="left"/>
      </w:pPr>
      <w:r>
        <w:rPr>
          <w:rFonts w:ascii="Times New Roman" w:hAnsi="Times New Roman"/>
          <w:b w:val="0"/>
          <w:i/>
          <w:color w:val="000000"/>
          <w:sz w:val="20"/>
        </w:rPr>
        <w:t>F. Error Analysis</w:t>
      </w:r>
    </w:p>
    <w:p>
      <w:pPr>
        <w:spacing w:line="252" w:lineRule="auto" w:after="60"/>
        <w:ind w:firstLine="216"/>
        <w:jc w:val="both"/>
      </w:pPr>
      <w:r>
        <w:rPr>
          <w:rFonts w:ascii="Times New Roman" w:hAnsi="Times New Roman"/>
          <w:b w:val="0"/>
          <w:i w:val="0"/>
          <w:color w:val="000000"/>
          <w:sz w:val="20"/>
        </w:rPr>
        <w:t>We performed a manual review of misclassified postings in the test set. False positives (genuine posts flagged as fraud) mostly occur in postings from early-stage startups that use informal hiring language (e.g., 'urgent requirement', 'no experience needed') or omit corporate profile summaries. False negatives (scams classified as genuine) occur in sophisticated listings that duplicate legitimate company ads, modifying only the contact email or application portal link. Incorporating domain verification could further reduce these false negatives.</w:t>
      </w:r>
    </w:p>
    <w:p>
      <w:pPr>
        <w:keepNext/>
        <w:spacing w:before="120" w:after="40"/>
        <w:jc w:val="center"/>
      </w:pPr>
      <w:r>
        <w:drawing>
          <wp:inline xmlns:a="http://schemas.openxmlformats.org/drawingml/2006/main" xmlns:pic="http://schemas.openxmlformats.org/drawingml/2006/picture">
            <wp:extent cx="2468880" cy="2057400"/>
            <wp:docPr id="4" name="Picture 4"/>
            <wp:cNvGraphicFramePr>
              <a:graphicFrameLocks noChangeAspect="1"/>
            </wp:cNvGraphicFramePr>
            <a:graphic>
              <a:graphicData uri="http://schemas.openxmlformats.org/drawingml/2006/picture">
                <pic:pic>
                  <pic:nvPicPr>
                    <pic:cNvPr id="0" name="confusion_matrix_proposed.png"/>
                    <pic:cNvPicPr/>
                  </pic:nvPicPr>
                  <pic:blipFill>
                    <a:blip r:embed="rId12"/>
                    <a:stretch>
                      <a:fillRect/>
                    </a:stretch>
                  </pic:blipFill>
                  <pic:spPr>
                    <a:xfrm>
                      <a:off x="0" y="0"/>
                      <a:ext cx="2468880" cy="2057400"/>
                    </a:xfrm>
                    <a:prstGeom prst="rect"/>
                  </pic:spPr>
                </pic:pic>
              </a:graphicData>
            </a:graphic>
          </wp:inline>
        </w:drawing>
      </w:r>
    </w:p>
    <w:p>
      <w:pPr>
        <w:spacing w:after="120"/>
        <w:jc w:val="center"/>
      </w:pPr>
      <w:r>
        <w:rPr>
          <w:rFonts w:ascii="Times New Roman" w:hAnsi="Times New Roman"/>
          <w:b w:val="0"/>
          <w:i w:val="0"/>
          <w:color w:val="000000"/>
          <w:sz w:val="16"/>
        </w:rPr>
        <w:t>Fig. 4. Confusion Matrix for the proposed hybrid BERT-BiLSTM model.</w:t>
      </w:r>
    </w:p>
    <w:p>
      <w:pPr>
        <w:keepNext/>
        <w:spacing w:before="200" w:after="80"/>
        <w:jc w:val="center"/>
      </w:pPr>
      <w:r>
        <w:rPr>
          <w:rFonts w:ascii="Times New Roman" w:hAnsi="Times New Roman"/>
          <w:b/>
          <w:i w:val="0"/>
          <w:color w:val="000000"/>
          <w:sz w:val="20"/>
        </w:rPr>
        <w:t>VI.  CONCLUSION AND FUTURE SCOPE</w:t>
      </w:r>
    </w:p>
    <w:p>
      <w:pPr>
        <w:spacing w:line="252" w:lineRule="auto" w:after="60"/>
        <w:ind w:firstLine="216"/>
        <w:jc w:val="both"/>
      </w:pPr>
      <w:r>
        <w:rPr>
          <w:rFonts w:ascii="Times New Roman" w:hAnsi="Times New Roman"/>
          <w:b w:val="0"/>
          <w:i w:val="0"/>
          <w:color w:val="000000"/>
          <w:sz w:val="20"/>
        </w:rPr>
        <w:t>This paper presented an explainable and sequence-preserving BERT-BiLSTM framework for online recruitment fraud detection. By combining a transformer encoder with a 2-layer bidirectional recurrent network, our model extracts deep semantic features while preserving sequential context. Evaluated on the EMSCAD dataset, our model achieves a macro F1-score of 0.94 (94.42%), macro precision of 0.97, macro recall of 0.92, accuracy of 0.99 (99.02%), and AUC of 0.99 (0.9902), outperforming the published Fraud-BERT baseline. In addition, integrating SHAP provides token-level interpretability, overcoming the black-box limitation of prior architectures. Future work will explore incorporating structured non-textual features and testing across multilingual job boards.</w:t>
      </w:r>
    </w:p>
    <w:p>
      <w:pPr>
        <w:keepNext/>
        <w:spacing w:before="200" w:after="80"/>
        <w:jc w:val="center"/>
      </w:pPr>
      <w:r>
        <w:rPr>
          <w:rFonts w:ascii="Times New Roman" w:hAnsi="Times New Roman"/>
          <w:b/>
          <w:i w:val="0"/>
          <w:color w:val="000000"/>
          <w:sz w:val="20"/>
        </w:rPr>
        <w:t>REFERENCES</w:t>
      </w:r>
    </w:p>
    <w:p>
      <w:bookmarkStart w:id="1" w:name="ref_1"/>
      <w:pPr>
        <w:spacing w:after="40"/>
        <w:ind w:left="360" w:hanging="360"/>
        <w:jc w:val="both"/>
      </w:pPr>
      <w:bookmarkEnd w:id="1"/>
      <w:r>
        <w:rPr>
          <w:rFonts w:ascii="Times New Roman" w:hAnsi="Times New Roman"/>
          <w:b w:val="0"/>
          <w:i w:val="0"/>
          <w:color w:val="000000"/>
          <w:sz w:val="16"/>
        </w:rPr>
        <w:t>[1]</w:t>
        <w:tab/>
      </w:r>
      <w:r>
        <w:rPr>
          <w:rFonts w:ascii="Times New Roman" w:hAnsi="Times New Roman"/>
          <w:b w:val="0"/>
          <w:i w:val="0"/>
          <w:color w:val="000000"/>
          <w:sz w:val="16"/>
        </w:rPr>
        <w:t xml:space="preserve">K. Taneja, J. Vashishtha, and S. Ratnoo, </w:t>
      </w:r>
      <w:r>
        <w:rPr>
          <w:rFonts w:ascii="Times New Roman" w:hAnsi="Times New Roman"/>
          <w:b w:val="0"/>
          <w:i w:val="0"/>
          <w:color w:val="000000"/>
          <w:sz w:val="16"/>
        </w:rPr>
        <w:t>"Fraud-BERT: transformer based context aware online recruitment fraud detection,"</w:t>
      </w:r>
      <w:r>
        <w:rPr>
          <w:rFonts w:ascii="Times New Roman" w:hAnsi="Times New Roman"/>
          <w:b w:val="0"/>
          <w:i w:val="0"/>
          <w:color w:val="000000"/>
          <w:sz w:val="16"/>
        </w:rPr>
        <w:t xml:space="preserve"> </w:t>
      </w:r>
      <w:r>
        <w:rPr>
          <w:rFonts w:ascii="Times New Roman" w:hAnsi="Times New Roman"/>
          <w:b w:val="0"/>
          <w:i/>
          <w:color w:val="000000"/>
          <w:sz w:val="16"/>
        </w:rPr>
        <w:t>Discover Computing</w:t>
      </w:r>
      <w:r>
        <w:rPr>
          <w:rFonts w:ascii="Times New Roman" w:hAnsi="Times New Roman"/>
          <w:b w:val="0"/>
          <w:i w:val="0"/>
          <w:color w:val="000000"/>
          <w:sz w:val="16"/>
        </w:rPr>
        <w:t>, vol. 28, no. 9, pp. 1-16, 2025.</w:t>
      </w:r>
    </w:p>
    <w:p>
      <w:bookmarkStart w:id="2" w:name="ref_2"/>
      <w:pPr>
        <w:spacing w:after="40"/>
        <w:ind w:left="360" w:hanging="360"/>
        <w:jc w:val="both"/>
      </w:pPr>
      <w:bookmarkEnd w:id="2"/>
      <w:r>
        <w:rPr>
          <w:rFonts w:ascii="Times New Roman" w:hAnsi="Times New Roman"/>
          <w:b w:val="0"/>
          <w:i w:val="0"/>
          <w:color w:val="000000"/>
          <w:sz w:val="16"/>
        </w:rPr>
        <w:t>[2]</w:t>
        <w:tab/>
      </w:r>
      <w:r>
        <w:rPr>
          <w:rFonts w:ascii="Times New Roman" w:hAnsi="Times New Roman"/>
          <w:b w:val="0"/>
          <w:i w:val="0"/>
          <w:color w:val="000000"/>
          <w:sz w:val="16"/>
        </w:rPr>
        <w:t xml:space="preserve">A. S. Pillai, </w:t>
      </w:r>
      <w:r>
        <w:rPr>
          <w:rFonts w:ascii="Times New Roman" w:hAnsi="Times New Roman"/>
          <w:b w:val="0"/>
          <w:i w:val="0"/>
          <w:color w:val="000000"/>
          <w:sz w:val="16"/>
        </w:rPr>
        <w:t>"Detecting Fake Job Postings Using Bidirectional LSTM,"</w:t>
      </w:r>
      <w:r>
        <w:rPr>
          <w:rFonts w:ascii="Times New Roman" w:hAnsi="Times New Roman"/>
          <w:b w:val="0"/>
          <w:i w:val="0"/>
          <w:color w:val="000000"/>
          <w:sz w:val="16"/>
        </w:rPr>
        <w:t xml:space="preserve"> </w:t>
      </w:r>
      <w:r>
        <w:rPr>
          <w:rFonts w:ascii="Times New Roman" w:hAnsi="Times New Roman"/>
          <w:b w:val="0"/>
          <w:i/>
          <w:color w:val="000000"/>
          <w:sz w:val="16"/>
        </w:rPr>
        <w:t>International Research Journal of Modernization in Engineering Technology and Science</w:t>
      </w:r>
      <w:r>
        <w:rPr>
          <w:rFonts w:ascii="Times New Roman" w:hAnsi="Times New Roman"/>
          <w:b w:val="0"/>
          <w:i w:val="0"/>
          <w:color w:val="000000"/>
          <w:sz w:val="16"/>
        </w:rPr>
        <w:t>, vol. 5, no. 3, pp. 3883-3890, 2023.</w:t>
      </w:r>
    </w:p>
    <w:p>
      <w:bookmarkStart w:id="3" w:name="ref_3"/>
      <w:pPr>
        <w:spacing w:after="40"/>
        <w:ind w:left="360" w:hanging="360"/>
        <w:jc w:val="both"/>
      </w:pPr>
      <w:bookmarkEnd w:id="3"/>
      <w:r>
        <w:rPr>
          <w:rFonts w:ascii="Times New Roman" w:hAnsi="Times New Roman"/>
          <w:b w:val="0"/>
          <w:i w:val="0"/>
          <w:color w:val="000000"/>
          <w:sz w:val="16"/>
        </w:rPr>
        <w:t>[3]</w:t>
        <w:tab/>
      </w:r>
      <w:r>
        <w:rPr>
          <w:rFonts w:ascii="Times New Roman" w:hAnsi="Times New Roman"/>
          <w:b w:val="0"/>
          <w:i w:val="0"/>
          <w:color w:val="000000"/>
          <w:sz w:val="16"/>
        </w:rPr>
        <w:t xml:space="preserve">M. Naud{\'e}, K. J. Adebayo, and R. Nanda, </w:t>
      </w:r>
      <w:r>
        <w:rPr>
          <w:rFonts w:ascii="Times New Roman" w:hAnsi="Times New Roman"/>
          <w:b w:val="0"/>
          <w:i w:val="0"/>
          <w:color w:val="000000"/>
          <w:sz w:val="16"/>
        </w:rPr>
        <w:t>"A machine learning approach to detecting fraudulent job types,"</w:t>
      </w:r>
      <w:r>
        <w:rPr>
          <w:rFonts w:ascii="Times New Roman" w:hAnsi="Times New Roman"/>
          <w:b w:val="0"/>
          <w:i w:val="0"/>
          <w:color w:val="000000"/>
          <w:sz w:val="16"/>
        </w:rPr>
        <w:t xml:space="preserve"> </w:t>
      </w:r>
      <w:r>
        <w:rPr>
          <w:rFonts w:ascii="Times New Roman" w:hAnsi="Times New Roman"/>
          <w:b w:val="0"/>
          <w:i/>
          <w:color w:val="000000"/>
          <w:sz w:val="16"/>
        </w:rPr>
        <w:t>AI \&amp; SOCIETY</w:t>
      </w:r>
      <w:r>
        <w:rPr>
          <w:rFonts w:ascii="Times New Roman" w:hAnsi="Times New Roman"/>
          <w:b w:val="0"/>
          <w:i w:val="0"/>
          <w:color w:val="000000"/>
          <w:sz w:val="16"/>
        </w:rPr>
        <w:t>, vol. 38, pp. 1013-1024, 2023.</w:t>
      </w:r>
    </w:p>
    <w:p>
      <w:bookmarkStart w:id="4" w:name="ref_4"/>
      <w:pPr>
        <w:spacing w:after="40"/>
        <w:ind w:left="360" w:hanging="360"/>
        <w:jc w:val="both"/>
      </w:pPr>
      <w:bookmarkEnd w:id="4"/>
      <w:r>
        <w:rPr>
          <w:rFonts w:ascii="Times New Roman" w:hAnsi="Times New Roman"/>
          <w:b w:val="0"/>
          <w:i w:val="0"/>
          <w:color w:val="000000"/>
          <w:sz w:val="16"/>
        </w:rPr>
        <w:t>[4]</w:t>
        <w:tab/>
      </w:r>
      <w:r>
        <w:rPr>
          <w:rFonts w:ascii="Times New Roman" w:hAnsi="Times New Roman"/>
          <w:b w:val="0"/>
          <w:i w:val="0"/>
          <w:color w:val="000000"/>
          <w:sz w:val="16"/>
        </w:rPr>
        <w:t xml:space="preserve">B. Chiraratanasopha and T. Chay-intr, </w:t>
      </w:r>
      <w:r>
        <w:rPr>
          <w:rFonts w:ascii="Times New Roman" w:hAnsi="Times New Roman"/>
          <w:b w:val="0"/>
          <w:i w:val="0"/>
          <w:color w:val="000000"/>
          <w:sz w:val="16"/>
        </w:rPr>
        <w:t>"Detecting Fraud Job Recruitment Using Features Reflecting from Real-world Knowledge of Fraud,"</w:t>
      </w:r>
      <w:r>
        <w:rPr>
          <w:rFonts w:ascii="Times New Roman" w:hAnsi="Times New Roman"/>
          <w:b w:val="0"/>
          <w:i w:val="0"/>
          <w:color w:val="000000"/>
          <w:sz w:val="16"/>
        </w:rPr>
        <w:t xml:space="preserve"> </w:t>
      </w:r>
      <w:r>
        <w:rPr>
          <w:rFonts w:ascii="Times New Roman" w:hAnsi="Times New Roman"/>
          <w:b w:val="0"/>
          <w:i/>
          <w:color w:val="000000"/>
          <w:sz w:val="16"/>
        </w:rPr>
        <w:t>Current Applied Science and Technology</w:t>
      </w:r>
      <w:r>
        <w:rPr>
          <w:rFonts w:ascii="Times New Roman" w:hAnsi="Times New Roman"/>
          <w:b w:val="0"/>
          <w:i w:val="0"/>
          <w:color w:val="000000"/>
          <w:sz w:val="16"/>
        </w:rPr>
        <w:t>, vol. 22, no. 6, pp. 1-12, 2022.</w:t>
      </w:r>
    </w:p>
    <w:p>
      <w:bookmarkStart w:id="5" w:name="ref_5"/>
      <w:pPr>
        <w:spacing w:after="40"/>
        <w:ind w:left="360" w:hanging="360"/>
        <w:jc w:val="both"/>
      </w:pPr>
      <w:bookmarkEnd w:id="5"/>
      <w:r>
        <w:rPr>
          <w:rFonts w:ascii="Times New Roman" w:hAnsi="Times New Roman"/>
          <w:b w:val="0"/>
          <w:i w:val="0"/>
          <w:color w:val="000000"/>
          <w:sz w:val="16"/>
        </w:rPr>
        <w:t>[5]</w:t>
        <w:tab/>
      </w:r>
      <w:r>
        <w:rPr>
          <w:rFonts w:ascii="Times New Roman" w:hAnsi="Times New Roman"/>
          <w:b w:val="0"/>
          <w:i w:val="0"/>
          <w:color w:val="000000"/>
          <w:sz w:val="16"/>
        </w:rPr>
        <w:t xml:space="preserve">S. Salloum, K. Tahat, R. Alfaisal, A. Mansoori, and D. Tahat, </w:t>
      </w:r>
      <w:r>
        <w:rPr>
          <w:rFonts w:ascii="Times New Roman" w:hAnsi="Times New Roman"/>
          <w:b w:val="0"/>
          <w:i w:val="0"/>
          <w:color w:val="000000"/>
          <w:sz w:val="16"/>
        </w:rPr>
        <w:t>"Analysis of Fraudulent Job Postings Using Machine Learning,"</w:t>
      </w:r>
      <w:r>
        <w:rPr>
          <w:rFonts w:ascii="Times New Roman" w:hAnsi="Times New Roman"/>
          <w:b w:val="0"/>
          <w:i w:val="0"/>
          <w:color w:val="000000"/>
          <w:sz w:val="16"/>
        </w:rPr>
        <w:t xml:space="preserve"> </w:t>
      </w:r>
      <w:r>
        <w:rPr>
          <w:rFonts w:ascii="Times New Roman" w:hAnsi="Times New Roman"/>
          <w:b w:val="0"/>
          <w:i/>
          <w:color w:val="000000"/>
          <w:sz w:val="16"/>
        </w:rPr>
        <w:t>Journal of Machine Learning Research</w:t>
      </w:r>
      <w:r>
        <w:rPr>
          <w:rFonts w:ascii="Times New Roman" w:hAnsi="Times New Roman"/>
          <w:b w:val="0"/>
          <w:i w:val="0"/>
          <w:color w:val="000000"/>
          <w:sz w:val="16"/>
        </w:rPr>
        <w:t>, vol. 5, pp. 1-15, 2024.</w:t>
      </w:r>
    </w:p>
    <w:p>
      <w:bookmarkStart w:id="6" w:name="ref_6"/>
      <w:pPr>
        <w:spacing w:after="40"/>
        <w:ind w:left="360" w:hanging="360"/>
        <w:jc w:val="both"/>
      </w:pPr>
      <w:bookmarkEnd w:id="6"/>
      <w:r>
        <w:rPr>
          <w:rFonts w:ascii="Times New Roman" w:hAnsi="Times New Roman"/>
          <w:b w:val="0"/>
          <w:i w:val="0"/>
          <w:color w:val="000000"/>
          <w:sz w:val="16"/>
        </w:rPr>
        <w:t>[6]</w:t>
        <w:tab/>
      </w:r>
      <w:r>
        <w:rPr>
          <w:rFonts w:ascii="Times New Roman" w:hAnsi="Times New Roman"/>
          <w:b w:val="0"/>
          <w:i w:val="0"/>
          <w:color w:val="000000"/>
          <w:sz w:val="16"/>
        </w:rPr>
        <w:t xml:space="preserve">S. S. S. Sanisetty, G. N. S, S. V. Kotamaraja, B. N. Reddy, S. Vekkot, and B. V, </w:t>
      </w:r>
      <w:r>
        <w:rPr>
          <w:rFonts w:ascii="Times New Roman" w:hAnsi="Times New Roman"/>
          <w:b w:val="0"/>
          <w:i w:val="0"/>
          <w:color w:val="000000"/>
          <w:sz w:val="16"/>
        </w:rPr>
        <w:t>"Comprehensive Approach to Fraudulent Job Post Detection Using Machine Learning and BERT Models,"</w:t>
      </w:r>
      <w:r>
        <w:rPr>
          <w:rFonts w:ascii="Times New Roman" w:hAnsi="Times New Roman"/>
          <w:b w:val="0"/>
          <w:i w:val="0"/>
          <w:color w:val="000000"/>
          <w:sz w:val="16"/>
        </w:rPr>
        <w:t xml:space="preserve"> in </w:t>
      </w:r>
      <w:r>
        <w:rPr>
          <w:rFonts w:ascii="Times New Roman" w:hAnsi="Times New Roman"/>
          <w:b w:val="0"/>
          <w:i/>
          <w:color w:val="000000"/>
          <w:sz w:val="16"/>
        </w:rPr>
        <w:t>2025 4th International Conference on Distributed Computing and Electrical Circuits and Electronics (ICDCECE)</w:t>
      </w:r>
      <w:r>
        <w:rPr>
          <w:rFonts w:ascii="Times New Roman" w:hAnsi="Times New Roman"/>
          <w:b w:val="0"/>
          <w:i w:val="0"/>
          <w:color w:val="000000"/>
          <w:sz w:val="16"/>
        </w:rPr>
        <w:t>, IEEE, 2025, pp. 1-6.</w:t>
      </w:r>
    </w:p>
    <w:p>
      <w:bookmarkStart w:id="7" w:name="ref_7"/>
      <w:pPr>
        <w:spacing w:after="40"/>
        <w:ind w:left="360" w:hanging="360"/>
        <w:jc w:val="both"/>
      </w:pPr>
      <w:bookmarkEnd w:id="7"/>
      <w:r>
        <w:rPr>
          <w:rFonts w:ascii="Times New Roman" w:hAnsi="Times New Roman"/>
          <w:b w:val="0"/>
          <w:i w:val="0"/>
          <w:color w:val="000000"/>
          <w:sz w:val="16"/>
        </w:rPr>
        <w:t>[7]</w:t>
        <w:tab/>
      </w:r>
      <w:r>
        <w:rPr>
          <w:rFonts w:ascii="Times New Roman" w:hAnsi="Times New Roman"/>
          <w:b w:val="0"/>
          <w:i w:val="0"/>
          <w:color w:val="000000"/>
          <w:sz w:val="16"/>
        </w:rPr>
        <w:t xml:space="preserve">V. Srilakshmi, S. Arukonda, and V. L. Chetana, </w:t>
      </w:r>
      <w:r>
        <w:rPr>
          <w:rFonts w:ascii="Times New Roman" w:hAnsi="Times New Roman"/>
          <w:b w:val="0"/>
          <w:i w:val="0"/>
          <w:color w:val="000000"/>
          <w:sz w:val="16"/>
        </w:rPr>
        <w:t>"A Transformer-Based Framework for Online Recruitment Fraud Detection Using BERT, RoBERTa, SMOBD, and 2D CNN,"</w:t>
      </w:r>
      <w:r>
        <w:rPr>
          <w:rFonts w:ascii="Times New Roman" w:hAnsi="Times New Roman"/>
          <w:b w:val="0"/>
          <w:i w:val="0"/>
          <w:color w:val="000000"/>
          <w:sz w:val="16"/>
        </w:rPr>
        <w:t xml:space="preserve"> </w:t>
      </w:r>
      <w:r>
        <w:rPr>
          <w:rFonts w:ascii="Times New Roman" w:hAnsi="Times New Roman"/>
          <w:b w:val="0"/>
          <w:i/>
          <w:color w:val="000000"/>
          <w:sz w:val="16"/>
        </w:rPr>
        <w:t>Procedia Computer Science</w:t>
      </w:r>
      <w:r>
        <w:rPr>
          <w:rFonts w:ascii="Times New Roman" w:hAnsi="Times New Roman"/>
          <w:b w:val="0"/>
          <w:i w:val="0"/>
          <w:color w:val="000000"/>
          <w:sz w:val="16"/>
        </w:rPr>
        <w:t>, vol. 283, pp. 1145-1153, 2026.</w:t>
      </w:r>
    </w:p>
    <w:p>
      <w:bookmarkStart w:id="8" w:name="ref_8"/>
      <w:pPr>
        <w:spacing w:after="40"/>
        <w:ind w:left="360" w:hanging="360"/>
        <w:jc w:val="both"/>
      </w:pPr>
      <w:bookmarkEnd w:id="8"/>
      <w:r>
        <w:rPr>
          <w:rFonts w:ascii="Times New Roman" w:hAnsi="Times New Roman"/>
          <w:b w:val="0"/>
          <w:i w:val="0"/>
          <w:color w:val="000000"/>
          <w:sz w:val="16"/>
        </w:rPr>
        <w:t>[8]</w:t>
        <w:tab/>
      </w:r>
      <w:r>
        <w:rPr>
          <w:rFonts w:ascii="Times New Roman" w:hAnsi="Times New Roman"/>
          <w:b w:val="0"/>
          <w:i w:val="0"/>
          <w:color w:val="000000"/>
          <w:sz w:val="16"/>
        </w:rPr>
        <w:t xml:space="preserve">G. Varshitha, K. Sowmya, K. Sheshma, K. Sowmya, and R. A. Manikandan, </w:t>
      </w:r>
      <w:r>
        <w:rPr>
          <w:rFonts w:ascii="Times New Roman" w:hAnsi="Times New Roman"/>
          <w:b w:val="0"/>
          <w:i w:val="0"/>
          <w:color w:val="000000"/>
          <w:sz w:val="16"/>
        </w:rPr>
        <w:t>"Online Recruitment Fraud Detection Using Deep Learning Approaches,"</w:t>
      </w:r>
      <w:r>
        <w:rPr>
          <w:rFonts w:ascii="Times New Roman" w:hAnsi="Times New Roman"/>
          <w:b w:val="0"/>
          <w:i w:val="0"/>
          <w:color w:val="000000"/>
          <w:sz w:val="16"/>
        </w:rPr>
        <w:t xml:space="preserve"> </w:t>
      </w:r>
      <w:r>
        <w:rPr>
          <w:rFonts w:ascii="Times New Roman" w:hAnsi="Times New Roman"/>
          <w:b w:val="0"/>
          <w:i/>
          <w:color w:val="000000"/>
          <w:sz w:val="16"/>
        </w:rPr>
        <w:t>International Journal for Multidisciplinary Research (IJFMR)</w:t>
      </w:r>
      <w:r>
        <w:rPr>
          <w:rFonts w:ascii="Times New Roman" w:hAnsi="Times New Roman"/>
          <w:b w:val="0"/>
          <w:i w:val="0"/>
          <w:color w:val="000000"/>
          <w:sz w:val="16"/>
        </w:rPr>
        <w:t>, vol. 8, no. 2, pp. 1-9, 2026.</w:t>
      </w:r>
    </w:p>
    <w:p>
      <w:bookmarkStart w:id="9" w:name="ref_9"/>
      <w:pPr>
        <w:spacing w:after="40"/>
        <w:ind w:left="360" w:hanging="360"/>
        <w:jc w:val="both"/>
      </w:pPr>
      <w:bookmarkEnd w:id="9"/>
      <w:r>
        <w:rPr>
          <w:rFonts w:ascii="Times New Roman" w:hAnsi="Times New Roman"/>
          <w:b w:val="0"/>
          <w:i w:val="0"/>
          <w:color w:val="000000"/>
          <w:sz w:val="16"/>
        </w:rPr>
        <w:t>[9]</w:t>
        <w:tab/>
      </w:r>
      <w:r>
        <w:rPr>
          <w:rFonts w:ascii="Times New Roman" w:hAnsi="Times New Roman"/>
          <w:b w:val="0"/>
          <w:i w:val="0"/>
          <w:color w:val="000000"/>
          <w:sz w:val="16"/>
        </w:rPr>
        <w:t xml:space="preserve">S. Habib, A. Farooq, and S. N. Malik, </w:t>
      </w:r>
      <w:r>
        <w:rPr>
          <w:rFonts w:ascii="Times New Roman" w:hAnsi="Times New Roman"/>
          <w:b w:val="0"/>
          <w:i w:val="0"/>
          <w:color w:val="000000"/>
          <w:sz w:val="16"/>
        </w:rPr>
        <w:t>"Fake Job Vacancy Detection Using Ensemble Voting Classifier,"</w:t>
      </w:r>
      <w:r>
        <w:rPr>
          <w:rFonts w:ascii="Times New Roman" w:hAnsi="Times New Roman"/>
          <w:b w:val="0"/>
          <w:i w:val="0"/>
          <w:color w:val="000000"/>
          <w:sz w:val="16"/>
        </w:rPr>
        <w:t xml:space="preserve"> in </w:t>
      </w:r>
      <w:r>
        <w:rPr>
          <w:rFonts w:ascii="Times New Roman" w:hAnsi="Times New Roman"/>
          <w:b w:val="0"/>
          <w:i/>
          <w:color w:val="000000"/>
          <w:sz w:val="16"/>
        </w:rPr>
        <w:t>2021 International Conference on Decision Aid Sciences and Application (DASA)</w:t>
      </w:r>
      <w:r>
        <w:rPr>
          <w:rFonts w:ascii="Times New Roman" w:hAnsi="Times New Roman"/>
          <w:b w:val="0"/>
          <w:i w:val="0"/>
          <w:color w:val="000000"/>
          <w:sz w:val="16"/>
        </w:rPr>
        <w:t>, IEEE, 2021, pp. 245-250.</w:t>
      </w:r>
    </w:p>
    <w:p>
      <w:bookmarkStart w:id="10" w:name="ref_10"/>
      <w:pPr>
        <w:spacing w:after="40"/>
        <w:ind w:left="360" w:hanging="360"/>
        <w:jc w:val="both"/>
      </w:pPr>
      <w:bookmarkEnd w:id="10"/>
      <w:r>
        <w:rPr>
          <w:rFonts w:ascii="Times New Roman" w:hAnsi="Times New Roman"/>
          <w:b w:val="0"/>
          <w:i w:val="0"/>
          <w:color w:val="000000"/>
          <w:sz w:val="16"/>
        </w:rPr>
        <w:t>[10]</w:t>
        <w:tab/>
      </w:r>
      <w:r>
        <w:rPr>
          <w:rFonts w:ascii="Times New Roman" w:hAnsi="Times New Roman"/>
          <w:b w:val="0"/>
          <w:i w:val="0"/>
          <w:color w:val="000000"/>
          <w:sz w:val="16"/>
        </w:rPr>
        <w:t xml:space="preserve">S. Alghamdi and G. Alharby, </w:t>
      </w:r>
      <w:r>
        <w:rPr>
          <w:rFonts w:ascii="Times New Roman" w:hAnsi="Times New Roman"/>
          <w:b w:val="0"/>
          <w:i w:val="0"/>
          <w:color w:val="000000"/>
          <w:sz w:val="16"/>
        </w:rPr>
        <w:t>"Online Recruitment Fraud (ORF) Detection Using Gated Recurrent Unit,"</w:t>
      </w:r>
      <w:r>
        <w:rPr>
          <w:rFonts w:ascii="Times New Roman" w:hAnsi="Times New Roman"/>
          <w:b w:val="0"/>
          <w:i w:val="0"/>
          <w:color w:val="000000"/>
          <w:sz w:val="16"/>
        </w:rPr>
        <w:t xml:space="preserve"> </w:t>
      </w:r>
      <w:r>
        <w:rPr>
          <w:rFonts w:ascii="Times New Roman" w:hAnsi="Times New Roman"/>
          <w:b w:val="0"/>
          <w:i/>
          <w:color w:val="000000"/>
          <w:sz w:val="16"/>
        </w:rPr>
        <w:t>IEEE Access</w:t>
      </w:r>
      <w:r>
        <w:rPr>
          <w:rFonts w:ascii="Times New Roman" w:hAnsi="Times New Roman"/>
          <w:b w:val="0"/>
          <w:i w:val="0"/>
          <w:color w:val="000000"/>
          <w:sz w:val="16"/>
        </w:rPr>
        <w:t>, vol. 7, pp. 13245-13253, 2019.</w:t>
      </w:r>
    </w:p>
    <w:p>
      <w:bookmarkStart w:id="11" w:name="ref_11"/>
      <w:pPr>
        <w:spacing w:after="40"/>
        <w:ind w:left="360" w:hanging="360"/>
        <w:jc w:val="both"/>
      </w:pPr>
      <w:bookmarkEnd w:id="11"/>
      <w:r>
        <w:rPr>
          <w:rFonts w:ascii="Times New Roman" w:hAnsi="Times New Roman"/>
          <w:b w:val="0"/>
          <w:i w:val="0"/>
          <w:color w:val="000000"/>
          <w:sz w:val="16"/>
        </w:rPr>
        <w:t>[11]</w:t>
        <w:tab/>
      </w:r>
      <w:r>
        <w:rPr>
          <w:rFonts w:ascii="Times New Roman" w:hAnsi="Times New Roman"/>
          <w:b w:val="0"/>
          <w:i w:val="0"/>
          <w:color w:val="000000"/>
          <w:sz w:val="16"/>
        </w:rPr>
        <w:t xml:space="preserve">A. Kumar and S. Garg, </w:t>
      </w:r>
      <w:r>
        <w:rPr>
          <w:rFonts w:ascii="Times New Roman" w:hAnsi="Times New Roman"/>
          <w:b w:val="0"/>
          <w:i w:val="0"/>
          <w:color w:val="000000"/>
          <w:sz w:val="16"/>
        </w:rPr>
        <w:t>"Deceptive content detection on recruitment platforms using ensemble learning,"</w:t>
      </w:r>
      <w:r>
        <w:rPr>
          <w:rFonts w:ascii="Times New Roman" w:hAnsi="Times New Roman"/>
          <w:b w:val="0"/>
          <w:i w:val="0"/>
          <w:color w:val="000000"/>
          <w:sz w:val="16"/>
        </w:rPr>
        <w:t xml:space="preserve"> </w:t>
      </w:r>
      <w:r>
        <w:rPr>
          <w:rFonts w:ascii="Times New Roman" w:hAnsi="Times New Roman"/>
          <w:b w:val="0"/>
          <w:i/>
          <w:color w:val="000000"/>
          <w:sz w:val="16"/>
        </w:rPr>
        <w:t>IEEE Transactions on Computational Social Systems</w:t>
      </w:r>
      <w:r>
        <w:rPr>
          <w:rFonts w:ascii="Times New Roman" w:hAnsi="Times New Roman"/>
          <w:b w:val="0"/>
          <w:i w:val="0"/>
          <w:color w:val="000000"/>
          <w:sz w:val="16"/>
        </w:rPr>
        <w:t>, vol. 9, no. 4, pp. 1120-1128, 2022.</w:t>
      </w:r>
    </w:p>
    <w:p>
      <w:bookmarkStart w:id="12" w:name="ref_12"/>
      <w:pPr>
        <w:spacing w:after="40"/>
        <w:ind w:left="360" w:hanging="360"/>
        <w:jc w:val="both"/>
      </w:pPr>
      <w:bookmarkEnd w:id="12"/>
      <w:r>
        <w:rPr>
          <w:rFonts w:ascii="Times New Roman" w:hAnsi="Times New Roman"/>
          <w:b w:val="0"/>
          <w:i w:val="0"/>
          <w:color w:val="000000"/>
          <w:sz w:val="16"/>
        </w:rPr>
        <w:t>[12]</w:t>
        <w:tab/>
      </w:r>
      <w:r>
        <w:rPr>
          <w:rFonts w:ascii="Times New Roman" w:hAnsi="Times New Roman"/>
          <w:b w:val="0"/>
          <w:i w:val="0"/>
          <w:color w:val="000000"/>
          <w:sz w:val="16"/>
        </w:rPr>
        <w:t xml:space="preserve">N. Vidros, C. Iliou, and T. Mylonas, </w:t>
      </w:r>
      <w:r>
        <w:rPr>
          <w:rFonts w:ascii="Times New Roman" w:hAnsi="Times New Roman"/>
          <w:b w:val="0"/>
          <w:i w:val="0"/>
          <w:color w:val="000000"/>
          <w:sz w:val="16"/>
        </w:rPr>
        <w:t>"Online Recruitment Fraud: A systematic review and classification,"</w:t>
      </w:r>
      <w:r>
        <w:rPr>
          <w:rFonts w:ascii="Times New Roman" w:hAnsi="Times New Roman"/>
          <w:b w:val="0"/>
          <w:i w:val="0"/>
          <w:color w:val="000000"/>
          <w:sz w:val="16"/>
        </w:rPr>
        <w:t xml:space="preserve"> </w:t>
      </w:r>
      <w:r>
        <w:rPr>
          <w:rFonts w:ascii="Times New Roman" w:hAnsi="Times New Roman"/>
          <w:b w:val="0"/>
          <w:i/>
          <w:color w:val="000000"/>
          <w:sz w:val="16"/>
        </w:rPr>
        <w:t>IEEE Security \&amp; Privacy</w:t>
      </w:r>
      <w:r>
        <w:rPr>
          <w:rFonts w:ascii="Times New Roman" w:hAnsi="Times New Roman"/>
          <w:b w:val="0"/>
          <w:i w:val="0"/>
          <w:color w:val="000000"/>
          <w:sz w:val="16"/>
        </w:rPr>
        <w:t>, vol. 15, no. 4, pp. 58-67, 2017.</w:t>
      </w:r>
    </w:p>
    <w:p>
      <w:bookmarkStart w:id="13" w:name="ref_13"/>
      <w:pPr>
        <w:spacing w:after="40"/>
        <w:ind w:left="360" w:hanging="360"/>
        <w:jc w:val="both"/>
      </w:pPr>
      <w:bookmarkEnd w:id="13"/>
      <w:r>
        <w:rPr>
          <w:rFonts w:ascii="Times New Roman" w:hAnsi="Times New Roman"/>
          <w:b w:val="0"/>
          <w:i w:val="0"/>
          <w:color w:val="000000"/>
          <w:sz w:val="16"/>
        </w:rPr>
        <w:t>[13]</w:t>
        <w:tab/>
      </w:r>
      <w:r>
        <w:rPr>
          <w:rFonts w:ascii="Times New Roman" w:hAnsi="Times New Roman"/>
          <w:b w:val="0"/>
          <w:i w:val="0"/>
          <w:color w:val="000000"/>
          <w:sz w:val="16"/>
        </w:rPr>
        <w:t xml:space="preserve">S. Roy, K. Sinha, and P. K. Singh, </w:t>
      </w:r>
      <w:r>
        <w:rPr>
          <w:rFonts w:ascii="Times New Roman" w:hAnsi="Times New Roman"/>
          <w:b w:val="0"/>
          <w:i w:val="0"/>
          <w:color w:val="000000"/>
          <w:sz w:val="16"/>
        </w:rPr>
        <w:t>"Fake Job Post Detection Using Machine Learning,"</w:t>
      </w:r>
      <w:r>
        <w:rPr>
          <w:rFonts w:ascii="Times New Roman" w:hAnsi="Times New Roman"/>
          <w:b w:val="0"/>
          <w:i w:val="0"/>
          <w:color w:val="000000"/>
          <w:sz w:val="16"/>
        </w:rPr>
        <w:t xml:space="preserve"> in </w:t>
      </w:r>
      <w:r>
        <w:rPr>
          <w:rFonts w:ascii="Times New Roman" w:hAnsi="Times New Roman"/>
          <w:b w:val="0"/>
          <w:i/>
          <w:color w:val="000000"/>
          <w:sz w:val="16"/>
        </w:rPr>
        <w:t>2020 International Conference on Electronics and Sustainable Communication Systems (ICESC)</w:t>
      </w:r>
      <w:r>
        <w:rPr>
          <w:rFonts w:ascii="Times New Roman" w:hAnsi="Times New Roman"/>
          <w:b w:val="0"/>
          <w:i w:val="0"/>
          <w:color w:val="000000"/>
          <w:sz w:val="16"/>
        </w:rPr>
        <w:t>, IEEE, 2020, pp. 1022-1027.</w:t>
      </w:r>
    </w:p>
    <w:p>
      <w:bookmarkStart w:id="14" w:name="ref_14"/>
      <w:pPr>
        <w:spacing w:after="40"/>
        <w:ind w:left="360" w:hanging="360"/>
        <w:jc w:val="both"/>
      </w:pPr>
      <w:bookmarkEnd w:id="14"/>
      <w:r>
        <w:rPr>
          <w:rFonts w:ascii="Times New Roman" w:hAnsi="Times New Roman"/>
          <w:b w:val="0"/>
          <w:i w:val="0"/>
          <w:color w:val="000000"/>
          <w:sz w:val="16"/>
        </w:rPr>
        <w:t>[14]</w:t>
        <w:tab/>
      </w:r>
      <w:r>
        <w:rPr>
          <w:rFonts w:ascii="Times New Roman" w:hAnsi="Times New Roman"/>
          <w:b w:val="0"/>
          <w:i w:val="0"/>
          <w:color w:val="000000"/>
          <w:sz w:val="16"/>
        </w:rPr>
        <w:t xml:space="preserve">A. Gupta and S. Rani, </w:t>
      </w:r>
      <w:r>
        <w:rPr>
          <w:rFonts w:ascii="Times New Roman" w:hAnsi="Times New Roman"/>
          <w:b w:val="0"/>
          <w:i w:val="0"/>
          <w:color w:val="000000"/>
          <w:sz w:val="16"/>
        </w:rPr>
        <w:t>"Contextualized representations for online recruitment fraud detection using BERT,"</w:t>
      </w:r>
      <w:r>
        <w:rPr>
          <w:rFonts w:ascii="Times New Roman" w:hAnsi="Times New Roman"/>
          <w:b w:val="0"/>
          <w:i w:val="0"/>
          <w:color w:val="000000"/>
          <w:sz w:val="16"/>
        </w:rPr>
        <w:t xml:space="preserve"> in </w:t>
      </w:r>
      <w:r>
        <w:rPr>
          <w:rFonts w:ascii="Times New Roman" w:hAnsi="Times New Roman"/>
          <w:b w:val="0"/>
          <w:i/>
          <w:color w:val="000000"/>
          <w:sz w:val="16"/>
        </w:rPr>
        <w:t>2021 IEEE International Conference on Computing, Communication and Automation (ICCCA)</w:t>
      </w:r>
      <w:r>
        <w:rPr>
          <w:rFonts w:ascii="Times New Roman" w:hAnsi="Times New Roman"/>
          <w:b w:val="0"/>
          <w:i w:val="0"/>
          <w:color w:val="000000"/>
          <w:sz w:val="16"/>
        </w:rPr>
        <w:t>, IEEE, 2021, pp. 1-5.</w:t>
      </w:r>
    </w:p>
    <w:p>
      <w:bookmarkStart w:id="15" w:name="ref_15"/>
      <w:pPr>
        <w:spacing w:after="40"/>
        <w:ind w:left="360" w:hanging="360"/>
        <w:jc w:val="both"/>
      </w:pPr>
      <w:bookmarkEnd w:id="15"/>
      <w:r>
        <w:rPr>
          <w:rFonts w:ascii="Times New Roman" w:hAnsi="Times New Roman"/>
          <w:b w:val="0"/>
          <w:i w:val="0"/>
          <w:color w:val="000000"/>
          <w:sz w:val="16"/>
        </w:rPr>
        <w:t>[15]</w:t>
        <w:tab/>
      </w:r>
      <w:r>
        <w:rPr>
          <w:rFonts w:ascii="Times New Roman" w:hAnsi="Times New Roman"/>
          <w:b w:val="0"/>
          <w:i w:val="0"/>
          <w:color w:val="000000"/>
          <w:sz w:val="16"/>
        </w:rPr>
        <w:t xml:space="preserve">Y. Liao and J. Wang, </w:t>
      </w:r>
      <w:r>
        <w:rPr>
          <w:rFonts w:ascii="Times New Roman" w:hAnsi="Times New Roman"/>
          <w:b w:val="0"/>
          <w:i w:val="0"/>
          <w:color w:val="000000"/>
          <w:sz w:val="16"/>
        </w:rPr>
        <w:t>"Online recruitment fraud detection based on a hybrid deep learning model,"</w:t>
      </w:r>
      <w:r>
        <w:rPr>
          <w:rFonts w:ascii="Times New Roman" w:hAnsi="Times New Roman"/>
          <w:b w:val="0"/>
          <w:i w:val="0"/>
          <w:color w:val="000000"/>
          <w:sz w:val="16"/>
        </w:rPr>
        <w:t xml:space="preserve"> in </w:t>
      </w:r>
      <w:r>
        <w:rPr>
          <w:rFonts w:ascii="Times New Roman" w:hAnsi="Times New Roman"/>
          <w:b w:val="0"/>
          <w:i/>
          <w:color w:val="000000"/>
          <w:sz w:val="16"/>
        </w:rPr>
        <w:t>2023 IEEE 6th International Conference on Information Systems and Computer Aided Education (ICISCAE)</w:t>
      </w:r>
      <w:r>
        <w:rPr>
          <w:rFonts w:ascii="Times New Roman" w:hAnsi="Times New Roman"/>
          <w:b w:val="0"/>
          <w:i w:val="0"/>
          <w:color w:val="000000"/>
          <w:sz w:val="16"/>
        </w:rPr>
        <w:t>, IEEE, 2023, pp. 431-435.</w:t>
      </w:r>
    </w:p>
    <w:sectPr w:rsidR="00FC693F" w:rsidRPr="0006063C" w:rsidSect="00034616">
      <w:type w:val="continuous"/>
      <w:pgSz w:w="12240" w:h="15840"/>
      <w:pgMar w:top="1080" w:right="900" w:bottom="1224" w:left="900" w:header="720" w:footer="720" w:gutter="0"/>
      <w:cols w:space="28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