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Context-Aware BERT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function as black-box systems, preventing interpretability. This research presents an explainable and context-aware BERT framework to detect fake jobs. The proposed model fine-tunes a pre-trained bert-base-uncased model using a robust multi-field concatenation pipeline that combines 10 metadata fields while filtering out null entries and string noise. We implement a class-weighted loss function to handle severe label imbalance. Crucially, we integrate SHAP (SHapley Additive exPlanations) to explain predictions at the token level, identifying specific deceptive keywords. Following standard macro-averaged evaluation on the EMSCAD dataset, the proposed model achieves a precision of 0.95, recall of 0.94, F1-score of 0.95 (94.58%), accuracy of 0.99 (99.02%), and a ROC-AUC of 0.99 (99.22%). This configuration provides a stable and interpretable classification pipeline for recruitment board deployment.</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utilizes bidirectional self-attention to generate context-aware token representations. However, standard BERT classifiers function as black-box systems, making it difficult to understand why a particular listing was flagged. This lack of interpretability is a major barrier to deploying these systems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an explainable and context-aware </w:t>
      </w:r>
      <w:r>
        <w:rPr>
          <w:rFonts w:ascii="Times New Roman" w:hAnsi="Times New Roman"/>
          <w:b/>
          <w:i w:val="0"/>
          <w:color w:val="000000"/>
          <w:sz w:val="20"/>
        </w:rPr>
        <w:t>BERT</w:t>
      </w:r>
      <w:r>
        <w:rPr>
          <w:rFonts w:ascii="Times New Roman" w:hAnsi="Times New Roman"/>
          <w:b w:val="0"/>
          <w:i w:val="0"/>
          <w:color w:val="000000"/>
          <w:sz w:val="20"/>
        </w:rPr>
        <w:t xml:space="preserve"> framework. Our approach fine-tunes a pre-trained </w:t>
      </w:r>
      <w:r>
        <w:rPr>
          <w:rFonts w:ascii="Times New Roman" w:hAnsi="Times New Roman"/>
          <w:b/>
          <w:i w:val="0"/>
          <w:color w:val="000000"/>
          <w:sz w:val="20"/>
        </w:rPr>
        <w:t>bert-base-uncased</w:t>
      </w:r>
      <w:r>
        <w:rPr>
          <w:rFonts w:ascii="Times New Roman" w:hAnsi="Times New Roman"/>
          <w:b w:val="0"/>
          <w:i w:val="0"/>
          <w:color w:val="000000"/>
          <w:sz w:val="20"/>
        </w:rPr>
        <w:t xml:space="preserve"> model on a robust 10-field concatenation pipeline. The pipeline combines Title, Profile, Description, Requirements, Benefits, and categorical metadata while filtering out empty entries and NaN formatting noise. To address the class imbalance of the EMSCAD dataset (where fake ads constitute less than 5% of postings), we apply a class-weighted binary cross-entropy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comparisons with classical and transformer-based baselines.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an explainable BERT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While these transformer architectures achieve good accuracy, they operate as black boxes and are highly sensitive to dataset preprocessing artifacts. Our work addresses these limitations by introducing a robust NaN-free preprocessing pipeline and token-level explainability using SHAP.</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BERT framework consists of four main steps: (A) Robust Concatenation, (B) BERT Classification Model, (C) Class-Weighted Loss,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3769394"/>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651760" cy="3769394"/>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Explainable BERT model.</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Classification Model</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 The representation of the special classification token ([CLS]) is extracted and passed through a dense dropout layer to compute the class logits:</w:t>
      </w:r>
    </w:p>
    <w:p>
      <w:pPr>
        <w:spacing w:before="80" w:after="80"/>
        <w:jc w:val="center"/>
      </w:pPr>
      <w:r>
        <w:rPr>
          <w:rFonts w:ascii="Times New Roman" w:hAnsi="Times New Roman"/>
          <w:b w:val="0"/>
          <w:i/>
          <w:color w:val="000000"/>
          <w:sz w:val="20"/>
        </w:rPr>
        <w:t>H_{cls} = \text{BERT}_{CLS}(I, A) \in \mathbb{R}^{D}</w:t>
        <w:tab/>
        <w:tab/>
      </w:r>
      <w:r>
        <w:rPr>
          <w:rFonts w:ascii="Times New Roman" w:hAnsi="Times New Roman"/>
          <w:b w:val="0"/>
          <w:i w:val="0"/>
          <w:color w:val="000000"/>
          <w:sz w:val="20"/>
        </w:rPr>
        <w:t>(2)</w:t>
      </w:r>
    </w:p>
    <w:p>
      <w:pPr>
        <w:spacing w:before="80" w:after="80"/>
        <w:jc w:val="center"/>
      </w:pPr>
      <w:r>
        <w:rPr>
          <w:rFonts w:ascii="Times New Roman" w:hAnsi="Times New Roman"/>
          <w:b w:val="0"/>
          <w:i/>
          <w:color w:val="000000"/>
          <w:sz w:val="20"/>
        </w:rPr>
        <w:t>\hat{y} = \text{Linear}(\text{Dropout}(H_{cls}))</w:t>
        <w:tab/>
        <w:tab/>
      </w:r>
      <w:r>
        <w:rPr>
          <w:rFonts w:ascii="Times New Roman" w:hAnsi="Times New Roman"/>
          <w:b w:val="0"/>
          <w:i w:val="0"/>
          <w:color w:val="000000"/>
          <w:sz w:val="20"/>
        </w:rPr>
        <w:t>(3)</w:t>
      </w:r>
    </w:p>
    <w:p>
      <w:pPr>
        <w:spacing w:line="252" w:lineRule="auto" w:after="60"/>
        <w:ind w:firstLine="216"/>
        <w:jc w:val="both"/>
      </w:pPr>
      <w:r>
        <w:rPr>
          <w:rFonts w:ascii="Times New Roman" w:hAnsi="Times New Roman"/>
          <w:b w:val="0"/>
          <w:i w:val="0"/>
          <w:color w:val="000000"/>
          <w:sz w:val="20"/>
        </w:rPr>
        <w:t>where D is the embedding dimension (D = 768). All layers of the BERT backbone are fine-tuned to capture domain-specific patterns.</w:t>
      </w:r>
    </w:p>
    <w:p>
      <w:pPr>
        <w:keepNext/>
        <w:spacing w:before="160" w:after="60"/>
        <w:jc w:val="left"/>
      </w:pPr>
      <w:r>
        <w:rPr>
          <w:rFonts w:ascii="Times New Roman" w:hAnsi="Times New Roman"/>
          <w:b w:val="0"/>
          <w:i/>
          <w:color w:val="000000"/>
          <w:sz w:val="20"/>
        </w:rPr>
        <w:t>C. Class-Weighted Loss</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where we set $w_{pos} = 3.5$ to penalize false negatives and improve recall on fraudulent listings.</w:t>
      </w:r>
    </w:p>
    <w:p>
      <w:pPr>
        <w:keepNext/>
        <w:spacing w:before="160" w:after="60"/>
        <w:jc w:val="left"/>
      </w:pPr>
      <w:r>
        <w:rPr>
          <w:rFonts w:ascii="Times New Roman" w:hAnsi="Times New Roman"/>
          <w:b w:val="0"/>
          <w:i/>
          <w:color w:val="000000"/>
          <w:sz w:val="20"/>
        </w:rPr>
        <w:t>D. SHAP Explainability</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 showing which words contribute to flagging a job as fake.</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learning rates of 2e-5 for BERT layers and 1e-3 for the classification head.</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and (3) Standard Bi-LSTM. The baseline configurations represent standard implementations for imbalanced text classification.</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all models on the test set is summarized in Table I. Following benchmark reporting conventions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macro-averaged Precision (P), Recall (R), and F1-score (F1), alongside overall Accuracy and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Standard 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0.97</w:t>
            </w:r>
          </w:p>
        </w:tc>
      </w:tr>
      <w:tr>
        <w:tc>
          <w:tcPr>
            <w:tcW w:type="dxa" w:w="1740"/>
          </w:tcPr>
          <w:p>
            <w:pPr>
              <w:jc w:val="left"/>
            </w:pPr>
            <w:r>
              <w:rPr>
                <w:rFonts w:ascii="Times New Roman" w:hAnsi="Times New Roman"/>
                <w:b/>
                <w:i w:val="0"/>
                <w:color w:val="000000"/>
                <w:sz w:val="18"/>
              </w:rPr>
              <w:t>Proposed BERT Model</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0.95</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As seen in Table I, traditional machine learning models show lower F1-scores. Random Forest achieves high precision but lower recall on fraud, while Logistic Regression suffers from a lower precision. The standard Bi-LSTM baseline obtains a macro F1-score of 0.90. The proposed Standalone BERT model achieves a macro precision of </w:t>
      </w:r>
      <w:r>
        <w:rPr>
          <w:rFonts w:ascii="Times New Roman" w:hAnsi="Times New Roman"/>
          <w:b/>
          <w:i w:val="0"/>
          <w:color w:val="000000"/>
          <w:sz w:val="20"/>
        </w:rPr>
        <w:t>0.95</w:t>
      </w:r>
      <w:r>
        <w:rPr>
          <w:rFonts w:ascii="Times New Roman" w:hAnsi="Times New Roman"/>
          <w:b w:val="0"/>
          <w:i w:val="0"/>
          <w:color w:val="000000"/>
          <w:sz w:val="20"/>
        </w:rPr>
        <w:t xml:space="preserve"> (95.48%), macro recall of </w:t>
      </w:r>
      <w:r>
        <w:rPr>
          <w:rFonts w:ascii="Times New Roman" w:hAnsi="Times New Roman"/>
          <w:b/>
          <w:i w:val="0"/>
          <w:color w:val="000000"/>
          <w:sz w:val="20"/>
        </w:rPr>
        <w:t>0.94</w:t>
      </w:r>
      <w:r>
        <w:rPr>
          <w:rFonts w:ascii="Times New Roman" w:hAnsi="Times New Roman"/>
          <w:b w:val="0"/>
          <w:i w:val="0"/>
          <w:color w:val="000000"/>
          <w:sz w:val="20"/>
        </w:rPr>
        <w:t xml:space="preserve"> (93.72%), macro F1-score of </w:t>
      </w:r>
      <w:r>
        <w:rPr>
          <w:rFonts w:ascii="Times New Roman" w:hAnsi="Times New Roman"/>
          <w:b/>
          <w:i w:val="0"/>
          <w:color w:val="000000"/>
          <w:sz w:val="20"/>
        </w:rPr>
        <w:t>0.95</w:t>
      </w:r>
      <w:r>
        <w:rPr>
          <w:rFonts w:ascii="Times New Roman" w:hAnsi="Times New Roman"/>
          <w:b w:val="0"/>
          <w:i w:val="0"/>
          <w:color w:val="000000"/>
          <w:sz w:val="20"/>
        </w:rPr>
        <w:t xml:space="preserve"> (94.58%), accuracy of </w:t>
      </w:r>
      <w:r>
        <w:rPr>
          <w:rFonts w:ascii="Times New Roman" w:hAnsi="Times New Roman"/>
          <w:b/>
          <w:i w:val="0"/>
          <w:color w:val="000000"/>
          <w:sz w:val="20"/>
        </w:rPr>
        <w:t>0.99</w:t>
      </w:r>
      <w:r>
        <w:rPr>
          <w:rFonts w:ascii="Times New Roman" w:hAnsi="Times New Roman"/>
          <w:b w:val="0"/>
          <w:i w:val="0"/>
          <w:color w:val="000000"/>
          <w:sz w:val="20"/>
        </w:rPr>
        <w:t xml:space="preserve"> (99.02%), and AUC of </w:t>
      </w:r>
      <w:r>
        <w:rPr>
          <w:rFonts w:ascii="Times New Roman" w:hAnsi="Times New Roman"/>
          <w:b/>
          <w:i w:val="0"/>
          <w:color w:val="000000"/>
          <w:sz w:val="20"/>
        </w:rPr>
        <w:t>0.99</w:t>
      </w:r>
      <w:r>
        <w:rPr>
          <w:rFonts w:ascii="Times New Roman" w:hAnsi="Times New Roman"/>
          <w:b w:val="0"/>
          <w:i w:val="0"/>
          <w:color w:val="000000"/>
          <w:sz w:val="20"/>
        </w:rPr>
        <w:t xml:space="preserve"> (99.22%), outperforming the original paper's reported macro F1-score of 0.93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w:t>
      </w:r>
    </w:p>
    <w:p>
      <w:pPr>
        <w:keepNext/>
        <w:spacing w:before="120" w:after="40"/>
        <w:jc w:val="center"/>
      </w:pPr>
      <w:r>
        <w:drawing>
          <wp:inline xmlns:a="http://schemas.openxmlformats.org/drawingml/2006/main" xmlns:pic="http://schemas.openxmlformats.org/drawingml/2006/picture">
            <wp:extent cx="2651760" cy="2083526"/>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83526"/>
                    </a:xfrm>
                    <a:prstGeom prst="rect"/>
                  </pic:spPr>
                </pic:pic>
              </a:graphicData>
            </a:graphic>
          </wp:inline>
        </w:drawing>
      </w:r>
    </w:p>
    <w:p>
      <w:pPr>
        <w:spacing w:after="120"/>
        <w:jc w:val="center"/>
      </w:pPr>
      <w:r>
        <w:rPr>
          <w:rFonts w:ascii="Times New Roman" w:hAnsi="Times New Roman"/>
          <w:b w:val="0"/>
          <w:i w:val="0"/>
          <w:color w:val="000000"/>
          <w:sz w:val="16"/>
        </w:rPr>
        <w:t>Fig. 2. ROC Curves comparison on the test set.</w:t>
      </w:r>
    </w:p>
    <w:p>
      <w:pPr>
        <w:keepNext/>
        <w:spacing w:before="160" w:after="60"/>
        <w:jc w:val="left"/>
      </w:pPr>
      <w:r>
        <w:rPr>
          <w:rFonts w:ascii="Times New Roman" w:hAnsi="Times New Roman"/>
          <w:b w:val="0"/>
          <w:i/>
          <w:color w:val="000000"/>
          <w:sz w:val="20"/>
        </w:rPr>
        <w:t>B. Cross-Domain Generalization Analysis</w:t>
      </w:r>
    </w:p>
    <w:p>
      <w:pPr>
        <w:spacing w:line="252" w:lineRule="auto" w:after="6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Standalone BERT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160" w:after="60"/>
        <w:jc w:val="left"/>
      </w:pPr>
      <w:r>
        <w:rPr>
          <w:rFonts w:ascii="Times New Roman" w:hAnsi="Times New Roman"/>
          <w:b w:val="0"/>
          <w:i/>
          <w:color w:val="000000"/>
          <w:sz w:val="20"/>
        </w:rPr>
        <w:t>C. Statistical Significance Testing</w:t>
      </w:r>
    </w:p>
    <w:p>
      <w:pPr>
        <w:spacing w:line="252" w:lineRule="auto" w:after="60"/>
        <w:ind w:firstLine="216"/>
        <w:jc w:val="both"/>
      </w:pPr>
      <w:r>
        <w:rPr>
          <w:rFonts w:ascii="Times New Roman" w:hAnsi="Times New Roman"/>
          <w:b w:val="0"/>
          <w:i w:val="0"/>
          <w:color w:val="000000"/>
          <w:sz w:val="20"/>
        </w:rPr>
        <w:t>To prove that the improvement of our proposed model is statistically meaningful and not a result of random variation during train/test splits, we perform a McNemar statistical significance test. McNemar's test is specifically suited for comparing paired binary classification predictions on a test set. Our test yields a chi-squared value of 14.22 with a p-value of 0.00016. Since the p-value is far below the standard significance threshold (alpha = 0.01), we reject the null hypothesis, concluding that the proposed model's performance improvement is statistically significant.</w:t>
      </w:r>
    </w:p>
    <w:p>
      <w:pPr>
        <w:keepNext/>
        <w:spacing w:before="160" w:after="60"/>
        <w:jc w:val="left"/>
      </w:pPr>
      <w:r>
        <w:rPr>
          <w:rFonts w:ascii="Times New Roman" w:hAnsi="Times New Roman"/>
          <w:b w:val="0"/>
          <w:i/>
          <w:color w:val="000000"/>
          <w:sz w:val="20"/>
        </w:rPr>
        <w:t>D. Explainability Analysis using SHAP</w:t>
      </w:r>
    </w:p>
    <w:p>
      <w:pPr>
        <w:spacing w:line="252" w:lineRule="auto" w:after="6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E. Error Analysis</w:t>
      </w:r>
    </w:p>
    <w:p>
      <w:pPr>
        <w:spacing w:line="252" w:lineRule="auto" w:after="6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BERT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context-aware BERT framework for online recruitment fraud detection. By fine-tuning a transformer backbone on a clean multi-field concatenation pipeline, our model extracts contextual features while filtering out null entry noise. Evaluated on the EMSCAD dataset, our model achieves a macro F1-score of 94.58% and a Class 1 F1-score of 89.68%.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