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Highlights</w:t>
      </w:r>
    </w:p>
    <w:p>
      <w:pPr>
        <w:pStyle w:val="ListBullet"/>
        <w:spacing w:line="360" w:lineRule="auto"/>
      </w:pPr>
      <w:r>
        <w:t>Links public innovation data to next-year digital-readiness tiers.</w:t>
      </w:r>
    </w:p>
    <w:p>
      <w:pPr>
        <w:pStyle w:val="ListBullet"/>
        <w:spacing w:line="360" w:lineRule="auto"/>
      </w:pPr>
      <w:r>
        <w:t>Combines probabilistic AI, explicit knowledge rules, and human review.</w:t>
      </w:r>
    </w:p>
    <w:p>
      <w:pPr>
        <w:pStyle w:val="ListBullet"/>
        <w:spacing w:line="360" w:lineRule="auto"/>
      </w:pPr>
      <w:r>
        <w:t>Country-grouped validation prevents repeated-country leakage.</w:t>
      </w:r>
    </w:p>
    <w:p>
      <w:pPr>
        <w:pStyle w:val="ListBullet"/>
        <w:spacing w:line="360" w:lineRule="auto"/>
      </w:pPr>
      <w:r>
        <w:t>Hybrid decision cost falls by 0.282 with a 19.1% review rate.</w:t>
      </w:r>
    </w:p>
    <w:p>
      <w:pPr>
        <w:pStyle w:val="ListBullet"/>
        <w:spacing w:line="360" w:lineRule="auto"/>
      </w:pPr>
      <w:r>
        <w:t>One Python script reproduces all tables, figures, and decision traces.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