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8792B"/>
          <w:sz w:val="20"/>
          <w:szCs w:val="20"/>
        </w:rPr>
        <w:t xml:space="preserve">KSAP  |  CATALYST</w:t>
      </w:r>
    </w:p>
    <w:p>
      <w:pPr>
        <w:spacing w:after="100"/>
      </w:pPr>
      <w:r>
        <w:rPr>
          <w:b/>
          <w:bCs/>
          <w:color w:val="16233A"/>
          <w:sz w:val="40"/>
          <w:szCs w:val="40"/>
        </w:rPr>
        <w:t xml:space="preserve">Health Dashboard: Metrics &amp; Charts</w:t>
      </w:r>
    </w:p>
    <w:p>
      <w:pPr>
        <w:pBdr>
          <w:bottom w:val="single" w:color="E8792B" w:sz="18" w:space="6"/>
        </w:pBdr>
        <w:spacing w:after="240"/>
      </w:pPr>
      <w:r>
        <w:rPr>
          <w:i/>
          <w:iCs/>
          <w:color w:val="16233A"/>
          <w:sz w:val="24"/>
          <w:szCs w:val="24"/>
        </w:rPr>
        <w:t xml:space="preserve">Built from a real OTM health-dashboard reference, filtered to what governs automation — not infrastructure</w:t>
      </w:r>
    </w:p>
    <w:p>
      <w:pPr>
        <w:spacing w:after="140" w:line="268"/>
      </w:pPr>
      <w:r>
        <w:rPr>
          <w:b w:val="false"/>
          <w:bCs w:val="false"/>
          <w:i w:val="false"/>
          <w:iCs w:val="false"/>
          <w:sz w:val="20"/>
          <w:szCs w:val="20"/>
        </w:rPr>
        <w:t xml:space="preserve">You asked for a Health Dashboard with real metrics and charts, using the reference dashboard you attached as the source of truth. That reference turned out to be a live Oracle OTM operations dashboard with four tabs — Transmissions, Bulk Plans, Scalability Overview, and Statistics (an “Oracle Health Check” screen). It has 15+ distinct widgets across infrastructure, business volume, and automation health. This document catalogues all of them, keeps the ones that belong in Catalyst, explicitly excludes the ones that don't and says why, and turns the result into the revised specification for Feature 3.9 (Healthcheck Dashboard) from the Feature Validation document.</w:t>
      </w:r>
    </w:p>
    <w:p>
      <w:pPr>
        <w:pStyle w:val="Heading1"/>
        <w:pBdr>
          <w:bottom w:val="single" w:color="E8792B" w:sz="12" w:space="4"/>
        </w:pBdr>
        <w:spacing w:after="200" w:before="420"/>
      </w:pPr>
      <w:r>
        <w:rPr>
          <w:b/>
          <w:bCs/>
          <w:color w:val="16233A"/>
          <w:sz w:val="32"/>
          <w:szCs w:val="32"/>
        </w:rPr>
        <w:t xml:space="preserve">1.  Source &amp; Method</w:t>
      </w:r>
    </w:p>
    <w:p>
      <w:pPr>
        <w:spacing w:after="140" w:line="268"/>
      </w:pPr>
      <w:r>
        <w:rPr>
          <w:b w:val="false"/>
          <w:bCs w:val="false"/>
          <w:i w:val="false"/>
          <w:iCs w:val="false"/>
          <w:sz w:val="20"/>
          <w:szCs w:val="20"/>
        </w:rPr>
        <w:t xml:space="preserve">The filter applied to every widget in the reference was one question: does this help someone govern OTM/GTM automation and business throughput — Catalyst's job — or does it monitor infrastructure that Oracle, a DBA, or an APM tool already owns? The first category was kept. The second was excluded on purpose, so this dashboard doesn't quietly grow into a server-monitoring product Catalyst was never meant to be.</w:t>
      </w:r>
    </w:p>
    <w:p>
      <w:pPr>
        <w:pStyle w:val="Heading1"/>
        <w:pBdr>
          <w:bottom w:val="single" w:color="E8792B" w:sz="12" w:space="4"/>
        </w:pBdr>
        <w:spacing w:after="200" w:before="420"/>
      </w:pPr>
      <w:r>
        <w:rPr>
          <w:b/>
          <w:bCs/>
          <w:color w:val="16233A"/>
          <w:sz w:val="32"/>
          <w:szCs w:val="32"/>
        </w:rPr>
        <w:t xml:space="preserve">2.  Full Inventory Reviewed</w:t>
      </w:r>
    </w:p>
    <w:p>
      <w:pPr>
        <w:spacing w:after="140" w:line="268"/>
      </w:pPr>
      <w:r>
        <w:rPr>
          <w:b w:val="false"/>
          <w:bCs w:val="false"/>
          <w:i w:val="false"/>
          <w:iCs w:val="false"/>
          <w:sz w:val="20"/>
          <w:szCs w:val="20"/>
        </w:rPr>
        <w:t xml:space="preserve">Every widget found across the reference's four tabs, and the call made on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560"/>
        <w:gridCol w:w="1600"/>
      </w:tblGrid>
      <w:tr>
        <w:trPr>
          <w:tblHeader/>
        </w:trPr>
        <w:tc>
          <w:tcPr>
            <w:tcW w:type="dxa" w:w="2400"/>
            <w:shd w:fill="16233A" w:val="clear"/>
            <w:tcMar>
              <w:top w:type="dxa" w:w="90"/>
              <w:left w:type="dxa" w:w="110"/>
              <w:bottom w:type="dxa" w:w="90"/>
              <w:right w:type="dxa" w:w="110"/>
            </w:tcMar>
            <w:vAlign w:val="center"/>
          </w:tcPr>
          <w:p>
            <w:pPr>
              <w:spacing w:after="0" w:line="246"/>
              <w:jc w:val="left"/>
            </w:pPr>
            <w:r>
              <w:rPr>
                <w:b/>
                <w:bCs/>
                <w:color w:val="FFFFFF"/>
                <w:sz w:val="18"/>
                <w:szCs w:val="18"/>
              </w:rPr>
              <w:t xml:space="preserve">Element</w:t>
            </w:r>
          </w:p>
        </w:tc>
        <w:tc>
          <w:tcPr>
            <w:tcW w:type="dxa" w:w="1800"/>
            <w:shd w:fill="16233A" w:val="clear"/>
            <w:tcMar>
              <w:top w:type="dxa" w:w="90"/>
              <w:left w:type="dxa" w:w="110"/>
              <w:bottom w:type="dxa" w:w="90"/>
              <w:right w:type="dxa" w:w="110"/>
            </w:tcMar>
            <w:vAlign w:val="center"/>
          </w:tcPr>
          <w:p>
            <w:pPr>
              <w:spacing w:after="0" w:line="246"/>
              <w:jc w:val="left"/>
            </w:pPr>
            <w:r>
              <w:rPr>
                <w:b/>
                <w:bCs/>
                <w:color w:val="FFFFFF"/>
                <w:sz w:val="18"/>
                <w:szCs w:val="18"/>
              </w:rPr>
              <w:t xml:space="preserve">Source tab</w:t>
            </w:r>
          </w:p>
        </w:tc>
        <w:tc>
          <w:tcPr>
            <w:tcW w:type="dxa" w:w="3560"/>
            <w:shd w:fill="16233A" w:val="clear"/>
            <w:tcMar>
              <w:top w:type="dxa" w:w="90"/>
              <w:left w:type="dxa" w:w="110"/>
              <w:bottom w:type="dxa" w:w="90"/>
              <w:right w:type="dxa" w:w="110"/>
            </w:tcMar>
            <w:vAlign w:val="center"/>
          </w:tcPr>
          <w:p>
            <w:pPr>
              <w:spacing w:after="0" w:line="246"/>
              <w:jc w:val="left"/>
            </w:pPr>
            <w:r>
              <w:rPr>
                <w:b/>
                <w:bCs/>
                <w:color w:val="FFFFFF"/>
                <w:sz w:val="18"/>
                <w:szCs w:val="18"/>
              </w:rPr>
              <w:t xml:space="preserve">What it shows</w:t>
            </w:r>
          </w:p>
        </w:tc>
        <w:tc>
          <w:tcPr>
            <w:tcW w:type="dxa" w:w="1600"/>
            <w:shd w:fill="16233A" w:val="clear"/>
            <w:tcMar>
              <w:top w:type="dxa" w:w="90"/>
              <w:left w:type="dxa" w:w="110"/>
              <w:bottom w:type="dxa" w:w="90"/>
              <w:right w:type="dxa" w:w="110"/>
            </w:tcMar>
            <w:vAlign w:val="center"/>
          </w:tcPr>
          <w:p>
            <w:pPr>
              <w:spacing w:after="0" w:line="246"/>
              <w:jc w:val="left"/>
            </w:pPr>
            <w:r>
              <w:rPr>
                <w:b/>
                <w:bCs/>
                <w:color w:val="FFFFFF"/>
                <w:sz w:val="18"/>
                <w:szCs w:val="18"/>
              </w:rPr>
              <w:t xml:space="preserve">Verdict</w:t>
            </w:r>
          </w:p>
        </w:tc>
      </w:tr>
      <w:tr>
        <w:tc>
          <w:tcPr>
            <w:tcW w:type="dxa" w:w="24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Fresh / Staged count tiles</w:t>
            </w:r>
          </w:p>
        </w:tc>
        <w:tc>
          <w:tcPr>
            <w:tcW w:type="dxa" w:w="18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Transmissions</w:t>
            </w:r>
          </w:p>
        </w:tc>
        <w:tc>
          <w:tcPr>
            <w:tcW w:type="dxa" w:w="356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Pending, unprocessed message counts</w:t>
            </w:r>
          </w:p>
        </w:tc>
        <w:tc>
          <w:tcPr>
            <w:tcW w:type="dxa" w:w="16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KEEP</w:t>
            </w:r>
          </w:p>
        </w:tc>
      </w:tr>
      <w:tr>
        <w:tc>
          <w:tcPr>
            <w:tcW w:type="dxa" w:w="240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Fresh &amp; Staged by Hour (chart)</w:t>
            </w:r>
          </w:p>
        </w:tc>
        <w:tc>
          <w:tcPr>
            <w:tcW w:type="dxa" w:w="180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Transmissions</w:t>
            </w:r>
          </w:p>
        </w:tc>
        <w:tc>
          <w:tcPr>
            <w:tcW w:type="dxa" w:w="356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Hourly throughput trend</w:t>
            </w:r>
          </w:p>
        </w:tc>
        <w:tc>
          <w:tcPr>
            <w:tcW w:type="dxa" w:w="160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KEEP</w:t>
            </w:r>
          </w:p>
        </w:tc>
      </w:tr>
      <w:tr>
        <w:tc>
          <w:tcPr>
            <w:tcW w:type="dxa" w:w="24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Hourly Transmission by Message Type (chart)</w:t>
            </w:r>
          </w:p>
        </w:tc>
        <w:tc>
          <w:tcPr>
            <w:tcW w:type="dxa" w:w="18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Transmissions</w:t>
            </w:r>
          </w:p>
        </w:tc>
        <w:tc>
          <w:tcPr>
            <w:tcW w:type="dxa" w:w="356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Throughput by business object type</w:t>
            </w:r>
          </w:p>
        </w:tc>
        <w:tc>
          <w:tcPr>
            <w:tcW w:type="dxa" w:w="16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KEEP</w:t>
            </w:r>
          </w:p>
        </w:tc>
      </w:tr>
      <w:tr>
        <w:tc>
          <w:tcPr>
            <w:tcW w:type="dxa" w:w="240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Hourly Transmission by App Machine (chart)</w:t>
            </w:r>
          </w:p>
        </w:tc>
        <w:tc>
          <w:tcPr>
            <w:tcW w:type="dxa" w:w="180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Transmissions</w:t>
            </w:r>
          </w:p>
        </w:tc>
        <w:tc>
          <w:tcPr>
            <w:tcW w:type="dxa" w:w="356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Throughput by server</w:t>
            </w:r>
          </w:p>
        </w:tc>
        <w:tc>
          <w:tcPr>
            <w:tcW w:type="dxa" w:w="160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EXCLUDE — machine/infra tier</w:t>
            </w:r>
          </w:p>
        </w:tc>
      </w:tr>
      <w:tr>
        <w:tc>
          <w:tcPr>
            <w:tcW w:type="dxa" w:w="24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Transmissions by Message Type (recent log)</w:t>
            </w:r>
          </w:p>
        </w:tc>
        <w:tc>
          <w:tcPr>
            <w:tcW w:type="dxa" w:w="18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Transmissions</w:t>
            </w:r>
          </w:p>
        </w:tc>
        <w:tc>
          <w:tcPr>
            <w:tcW w:type="dxa" w:w="356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Scrollable recent activity</w:t>
            </w:r>
          </w:p>
        </w:tc>
        <w:tc>
          <w:tcPr>
            <w:tcW w:type="dxa" w:w="16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KEEP</w:t>
            </w:r>
          </w:p>
        </w:tc>
      </w:tr>
      <w:tr>
        <w:tc>
          <w:tcPr>
            <w:tcW w:type="dxa" w:w="240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Transmissions by Machine (recent log)</w:t>
            </w:r>
          </w:p>
        </w:tc>
        <w:tc>
          <w:tcPr>
            <w:tcW w:type="dxa" w:w="180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Transmissions</w:t>
            </w:r>
          </w:p>
        </w:tc>
        <w:tc>
          <w:tcPr>
            <w:tcW w:type="dxa" w:w="356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Scrollable recent activity by server</w:t>
            </w:r>
          </w:p>
        </w:tc>
        <w:tc>
          <w:tcPr>
            <w:tcW w:type="dxa" w:w="160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EXCLUDE — machine/infra tier</w:t>
            </w:r>
          </w:p>
        </w:tc>
      </w:tr>
      <w:tr>
        <w:tc>
          <w:tcPr>
            <w:tcW w:type="dxa" w:w="24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App Server / Web Server Responding + Response Time</w:t>
            </w:r>
          </w:p>
        </w:tc>
        <w:tc>
          <w:tcPr>
            <w:tcW w:type="dxa" w:w="18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Scalability Overview</w:t>
            </w:r>
          </w:p>
        </w:tc>
        <w:tc>
          <w:tcPr>
            <w:tcW w:type="dxa" w:w="356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Server uptime and latency</w:t>
            </w:r>
          </w:p>
        </w:tc>
        <w:tc>
          <w:tcPr>
            <w:tcW w:type="dxa" w:w="16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EXCLUDE — APM/infra scope</w:t>
            </w:r>
          </w:p>
        </w:tc>
      </w:tr>
      <w:tr>
        <w:tc>
          <w:tcPr>
            <w:tcW w:type="dxa" w:w="240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Logs Enabled</w:t>
            </w:r>
          </w:p>
        </w:tc>
        <w:tc>
          <w:tcPr>
            <w:tcW w:type="dxa" w:w="180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Scalability Overview</w:t>
            </w:r>
          </w:p>
        </w:tc>
        <w:tc>
          <w:tcPr>
            <w:tcW w:type="dxa" w:w="356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Which native OTM logs are on</w:t>
            </w:r>
          </w:p>
        </w:tc>
        <w:tc>
          <w:tcPr>
            <w:tcW w:type="dxa" w:w="160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EXCLUDE — low value, config-only</w:t>
            </w:r>
          </w:p>
        </w:tc>
      </w:tr>
      <w:tr>
        <w:tc>
          <w:tcPr>
            <w:tcW w:type="dxa" w:w="24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Process Schedules in next 1 hour</w:t>
            </w:r>
          </w:p>
        </w:tc>
        <w:tc>
          <w:tcPr>
            <w:tcW w:type="dxa" w:w="18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Scalability Overview</w:t>
            </w:r>
          </w:p>
        </w:tc>
        <w:tc>
          <w:tcPr>
            <w:tcW w:type="dxa" w:w="356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Upcoming scheduled job runs</w:t>
            </w:r>
          </w:p>
        </w:tc>
        <w:tc>
          <w:tcPr>
            <w:tcW w:type="dxa" w:w="16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KEEP</w:t>
            </w:r>
          </w:p>
        </w:tc>
      </w:tr>
      <w:tr>
        <w:tc>
          <w:tcPr>
            <w:tcW w:type="dxa" w:w="240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Business Sequence (current / max)</w:t>
            </w:r>
          </w:p>
        </w:tc>
        <w:tc>
          <w:tcPr>
            <w:tcW w:type="dxa" w:w="180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Scalability Overview</w:t>
            </w:r>
          </w:p>
        </w:tc>
        <w:tc>
          <w:tcPr>
            <w:tcW w:type="dxa" w:w="356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Sequence / XID counters</w:t>
            </w:r>
          </w:p>
        </w:tc>
        <w:tc>
          <w:tcPr>
            <w:tcW w:type="dxa" w:w="160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KEEP — upgraded to a chart</w:t>
            </w:r>
          </w:p>
        </w:tc>
      </w:tr>
      <w:tr>
        <w:tc>
          <w:tcPr>
            <w:tcW w:type="dxa" w:w="24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Database Jobs</w:t>
            </w:r>
          </w:p>
        </w:tc>
        <w:tc>
          <w:tcPr>
            <w:tcW w:type="dxa" w:w="18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Scalability Overview</w:t>
            </w:r>
          </w:p>
        </w:tc>
        <w:tc>
          <w:tcPr>
            <w:tcW w:type="dxa" w:w="356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Currently running DB jobs</w:t>
            </w:r>
          </w:p>
        </w:tc>
        <w:tc>
          <w:tcPr>
            <w:tcW w:type="dxa" w:w="16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EXCLUDE — DBA tier</w:t>
            </w:r>
          </w:p>
        </w:tc>
      </w:tr>
      <w:tr>
        <w:tc>
          <w:tcPr>
            <w:tcW w:type="dxa" w:w="240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Cluster / failover / data-queue topology</w:t>
            </w:r>
          </w:p>
        </w:tc>
        <w:tc>
          <w:tcPr>
            <w:tcW w:type="dxa" w:w="180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Scalability Overview (deep)</w:t>
            </w:r>
          </w:p>
        </w:tc>
        <w:tc>
          <w:tcPr>
            <w:tcW w:type="dxa" w:w="356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App and web cluster health</w:t>
            </w:r>
          </w:p>
        </w:tc>
        <w:tc>
          <w:tcPr>
            <w:tcW w:type="dxa" w:w="160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EXCLUDE — infra tier</w:t>
            </w:r>
          </w:p>
        </w:tc>
      </w:tr>
      <w:tr>
        <w:tc>
          <w:tcPr>
            <w:tcW w:type="dxa" w:w="24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Critical Parameter Statistics (RAG grid)</w:t>
            </w:r>
          </w:p>
        </w:tc>
        <w:tc>
          <w:tcPr>
            <w:tcW w:type="dxa" w:w="18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Statistics / Health Check</w:t>
            </w:r>
          </w:p>
        </w:tc>
        <w:tc>
          <w:tcPr>
            <w:tcW w:type="dxa" w:w="356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Automation health by domain</w:t>
            </w:r>
          </w:p>
        </w:tc>
        <w:tc>
          <w:tcPr>
            <w:tcW w:type="dxa" w:w="16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KEEP — core widget</w:t>
            </w:r>
          </w:p>
        </w:tc>
      </w:tr>
      <w:tr>
        <w:tc>
          <w:tcPr>
            <w:tcW w:type="dxa" w:w="240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Critical Data Statistics (volume grid)</w:t>
            </w:r>
          </w:p>
        </w:tc>
        <w:tc>
          <w:tcPr>
            <w:tcW w:type="dxa" w:w="180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Statistics / Health Check</w:t>
            </w:r>
          </w:p>
        </w:tc>
        <w:tc>
          <w:tcPr>
            <w:tcW w:type="dxa" w:w="356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Business volume by domain</w:t>
            </w:r>
          </w:p>
        </w:tc>
        <w:tc>
          <w:tcPr>
            <w:tcW w:type="dxa" w:w="160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KEEP — core widget</w:t>
            </w:r>
          </w:p>
        </w:tc>
      </w:tr>
      <w:tr>
        <w:tc>
          <w:tcPr>
            <w:tcW w:type="dxa" w:w="24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Long Running Queries drill-down</w:t>
            </w:r>
          </w:p>
        </w:tc>
        <w:tc>
          <w:tcPr>
            <w:tcW w:type="dxa" w:w="18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Statistics / Health Check</w:t>
            </w:r>
          </w:p>
        </w:tc>
        <w:tc>
          <w:tcPr>
            <w:tcW w:type="dxa" w:w="356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Session, SQL ID, duration vs. threshold</w:t>
            </w:r>
          </w:p>
        </w:tc>
        <w:tc>
          <w:tcPr>
            <w:tcW w:type="dxa" w:w="16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KEEP</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2B" w:sz="4"/>
              <w:left w:val="single" w:color="E8792B" w:sz="4"/>
              <w:bottom w:val="single" w:color="E8792B" w:sz="4"/>
              <w:right w:val="single" w:color="E8792B" w:sz="4"/>
            </w:tcBorders>
            <w:shd w:fill="FCE9DA" w:val="clear"/>
            <w:tcMar>
              <w:top w:type="dxa" w:w="140"/>
              <w:left w:type="dxa" w:w="180"/>
              <w:bottom w:type="dxa" w:w="140"/>
              <w:right w:type="dxa" w:w="180"/>
            </w:tcMar>
          </w:tcPr>
          <w:p>
            <w:pPr>
              <w:spacing w:after="60"/>
            </w:pPr>
            <w:r>
              <w:rPr>
                <w:b/>
                <w:bCs/>
                <w:color w:val="16233A"/>
                <w:sz w:val="20"/>
                <w:szCs w:val="20"/>
              </w:rPr>
              <w:t xml:space="preserve">Why the exclusions matter</w:t>
            </w:r>
          </w:p>
          <w:p>
            <w:pPr>
              <w:spacing w:after="0" w:line="258"/>
            </w:pPr>
            <w:r>
              <w:rPr>
                <w:sz w:val="20"/>
                <w:szCs w:val="20"/>
              </w:rPr>
              <w:t xml:space="preserve">Server responding/latency, DB job lists, and cluster/failover topology are real and useful — but they belong to Oracle Enterprise Manager or the customer's own infrastructure monitoring, not to Catalyst. Catalyst's differentiator, established in the product foundation, is automation governance: what agents and AI agents are doing, not whether a web server is up. If a customer later wants infrastructure co-monitoring inside Catalyst, that's a deliberate future integration decision, not something that should sneak in as a dashboard widget.</w:t>
            </w:r>
          </w:p>
        </w:tc>
      </w:tr>
    </w:tbl>
    <w:p>
      <w:pPr>
        <w:pStyle w:val="Heading1"/>
        <w:pBdr>
          <w:bottom w:val="single" w:color="E8792B" w:sz="12" w:space="4"/>
        </w:pBdr>
        <w:spacing w:after="200" w:before="420"/>
      </w:pPr>
      <w:r>
        <w:rPr>
          <w:b/>
          <w:bCs/>
          <w:color w:val="16233A"/>
          <w:sz w:val="32"/>
          <w:szCs w:val="32"/>
        </w:rPr>
        <w:t xml:space="preserve">3.  The Health Dashboard: Widgets, Metrics, Charts</w:t>
      </w:r>
    </w:p>
    <w:p>
      <w:pPr>
        <w:pBdr>
          <w:bottom w:val="single" w:color="16233A" w:sz="4" w:space="3"/>
        </w:pBdr>
        <w:spacing w:after="60" w:before="300"/>
      </w:pPr>
      <w:r>
        <w:rPr>
          <w:b/>
          <w:bCs/>
          <w:color w:val="16233A"/>
          <w:sz w:val="23"/>
          <w:szCs w:val="23"/>
        </w:rPr>
        <w:t xml:space="preserve">3.1  Automation Throughput</w:t>
      </w:r>
      <w:r>
        <w:rPr>
          <w:i/>
          <w:iCs/>
          <w:color w:val="555555"/>
          <w:sz w:val="18"/>
          <w:szCs w:val="18"/>
        </w:rPr>
        <w:t xml:space="preserve">   (KPI tiles + hourly chart)</w:t>
      </w:r>
    </w:p>
    <w:p>
      <w:pPr>
        <w:spacing w:after="140" w:line="268"/>
      </w:pPr>
      <w:r>
        <w:rPr>
          <w:b w:val="false"/>
          <w:bCs w:val="false"/>
          <w:i w:val="false"/>
          <w:iCs w:val="false"/>
          <w:sz w:val="20"/>
          <w:szCs w:val="20"/>
        </w:rPr>
        <w:t xml:space="preserve">The reference's “Fresh/Staged” tiles and hourly-by-message-type chart, kept and re-pointed at Catalyst's own object model rather than raw OTM message types — so the same chart now shows the thing Catalyst actually governs: which kind of automation is doing the work.</w:t>
      </w:r>
    </w:p>
    <w:p>
      <w:pPr>
        <w:pStyle w:val="ListParagraph"/>
        <w:numPr>
          <w:ilvl w:val="0"/>
          <w:numId w:val="2"/>
        </w:numPr>
        <w:spacing w:after="90" w:line="260"/>
      </w:pPr>
      <w:r>
        <w:rPr>
          <w:sz w:val="20"/>
          <w:szCs w:val="20"/>
        </w:rPr>
        <w:t xml:space="preserve">KPI tiles: Fresh (queued, unprocessed) count and Staged count, per domain, refreshed on the same polling cycle as Agent Trace.</w:t>
      </w:r>
    </w:p>
    <w:p>
      <w:pPr>
        <w:pStyle w:val="ListParagraph"/>
        <w:numPr>
          <w:ilvl w:val="0"/>
          <w:numId w:val="2"/>
        </w:numPr>
        <w:spacing w:after="90" w:line="260"/>
      </w:pPr>
      <w:r>
        <w:rPr>
          <w:sz w:val="20"/>
          <w:szCs w:val="20"/>
        </w:rPr>
        <w:t xml:space="preserve">Chart: hourly volume, stacked by trigger type — Classic Agent, AI Agent, Manual/Ad-hoc — instead of by raw message type, so a spike is immediately traceable to which kind of automation caused it.</w:t>
      </w:r>
    </w:p>
    <w:p>
      <w:pPr>
        <w:pStyle w:val="ListParagraph"/>
        <w:numPr>
          <w:ilvl w:val="0"/>
          <w:numId w:val="2"/>
        </w:numPr>
        <w:spacing w:after="90" w:line="260"/>
      </w:pPr>
      <w:r>
        <w:rPr>
          <w:sz w:val="20"/>
          <w:szCs w:val="20"/>
        </w:rPr>
        <w:t xml:space="preserve">Recent-activity table: Time, Object Type, Domain, Count — reusing Agent Trace's already-ingested log data rather than a separate feed.</w:t>
      </w:r>
    </w:p>
    <w:p>
      <w:pPr>
        <w:spacing w:after="200"/>
      </w:pPr>
      <w:r>
        <w:drawing>
          <wp:inline distT="0" distB="0" distL="0" distR="0">
            <wp:extent cx="5760720" cy="2697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2697480"/>
                    </a:xfrm>
                    <a:prstGeom prst="rect">
                      <a:avLst/>
                    </a:prstGeom>
                  </pic:spPr>
                </pic:pic>
              </a:graphicData>
            </a:graphic>
          </wp:inline>
        </w:drawing>
      </w:r>
    </w:p>
    <w:p>
      <w:pPr>
        <w:spacing w:after="220"/>
        <w:jc w:val="center"/>
      </w:pPr>
      <w:r>
        <w:rPr>
          <w:i/>
          <w:iCs/>
          <w:color w:val="555555"/>
          <w:sz w:val="17"/>
          <w:szCs w:val="17"/>
        </w:rPr>
        <w:t xml:space="preserve">Sample: hourly automation volume, stacked by trigger type. Data source: Agent Trace (3.7) via the Object Model (3.15).</w:t>
      </w:r>
    </w:p>
    <w:p>
      <w:pPr>
        <w:pBdr>
          <w:bottom w:val="single" w:color="16233A" w:sz="4" w:space="3"/>
        </w:pBdr>
        <w:spacing w:after="60" w:before="300"/>
      </w:pPr>
      <w:r>
        <w:rPr>
          <w:b/>
          <w:bCs/>
          <w:color w:val="16233A"/>
          <w:sz w:val="23"/>
          <w:szCs w:val="23"/>
        </w:rPr>
        <w:t xml:space="preserve">3.2  Business Process Volume</w:t>
      </w:r>
      <w:r>
        <w:rPr>
          <w:i/>
          <w:iCs/>
          <w:color w:val="555555"/>
          <w:sz w:val="18"/>
          <w:szCs w:val="18"/>
        </w:rPr>
        <w:t xml:space="preserve">   (multi-domain grid)</w:t>
      </w:r>
    </w:p>
    <w:p>
      <w:pPr>
        <w:spacing w:after="140" w:line="268"/>
      </w:pPr>
      <w:r>
        <w:rPr>
          <w:b w:val="false"/>
          <w:bCs w:val="false"/>
          <w:i w:val="false"/>
          <w:iCs w:val="false"/>
          <w:sz w:val="20"/>
          <w:szCs w:val="20"/>
        </w:rPr>
        <w:t xml:space="preserve">The reference's Critical Data Statistics grid, kept close to as-is — it's exactly the kind of at-a-glance operational read a super user or ops lead needs, and it was already multi-domain.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shd w:fill="16233A" w:val="clear"/>
            <w:tcMar>
              <w:top w:type="dxa" w:w="90"/>
              <w:left w:type="dxa" w:w="110"/>
              <w:bottom w:type="dxa" w:w="90"/>
              <w:right w:type="dxa" w:w="110"/>
            </w:tcMar>
            <w:vAlign w:val="center"/>
          </w:tcPr>
          <w:p>
            <w:pPr>
              <w:spacing w:after="0" w:line="246"/>
              <w:jc w:val="left"/>
            </w:pPr>
            <w:r>
              <w:rPr>
                <w:b/>
                <w:bCs/>
                <w:color w:val="FFFFFF"/>
                <w:sz w:val="18"/>
                <w:szCs w:val="18"/>
              </w:rPr>
              <w:t xml:space="preserve">Metric</w:t>
            </w:r>
          </w:p>
        </w:tc>
        <w:tc>
          <w:tcPr>
            <w:tcW w:type="dxa" w:w="2000"/>
            <w:shd w:fill="16233A" w:val="clear"/>
            <w:tcMar>
              <w:top w:type="dxa" w:w="90"/>
              <w:left w:type="dxa" w:w="110"/>
              <w:bottom w:type="dxa" w:w="90"/>
              <w:right w:type="dxa" w:w="110"/>
            </w:tcMar>
            <w:vAlign w:val="center"/>
          </w:tcPr>
          <w:p>
            <w:pPr>
              <w:spacing w:after="0" w:line="246"/>
              <w:jc w:val="left"/>
            </w:pPr>
            <w:r>
              <w:rPr>
                <w:b/>
                <w:bCs/>
                <w:color w:val="FFFFFF"/>
                <w:sz w:val="18"/>
                <w:szCs w:val="18"/>
              </w:rPr>
              <w:t xml:space="preserve">PTY</w:t>
            </w:r>
          </w:p>
        </w:tc>
        <w:tc>
          <w:tcPr>
            <w:tcW w:type="dxa" w:w="2000"/>
            <w:shd w:fill="16233A" w:val="clear"/>
            <w:tcMar>
              <w:top w:type="dxa" w:w="90"/>
              <w:left w:type="dxa" w:w="110"/>
              <w:bottom w:type="dxa" w:w="90"/>
              <w:right w:type="dxa" w:w="110"/>
            </w:tcMar>
            <w:vAlign w:val="center"/>
          </w:tcPr>
          <w:p>
            <w:pPr>
              <w:spacing w:after="0" w:line="246"/>
              <w:jc w:val="left"/>
            </w:pPr>
            <w:r>
              <w:rPr>
                <w:b/>
                <w:bCs/>
                <w:color w:val="FFFFFF"/>
                <w:sz w:val="18"/>
                <w:szCs w:val="18"/>
              </w:rPr>
              <w:t xml:space="preserve">SAO</w:t>
            </w:r>
          </w:p>
        </w:tc>
        <w:tc>
          <w:tcPr>
            <w:tcW w:type="dxa" w:w="2000"/>
            <w:shd w:fill="16233A" w:val="clear"/>
            <w:tcMar>
              <w:top w:type="dxa" w:w="90"/>
              <w:left w:type="dxa" w:w="110"/>
              <w:bottom w:type="dxa" w:w="90"/>
              <w:right w:type="dxa" w:w="110"/>
            </w:tcMar>
            <w:vAlign w:val="center"/>
          </w:tcPr>
          <w:p>
            <w:pPr>
              <w:spacing w:after="0" w:line="246"/>
              <w:jc w:val="left"/>
            </w:pPr>
            <w:r>
              <w:rPr>
                <w:b/>
                <w:bCs/>
                <w:color w:val="FFFFFF"/>
                <w:sz w:val="18"/>
                <w:szCs w:val="18"/>
              </w:rPr>
              <w:t xml:space="preserve">LatAm</w:t>
            </w:r>
          </w:p>
        </w:tc>
      </w:tr>
      <w:tr>
        <w:tc>
          <w:tcPr>
            <w:tcW w:type="dxa" w:w="336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Orders in Process</w:t>
            </w:r>
          </w:p>
        </w:tc>
        <w:tc>
          <w:tcPr>
            <w:tcW w:type="dxa" w:w="2000"/>
            <w:shd w:fill="FFFFFF" w:val="clear"/>
            <w:tcMar>
              <w:top w:type="dxa" w:w="90"/>
              <w:left w:type="dxa" w:w="110"/>
              <w:bottom w:type="dxa" w:w="90"/>
              <w:right w:type="dxa" w:w="110"/>
            </w:tcMar>
            <w:vAlign w:val="center"/>
          </w:tcPr>
          <w:p>
            <w:pPr>
              <w:jc w:val="center"/>
            </w:pPr>
            <w:r>
              <w:rPr>
                <w:b/>
                <w:bCs/>
                <w:color w:val="2E7D32"/>
                <w:sz w:val="18"/>
                <w:szCs w:val="18"/>
              </w:rPr>
              <w:t xml:space="preserve">102</w:t>
            </w:r>
          </w:p>
        </w:tc>
        <w:tc>
          <w:tcPr>
            <w:tcW w:type="dxa" w:w="2000"/>
            <w:shd w:fill="FFFFFF" w:val="clear"/>
            <w:tcMar>
              <w:top w:type="dxa" w:w="90"/>
              <w:left w:type="dxa" w:w="110"/>
              <w:bottom w:type="dxa" w:w="90"/>
              <w:right w:type="dxa" w:w="110"/>
            </w:tcMar>
            <w:vAlign w:val="center"/>
          </w:tcPr>
          <w:p>
            <w:pPr>
              <w:jc w:val="center"/>
            </w:pPr>
            <w:r>
              <w:rPr>
                <w:b/>
                <w:bCs/>
                <w:color w:val="2E7D32"/>
                <w:sz w:val="18"/>
                <w:szCs w:val="18"/>
              </w:rPr>
              <w:t xml:space="preserve">9296</w:t>
            </w:r>
          </w:p>
        </w:tc>
        <w:tc>
          <w:tcPr>
            <w:tcW w:type="dxa" w:w="2000"/>
            <w:shd w:fill="FFFFFF" w:val="clear"/>
            <w:tcMar>
              <w:top w:type="dxa" w:w="90"/>
              <w:left w:type="dxa" w:w="110"/>
              <w:bottom w:type="dxa" w:w="90"/>
              <w:right w:type="dxa" w:w="110"/>
            </w:tcMar>
            <w:vAlign w:val="center"/>
          </w:tcPr>
          <w:p>
            <w:pPr>
              <w:jc w:val="center"/>
            </w:pPr>
            <w:r>
              <w:rPr>
                <w:b/>
                <w:bCs/>
                <w:color w:val="2E7D32"/>
                <w:sz w:val="18"/>
                <w:szCs w:val="18"/>
              </w:rPr>
              <w:t xml:space="preserve">41</w:t>
            </w:r>
          </w:p>
        </w:tc>
      </w:tr>
      <w:tr>
        <w:tc>
          <w:tcPr>
            <w:tcW w:type="dxa" w:w="336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Bulk Plans Run</w:t>
            </w:r>
          </w:p>
        </w:tc>
        <w:tc>
          <w:tcPr>
            <w:tcW w:type="dxa" w:w="2000"/>
            <w:shd w:fill="FFFFFF" w:val="clear"/>
            <w:tcMar>
              <w:top w:type="dxa" w:w="90"/>
              <w:left w:type="dxa" w:w="110"/>
              <w:bottom w:type="dxa" w:w="90"/>
              <w:right w:type="dxa" w:w="110"/>
            </w:tcMar>
            <w:vAlign w:val="center"/>
          </w:tcPr>
          <w:p>
            <w:pPr>
              <w:jc w:val="center"/>
            </w:pPr>
            <w:r>
              <w:rPr>
                <w:b/>
                <w:bCs/>
                <w:color w:val="C62828"/>
                <w:sz w:val="18"/>
                <w:szCs w:val="18"/>
              </w:rPr>
              <w:t xml:space="preserve">0</w:t>
            </w:r>
          </w:p>
        </w:tc>
        <w:tc>
          <w:tcPr>
            <w:tcW w:type="dxa" w:w="2000"/>
            <w:shd w:fill="FFFFFF" w:val="clear"/>
            <w:tcMar>
              <w:top w:type="dxa" w:w="90"/>
              <w:left w:type="dxa" w:w="110"/>
              <w:bottom w:type="dxa" w:w="90"/>
              <w:right w:type="dxa" w:w="110"/>
            </w:tcMar>
            <w:vAlign w:val="center"/>
          </w:tcPr>
          <w:p>
            <w:pPr>
              <w:jc w:val="center"/>
            </w:pPr>
            <w:r>
              <w:rPr>
                <w:b/>
                <w:bCs/>
                <w:color w:val="C62828"/>
                <w:sz w:val="18"/>
                <w:szCs w:val="18"/>
              </w:rPr>
              <w:t xml:space="preserve">0</w:t>
            </w:r>
          </w:p>
        </w:tc>
        <w:tc>
          <w:tcPr>
            <w:tcW w:type="dxa" w:w="2000"/>
            <w:shd w:fill="FFFFFF" w:val="clear"/>
            <w:tcMar>
              <w:top w:type="dxa" w:w="90"/>
              <w:left w:type="dxa" w:w="110"/>
              <w:bottom w:type="dxa" w:w="90"/>
              <w:right w:type="dxa" w:w="110"/>
            </w:tcMar>
            <w:vAlign w:val="center"/>
          </w:tcPr>
          <w:p>
            <w:pPr>
              <w:jc w:val="center"/>
            </w:pPr>
            <w:r>
              <w:rPr>
                <w:b/>
                <w:bCs/>
                <w:color w:val="2E7D32"/>
                <w:sz w:val="18"/>
                <w:szCs w:val="18"/>
              </w:rPr>
              <w:t xml:space="preserve">3</w:t>
            </w:r>
          </w:p>
        </w:tc>
      </w:tr>
      <w:tr>
        <w:tc>
          <w:tcPr>
            <w:tcW w:type="dxa" w:w="336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Shipments Created</w:t>
            </w:r>
          </w:p>
        </w:tc>
        <w:tc>
          <w:tcPr>
            <w:tcW w:type="dxa" w:w="2000"/>
            <w:shd w:fill="FFFFFF" w:val="clear"/>
            <w:tcMar>
              <w:top w:type="dxa" w:w="90"/>
              <w:left w:type="dxa" w:w="110"/>
              <w:bottom w:type="dxa" w:w="90"/>
              <w:right w:type="dxa" w:w="110"/>
            </w:tcMar>
            <w:vAlign w:val="center"/>
          </w:tcPr>
          <w:p>
            <w:pPr>
              <w:jc w:val="center"/>
            </w:pPr>
            <w:r>
              <w:rPr>
                <w:b/>
                <w:bCs/>
                <w:color w:val="C62828"/>
                <w:sz w:val="18"/>
                <w:szCs w:val="18"/>
              </w:rPr>
              <w:t xml:space="preserve">0</w:t>
            </w:r>
          </w:p>
        </w:tc>
        <w:tc>
          <w:tcPr>
            <w:tcW w:type="dxa" w:w="2000"/>
            <w:shd w:fill="FFFFFF" w:val="clear"/>
            <w:tcMar>
              <w:top w:type="dxa" w:w="90"/>
              <w:left w:type="dxa" w:w="110"/>
              <w:bottom w:type="dxa" w:w="90"/>
              <w:right w:type="dxa" w:w="110"/>
            </w:tcMar>
            <w:vAlign w:val="center"/>
          </w:tcPr>
          <w:p>
            <w:pPr>
              <w:jc w:val="center"/>
            </w:pPr>
            <w:r>
              <w:rPr>
                <w:b/>
                <w:bCs/>
                <w:color w:val="C62828"/>
                <w:sz w:val="18"/>
                <w:szCs w:val="18"/>
              </w:rPr>
              <w:t xml:space="preserve">0</w:t>
            </w:r>
          </w:p>
        </w:tc>
        <w:tc>
          <w:tcPr>
            <w:tcW w:type="dxa" w:w="2000"/>
            <w:shd w:fill="FFFFFF" w:val="clear"/>
            <w:tcMar>
              <w:top w:type="dxa" w:w="90"/>
              <w:left w:type="dxa" w:w="110"/>
              <w:bottom w:type="dxa" w:w="90"/>
              <w:right w:type="dxa" w:w="110"/>
            </w:tcMar>
            <w:vAlign w:val="center"/>
          </w:tcPr>
          <w:p>
            <w:pPr>
              <w:jc w:val="center"/>
            </w:pPr>
            <w:r>
              <w:rPr>
                <w:b/>
                <w:bCs/>
                <w:color w:val="2E7D32"/>
                <w:sz w:val="18"/>
                <w:szCs w:val="18"/>
              </w:rPr>
              <w:t xml:space="preserve">12</w:t>
            </w:r>
          </w:p>
        </w:tc>
      </w:tr>
      <w:tr>
        <w:tc>
          <w:tcPr>
            <w:tcW w:type="dxa" w:w="336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Shipments Approved</w:t>
            </w:r>
          </w:p>
        </w:tc>
        <w:tc>
          <w:tcPr>
            <w:tcW w:type="dxa" w:w="2000"/>
            <w:shd w:fill="FFFFFF" w:val="clear"/>
            <w:tcMar>
              <w:top w:type="dxa" w:w="90"/>
              <w:left w:type="dxa" w:w="110"/>
              <w:bottom w:type="dxa" w:w="90"/>
              <w:right w:type="dxa" w:w="110"/>
            </w:tcMar>
            <w:vAlign w:val="center"/>
          </w:tcPr>
          <w:p>
            <w:pPr>
              <w:jc w:val="center"/>
            </w:pPr>
            <w:r>
              <w:rPr>
                <w:b/>
                <w:bCs/>
                <w:color w:val="C62828"/>
                <w:sz w:val="18"/>
                <w:szCs w:val="18"/>
              </w:rPr>
              <w:t xml:space="preserve">0</w:t>
            </w:r>
          </w:p>
        </w:tc>
        <w:tc>
          <w:tcPr>
            <w:tcW w:type="dxa" w:w="2000"/>
            <w:shd w:fill="FFFFFF" w:val="clear"/>
            <w:tcMar>
              <w:top w:type="dxa" w:w="90"/>
              <w:left w:type="dxa" w:w="110"/>
              <w:bottom w:type="dxa" w:w="90"/>
              <w:right w:type="dxa" w:w="110"/>
            </w:tcMar>
            <w:vAlign w:val="center"/>
          </w:tcPr>
          <w:p>
            <w:pPr>
              <w:jc w:val="center"/>
            </w:pPr>
            <w:r>
              <w:rPr>
                <w:b/>
                <w:bCs/>
                <w:color w:val="C62828"/>
                <w:sz w:val="18"/>
                <w:szCs w:val="18"/>
              </w:rPr>
              <w:t xml:space="preserve">0</w:t>
            </w:r>
          </w:p>
        </w:tc>
        <w:tc>
          <w:tcPr>
            <w:tcW w:type="dxa" w:w="2000"/>
            <w:shd w:fill="FFFFFF" w:val="clear"/>
            <w:tcMar>
              <w:top w:type="dxa" w:w="90"/>
              <w:left w:type="dxa" w:w="110"/>
              <w:bottom w:type="dxa" w:w="90"/>
              <w:right w:type="dxa" w:w="110"/>
            </w:tcMar>
            <w:vAlign w:val="center"/>
          </w:tcPr>
          <w:p>
            <w:pPr>
              <w:jc w:val="center"/>
            </w:pPr>
            <w:r>
              <w:rPr>
                <w:b/>
                <w:bCs/>
                <w:color w:val="2E7D32"/>
                <w:sz w:val="18"/>
                <w:szCs w:val="18"/>
              </w:rPr>
              <w:t xml:space="preserve">9</w:t>
            </w:r>
          </w:p>
        </w:tc>
      </w:tr>
      <w:tr>
        <w:tc>
          <w:tcPr>
            <w:tcW w:type="dxa" w:w="336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Item Master Load Received</w:t>
            </w:r>
          </w:p>
        </w:tc>
        <w:tc>
          <w:tcPr>
            <w:tcW w:type="dxa" w:w="2000"/>
            <w:shd w:fill="FFFFFF" w:val="clear"/>
            <w:tcMar>
              <w:top w:type="dxa" w:w="90"/>
              <w:left w:type="dxa" w:w="110"/>
              <w:bottom w:type="dxa" w:w="90"/>
              <w:right w:type="dxa" w:w="110"/>
            </w:tcMar>
            <w:vAlign w:val="center"/>
          </w:tcPr>
          <w:p>
            <w:pPr>
              <w:jc w:val="center"/>
            </w:pPr>
            <w:r>
              <w:rPr>
                <w:b/>
                <w:bCs/>
                <w:color w:val="2E7D32"/>
                <w:sz w:val="18"/>
                <w:szCs w:val="18"/>
              </w:rPr>
              <w:t xml:space="preserve">5</w:t>
            </w:r>
          </w:p>
        </w:tc>
        <w:tc>
          <w:tcPr>
            <w:tcW w:type="dxa" w:w="2000"/>
            <w:shd w:fill="FFFFFF" w:val="clear"/>
            <w:tcMar>
              <w:top w:type="dxa" w:w="90"/>
              <w:left w:type="dxa" w:w="110"/>
              <w:bottom w:type="dxa" w:w="90"/>
              <w:right w:type="dxa" w:w="110"/>
            </w:tcMar>
            <w:vAlign w:val="center"/>
          </w:tcPr>
          <w:p>
            <w:pPr>
              <w:jc w:val="center"/>
            </w:pPr>
            <w:r>
              <w:rPr>
                <w:b/>
                <w:bCs/>
                <w:color w:val="2E7D32"/>
                <w:sz w:val="18"/>
                <w:szCs w:val="18"/>
              </w:rPr>
              <w:t xml:space="preserve">5</w:t>
            </w:r>
          </w:p>
        </w:tc>
        <w:tc>
          <w:tcPr>
            <w:tcW w:type="dxa" w:w="2000"/>
            <w:shd w:fill="FFFFFF" w:val="clear"/>
            <w:tcMar>
              <w:top w:type="dxa" w:w="90"/>
              <w:left w:type="dxa" w:w="110"/>
              <w:bottom w:type="dxa" w:w="90"/>
              <w:right w:type="dxa" w:w="110"/>
            </w:tcMar>
            <w:vAlign w:val="center"/>
          </w:tcPr>
          <w:p>
            <w:pPr>
              <w:jc w:val="center"/>
            </w:pPr>
            <w:r>
              <w:rPr>
                <w:b/>
                <w:bCs/>
                <w:color w:val="2E7D32"/>
                <w:sz w:val="18"/>
                <w:szCs w:val="18"/>
              </w:rPr>
              <w:t xml:space="preserve">5</w:t>
            </w:r>
          </w:p>
        </w:tc>
      </w:tr>
      <w:tr>
        <w:tc>
          <w:tcPr>
            <w:tcW w:type="dxa" w:w="336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Pending Split</w:t>
            </w:r>
          </w:p>
        </w:tc>
        <w:tc>
          <w:tcPr>
            <w:tcW w:type="dxa" w:w="2000"/>
            <w:shd w:fill="FFFFFF" w:val="clear"/>
            <w:tcMar>
              <w:top w:type="dxa" w:w="90"/>
              <w:left w:type="dxa" w:w="110"/>
              <w:bottom w:type="dxa" w:w="90"/>
              <w:right w:type="dxa" w:w="110"/>
            </w:tcMar>
            <w:vAlign w:val="center"/>
          </w:tcPr>
          <w:p>
            <w:pPr>
              <w:jc w:val="center"/>
            </w:pPr>
            <w:r>
              <w:rPr>
                <w:b/>
                <w:bCs/>
                <w:color w:val="2E7D32"/>
                <w:sz w:val="18"/>
                <w:szCs w:val="18"/>
              </w:rPr>
              <w:t xml:space="preserve">1</w:t>
            </w:r>
          </w:p>
        </w:tc>
        <w:tc>
          <w:tcPr>
            <w:tcW w:type="dxa" w:w="2000"/>
            <w:shd w:fill="FFFFFF" w:val="clear"/>
            <w:tcMar>
              <w:top w:type="dxa" w:w="90"/>
              <w:left w:type="dxa" w:w="110"/>
              <w:bottom w:type="dxa" w:w="90"/>
              <w:right w:type="dxa" w:w="110"/>
            </w:tcMar>
            <w:vAlign w:val="center"/>
          </w:tcPr>
          <w:p>
            <w:pPr>
              <w:jc w:val="center"/>
            </w:pPr>
            <w:r>
              <w:rPr>
                <w:b/>
                <w:bCs/>
                <w:color w:val="2E7D32"/>
                <w:sz w:val="18"/>
                <w:szCs w:val="18"/>
              </w:rPr>
              <w:t xml:space="preserve">8</w:t>
            </w:r>
          </w:p>
        </w:tc>
        <w:tc>
          <w:tcPr>
            <w:tcW w:type="dxa" w:w="2000"/>
            <w:shd w:fill="FFFFFF" w:val="clear"/>
            <w:tcMar>
              <w:top w:type="dxa" w:w="90"/>
              <w:left w:type="dxa" w:w="110"/>
              <w:bottom w:type="dxa" w:w="90"/>
              <w:right w:type="dxa" w:w="110"/>
            </w:tcMar>
            <w:vAlign w:val="center"/>
          </w:tcPr>
          <w:p>
            <w:pPr>
              <w:jc w:val="center"/>
            </w:pPr>
            <w:r>
              <w:rPr>
                <w:b/>
                <w:bCs/>
                <w:color w:val="2E7D32"/>
                <w:sz w:val="18"/>
                <w:szCs w:val="18"/>
              </w:rPr>
              <w:t xml:space="preserve">0</w:t>
            </w:r>
          </w:p>
        </w:tc>
      </w:tr>
    </w:tbl>
    <w:p>
      <w:pPr>
        <w:spacing w:after="140"/>
      </w:pPr>
    </w:p>
    <w:p>
      <w:pPr>
        <w:spacing w:after="140" w:line="268"/>
      </w:pPr>
      <w:r>
        <w:rPr>
          <w:b w:val="false"/>
          <w:bCs w:val="false"/>
          <w:i w:val="false"/>
          <w:iCs w:val="false"/>
          <w:sz w:val="20"/>
          <w:szCs w:val="20"/>
        </w:rPr>
        <w:t xml:space="preserve">Full metric catalog for this widget: Orders in Process, Number of Bulk Plans Run, Number of Orders Planned, Number of Shipments Created, Number of Shipments Approved, Weight of Shipments Processed, Item Master Load Received, Pending Split, Split as Order Base, Split Orders Ready for Planning/Execution. Each cell is bound to a saved query per domain (same binding mechanism as the Healthcheck Dashboard's custom-metric support), with red text as the default rule for an unexpected zero and green for a healthy non-zero read — that default rule must be overridable per metric, since a genuine zero is sometimes correct.</w:t>
      </w:r>
    </w:p>
    <w:p>
      <w:pPr>
        <w:pBdr>
          <w:bottom w:val="single" w:color="16233A" w:sz="4" w:space="3"/>
        </w:pBdr>
        <w:spacing w:after="60" w:before="300"/>
      </w:pPr>
      <w:r>
        <w:rPr>
          <w:b/>
          <w:bCs/>
          <w:color w:val="16233A"/>
          <w:sz w:val="23"/>
          <w:szCs w:val="23"/>
        </w:rPr>
        <w:t xml:space="preserve">3.3  Automation &amp; Query Health</w:t>
      </w:r>
      <w:r>
        <w:rPr>
          <w:i/>
          <w:iCs/>
          <w:color w:val="555555"/>
          <w:sz w:val="18"/>
          <w:szCs w:val="18"/>
        </w:rPr>
        <w:t xml:space="preserve">   (RAG grid + drill-down)</w:t>
      </w:r>
    </w:p>
    <w:p>
      <w:pPr>
        <w:spacing w:after="140" w:line="268"/>
      </w:pPr>
      <w:r>
        <w:rPr>
          <w:b w:val="false"/>
          <w:bCs w:val="false"/>
          <w:i w:val="false"/>
          <w:iCs w:val="false"/>
          <w:sz w:val="20"/>
          <w:szCs w:val="20"/>
        </w:rPr>
        <w:t xml:space="preserve">The reference's Critical Parameter Statistics grid, kept in full — this is the single most valuable widget in the source material, because it's already exactly the shape Feature 3.9 needed: a configurable metric, a threshold, a status, and a domain column that repeats across every domain Catalyst already knows about from Workflow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shd w:fill="16233A" w:val="clear"/>
            <w:tcMar>
              <w:top w:type="dxa" w:w="90"/>
              <w:left w:type="dxa" w:w="110"/>
              <w:bottom w:type="dxa" w:w="90"/>
              <w:right w:type="dxa" w:w="110"/>
            </w:tcMar>
            <w:vAlign w:val="center"/>
          </w:tcPr>
          <w:p>
            <w:pPr>
              <w:spacing w:after="0" w:line="246"/>
              <w:jc w:val="left"/>
            </w:pPr>
            <w:r>
              <w:rPr>
                <w:b/>
                <w:bCs/>
                <w:color w:val="FFFFFF"/>
                <w:sz w:val="18"/>
                <w:szCs w:val="18"/>
              </w:rPr>
              <w:t xml:space="preserve">Parameter</w:t>
            </w:r>
          </w:p>
        </w:tc>
        <w:tc>
          <w:tcPr>
            <w:tcW w:type="dxa" w:w="2000"/>
            <w:shd w:fill="16233A" w:val="clear"/>
            <w:tcMar>
              <w:top w:type="dxa" w:w="90"/>
              <w:left w:type="dxa" w:w="110"/>
              <w:bottom w:type="dxa" w:w="90"/>
              <w:right w:type="dxa" w:w="110"/>
            </w:tcMar>
            <w:vAlign w:val="center"/>
          </w:tcPr>
          <w:p>
            <w:pPr>
              <w:spacing w:after="0" w:line="246"/>
              <w:jc w:val="left"/>
            </w:pPr>
            <w:r>
              <w:rPr>
                <w:b/>
                <w:bCs/>
                <w:color w:val="FFFFFF"/>
                <w:sz w:val="18"/>
                <w:szCs w:val="18"/>
              </w:rPr>
              <w:t xml:space="preserve">PUNL66</w:t>
            </w:r>
          </w:p>
        </w:tc>
        <w:tc>
          <w:tcPr>
            <w:tcW w:type="dxa" w:w="2000"/>
            <w:shd w:fill="16233A" w:val="clear"/>
            <w:tcMar>
              <w:top w:type="dxa" w:w="90"/>
              <w:left w:type="dxa" w:w="110"/>
              <w:bottom w:type="dxa" w:w="90"/>
              <w:right w:type="dxa" w:w="110"/>
            </w:tcMar>
            <w:vAlign w:val="center"/>
          </w:tcPr>
          <w:p>
            <w:pPr>
              <w:spacing w:after="0" w:line="246"/>
              <w:jc w:val="left"/>
            </w:pPr>
            <w:r>
              <w:rPr>
                <w:b/>
                <w:bCs/>
                <w:color w:val="FFFFFF"/>
                <w:sz w:val="18"/>
                <w:szCs w:val="18"/>
              </w:rPr>
              <w:t xml:space="preserve">Brazil</w:t>
            </w:r>
          </w:p>
        </w:tc>
        <w:tc>
          <w:tcPr>
            <w:tcW w:type="dxa" w:w="2000"/>
            <w:shd w:fill="16233A" w:val="clear"/>
            <w:tcMar>
              <w:top w:type="dxa" w:w="90"/>
              <w:left w:type="dxa" w:w="110"/>
              <w:bottom w:type="dxa" w:w="90"/>
              <w:right w:type="dxa" w:w="110"/>
            </w:tcMar>
            <w:vAlign w:val="center"/>
          </w:tcPr>
          <w:p>
            <w:pPr>
              <w:spacing w:after="0" w:line="246"/>
              <w:jc w:val="left"/>
            </w:pPr>
            <w:r>
              <w:rPr>
                <w:b/>
                <w:bCs/>
                <w:color w:val="FFFFFF"/>
                <w:sz w:val="18"/>
                <w:szCs w:val="18"/>
              </w:rPr>
              <w:t xml:space="preserve">Mexico</w:t>
            </w:r>
          </w:p>
        </w:tc>
      </w:tr>
      <w:tr>
        <w:tc>
          <w:tcPr>
            <w:tcW w:type="dxa" w:w="336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Inbound Transmissions</w:t>
            </w:r>
          </w:p>
        </w:tc>
        <w:tc>
          <w:tcPr>
            <w:tcW w:type="dxa" w:w="2000"/>
            <w:shd w:fill="E5F1E6" w:val="clear"/>
            <w:tcMar>
              <w:top w:type="dxa" w:w="90"/>
              <w:left w:type="dxa" w:w="110"/>
              <w:bottom w:type="dxa" w:w="90"/>
              <w:right w:type="dxa" w:w="110"/>
            </w:tcMar>
            <w:vAlign w:val="center"/>
          </w:tcPr>
          <w:p>
            <w:pPr>
              <w:jc w:val="center"/>
            </w:pPr>
            <w:r>
              <w:rPr>
                <w:b/>
                <w:bCs/>
                <w:color w:val="2E7D32"/>
                <w:sz w:val="18"/>
                <w:szCs w:val="18"/>
              </w:rPr>
              <w:t xml:space="preserve">● Normal</w:t>
            </w:r>
          </w:p>
        </w:tc>
        <w:tc>
          <w:tcPr>
            <w:tcW w:type="dxa" w:w="2000"/>
            <w:shd w:fill="E5F1E6" w:val="clear"/>
            <w:tcMar>
              <w:top w:type="dxa" w:w="90"/>
              <w:left w:type="dxa" w:w="110"/>
              <w:bottom w:type="dxa" w:w="90"/>
              <w:right w:type="dxa" w:w="110"/>
            </w:tcMar>
            <w:vAlign w:val="center"/>
          </w:tcPr>
          <w:p>
            <w:pPr>
              <w:jc w:val="center"/>
            </w:pPr>
            <w:r>
              <w:rPr>
                <w:b/>
                <w:bCs/>
                <w:color w:val="2E7D32"/>
                <w:sz w:val="18"/>
                <w:szCs w:val="18"/>
              </w:rPr>
              <w:t xml:space="preserve">● Normal</w:t>
            </w:r>
          </w:p>
        </w:tc>
        <w:tc>
          <w:tcPr>
            <w:tcW w:type="dxa" w:w="2000"/>
            <w:shd w:fill="E5F1E6" w:val="clear"/>
            <w:tcMar>
              <w:top w:type="dxa" w:w="90"/>
              <w:left w:type="dxa" w:w="110"/>
              <w:bottom w:type="dxa" w:w="90"/>
              <w:right w:type="dxa" w:w="110"/>
            </w:tcMar>
            <w:vAlign w:val="center"/>
          </w:tcPr>
          <w:p>
            <w:pPr>
              <w:jc w:val="center"/>
            </w:pPr>
            <w:r>
              <w:rPr>
                <w:b/>
                <w:bCs/>
                <w:color w:val="2E7D32"/>
                <w:sz w:val="18"/>
                <w:szCs w:val="18"/>
              </w:rPr>
              <w:t xml:space="preserve">● Normal</w:t>
            </w:r>
          </w:p>
        </w:tc>
      </w:tr>
      <w:tr>
        <w:tc>
          <w:tcPr>
            <w:tcW w:type="dxa" w:w="336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Outbound Transmissions</w:t>
            </w:r>
          </w:p>
        </w:tc>
        <w:tc>
          <w:tcPr>
            <w:tcW w:type="dxa" w:w="2000"/>
            <w:shd w:fill="E5F1E6" w:val="clear"/>
            <w:tcMar>
              <w:top w:type="dxa" w:w="90"/>
              <w:left w:type="dxa" w:w="110"/>
              <w:bottom w:type="dxa" w:w="90"/>
              <w:right w:type="dxa" w:w="110"/>
            </w:tcMar>
            <w:vAlign w:val="center"/>
          </w:tcPr>
          <w:p>
            <w:pPr>
              <w:jc w:val="center"/>
            </w:pPr>
            <w:r>
              <w:rPr>
                <w:b/>
                <w:bCs/>
                <w:color w:val="2E7D32"/>
                <w:sz w:val="18"/>
                <w:szCs w:val="18"/>
              </w:rPr>
              <w:t xml:space="preserve">● Normal</w:t>
            </w:r>
          </w:p>
        </w:tc>
        <w:tc>
          <w:tcPr>
            <w:tcW w:type="dxa" w:w="2000"/>
            <w:shd w:fill="E5F1E6" w:val="clear"/>
            <w:tcMar>
              <w:top w:type="dxa" w:w="90"/>
              <w:left w:type="dxa" w:w="110"/>
              <w:bottom w:type="dxa" w:w="90"/>
              <w:right w:type="dxa" w:w="110"/>
            </w:tcMar>
            <w:vAlign w:val="center"/>
          </w:tcPr>
          <w:p>
            <w:pPr>
              <w:jc w:val="center"/>
            </w:pPr>
            <w:r>
              <w:rPr>
                <w:b/>
                <w:bCs/>
                <w:color w:val="2E7D32"/>
                <w:sz w:val="18"/>
                <w:szCs w:val="18"/>
              </w:rPr>
              <w:t xml:space="preserve">● Normal</w:t>
            </w:r>
          </w:p>
        </w:tc>
        <w:tc>
          <w:tcPr>
            <w:tcW w:type="dxa" w:w="2000"/>
            <w:shd w:fill="E5F1E6" w:val="clear"/>
            <w:tcMar>
              <w:top w:type="dxa" w:w="90"/>
              <w:left w:type="dxa" w:w="110"/>
              <w:bottom w:type="dxa" w:w="90"/>
              <w:right w:type="dxa" w:w="110"/>
            </w:tcMar>
            <w:vAlign w:val="center"/>
          </w:tcPr>
          <w:p>
            <w:pPr>
              <w:jc w:val="center"/>
            </w:pPr>
            <w:r>
              <w:rPr>
                <w:b/>
                <w:bCs/>
                <w:color w:val="2E7D32"/>
                <w:sz w:val="18"/>
                <w:szCs w:val="18"/>
              </w:rPr>
              <w:t xml:space="preserve">● Normal</w:t>
            </w:r>
          </w:p>
        </w:tc>
      </w:tr>
      <w:tr>
        <w:tc>
          <w:tcPr>
            <w:tcW w:type="dxa" w:w="336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Bulk Plan Run</w:t>
            </w:r>
          </w:p>
        </w:tc>
        <w:tc>
          <w:tcPr>
            <w:tcW w:type="dxa" w:w="2000"/>
            <w:shd w:fill="E5F1E6" w:val="clear"/>
            <w:tcMar>
              <w:top w:type="dxa" w:w="90"/>
              <w:left w:type="dxa" w:w="110"/>
              <w:bottom w:type="dxa" w:w="90"/>
              <w:right w:type="dxa" w:w="110"/>
            </w:tcMar>
            <w:vAlign w:val="center"/>
          </w:tcPr>
          <w:p>
            <w:pPr>
              <w:jc w:val="center"/>
            </w:pPr>
            <w:r>
              <w:rPr>
                <w:b/>
                <w:bCs/>
                <w:color w:val="2E7D32"/>
                <w:sz w:val="18"/>
                <w:szCs w:val="18"/>
              </w:rPr>
              <w:t xml:space="preserve">● Normal</w:t>
            </w:r>
          </w:p>
        </w:tc>
        <w:tc>
          <w:tcPr>
            <w:tcW w:type="dxa" w:w="2000"/>
            <w:shd w:fill="E5F1E6" w:val="clear"/>
            <w:tcMar>
              <w:top w:type="dxa" w:w="90"/>
              <w:left w:type="dxa" w:w="110"/>
              <w:bottom w:type="dxa" w:w="90"/>
              <w:right w:type="dxa" w:w="110"/>
            </w:tcMar>
            <w:vAlign w:val="center"/>
          </w:tcPr>
          <w:p>
            <w:pPr>
              <w:jc w:val="center"/>
            </w:pPr>
            <w:r>
              <w:rPr>
                <w:b/>
                <w:bCs/>
                <w:color w:val="2E7D32"/>
                <w:sz w:val="18"/>
                <w:szCs w:val="18"/>
              </w:rPr>
              <w:t xml:space="preserve">● Normal</w:t>
            </w:r>
          </w:p>
        </w:tc>
        <w:tc>
          <w:tcPr>
            <w:tcW w:type="dxa" w:w="2000"/>
            <w:shd w:fill="FBE4E4" w:val="clear"/>
            <w:tcMar>
              <w:top w:type="dxa" w:w="90"/>
              <w:left w:type="dxa" w:w="110"/>
              <w:bottom w:type="dxa" w:w="90"/>
              <w:right w:type="dxa" w:w="110"/>
            </w:tcMar>
            <w:vAlign w:val="center"/>
          </w:tcPr>
          <w:p>
            <w:pPr>
              <w:jc w:val="center"/>
            </w:pPr>
            <w:r>
              <w:rPr>
                <w:b/>
                <w:bCs/>
                <w:color w:val="C62828"/>
                <w:sz w:val="18"/>
                <w:szCs w:val="18"/>
              </w:rPr>
              <w:t xml:space="preserve">● Critical</w:t>
            </w:r>
          </w:p>
        </w:tc>
      </w:tr>
      <w:tr>
        <w:tc>
          <w:tcPr>
            <w:tcW w:type="dxa" w:w="336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Long Running Queries</w:t>
            </w:r>
          </w:p>
        </w:tc>
        <w:tc>
          <w:tcPr>
            <w:tcW w:type="dxa" w:w="2000"/>
            <w:shd w:fill="FBE4E4" w:val="clear"/>
            <w:tcMar>
              <w:top w:type="dxa" w:w="90"/>
              <w:left w:type="dxa" w:w="110"/>
              <w:bottom w:type="dxa" w:w="90"/>
              <w:right w:type="dxa" w:w="110"/>
            </w:tcMar>
            <w:vAlign w:val="center"/>
          </w:tcPr>
          <w:p>
            <w:pPr>
              <w:jc w:val="center"/>
            </w:pPr>
            <w:r>
              <w:rPr>
                <w:b/>
                <w:bCs/>
                <w:color w:val="C62828"/>
                <w:sz w:val="18"/>
                <w:szCs w:val="18"/>
              </w:rPr>
              <w:t xml:space="preserve">● Critical</w:t>
            </w:r>
          </w:p>
        </w:tc>
        <w:tc>
          <w:tcPr>
            <w:tcW w:type="dxa" w:w="2000"/>
            <w:shd w:fill="FBF2DC" w:val="clear"/>
            <w:tcMar>
              <w:top w:type="dxa" w:w="90"/>
              <w:left w:type="dxa" w:w="110"/>
              <w:bottom w:type="dxa" w:w="90"/>
              <w:right w:type="dxa" w:w="110"/>
            </w:tcMar>
            <w:vAlign w:val="center"/>
          </w:tcPr>
          <w:p>
            <w:pPr>
              <w:jc w:val="center"/>
            </w:pPr>
            <w:r>
              <w:rPr>
                <w:b/>
                <w:bCs/>
                <w:color w:val="B8860B"/>
                <w:sz w:val="18"/>
                <w:szCs w:val="18"/>
              </w:rPr>
              <w:t xml:space="preserve">● Warning</w:t>
            </w:r>
          </w:p>
        </w:tc>
        <w:tc>
          <w:tcPr>
            <w:tcW w:type="dxa" w:w="2000"/>
            <w:shd w:fill="E5F1E6" w:val="clear"/>
            <w:tcMar>
              <w:top w:type="dxa" w:w="90"/>
              <w:left w:type="dxa" w:w="110"/>
              <w:bottom w:type="dxa" w:w="90"/>
              <w:right w:type="dxa" w:w="110"/>
            </w:tcMar>
            <w:vAlign w:val="center"/>
          </w:tcPr>
          <w:p>
            <w:pPr>
              <w:jc w:val="center"/>
            </w:pPr>
            <w:r>
              <w:rPr>
                <w:b/>
                <w:bCs/>
                <w:color w:val="2E7D32"/>
                <w:sz w:val="18"/>
                <w:szCs w:val="18"/>
              </w:rPr>
              <w:t xml:space="preserve">● Normal</w:t>
            </w:r>
          </w:p>
        </w:tc>
      </w:tr>
      <w:tr>
        <w:tc>
          <w:tcPr>
            <w:tcW w:type="dxa" w:w="336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Pre-Split to Split</w:t>
            </w:r>
          </w:p>
        </w:tc>
        <w:tc>
          <w:tcPr>
            <w:tcW w:type="dxa" w:w="2000"/>
            <w:shd w:fill="E5F1E6" w:val="clear"/>
            <w:tcMar>
              <w:top w:type="dxa" w:w="90"/>
              <w:left w:type="dxa" w:w="110"/>
              <w:bottom w:type="dxa" w:w="90"/>
              <w:right w:type="dxa" w:w="110"/>
            </w:tcMar>
            <w:vAlign w:val="center"/>
          </w:tcPr>
          <w:p>
            <w:pPr>
              <w:jc w:val="center"/>
            </w:pPr>
            <w:r>
              <w:rPr>
                <w:b/>
                <w:bCs/>
                <w:color w:val="2E7D32"/>
                <w:sz w:val="18"/>
                <w:szCs w:val="18"/>
              </w:rPr>
              <w:t xml:space="preserve">● Normal</w:t>
            </w:r>
          </w:p>
        </w:tc>
        <w:tc>
          <w:tcPr>
            <w:tcW w:type="dxa" w:w="2000"/>
            <w:shd w:fill="FBE4E4" w:val="clear"/>
            <w:tcMar>
              <w:top w:type="dxa" w:w="90"/>
              <w:left w:type="dxa" w:w="110"/>
              <w:bottom w:type="dxa" w:w="90"/>
              <w:right w:type="dxa" w:w="110"/>
            </w:tcMar>
            <w:vAlign w:val="center"/>
          </w:tcPr>
          <w:p>
            <w:pPr>
              <w:jc w:val="center"/>
            </w:pPr>
            <w:r>
              <w:rPr>
                <w:b/>
                <w:bCs/>
                <w:color w:val="C62828"/>
                <w:sz w:val="18"/>
                <w:szCs w:val="18"/>
              </w:rPr>
              <w:t xml:space="preserve">● Critical</w:t>
            </w:r>
          </w:p>
        </w:tc>
        <w:tc>
          <w:tcPr>
            <w:tcW w:type="dxa" w:w="2000"/>
            <w:shd w:fill="FBE4E4" w:val="clear"/>
            <w:tcMar>
              <w:top w:type="dxa" w:w="90"/>
              <w:left w:type="dxa" w:w="110"/>
              <w:bottom w:type="dxa" w:w="90"/>
              <w:right w:type="dxa" w:w="110"/>
            </w:tcMar>
            <w:vAlign w:val="center"/>
          </w:tcPr>
          <w:p>
            <w:pPr>
              <w:jc w:val="center"/>
            </w:pPr>
            <w:r>
              <w:rPr>
                <w:b/>
                <w:bCs/>
                <w:color w:val="C62828"/>
                <w:sz w:val="18"/>
                <w:szCs w:val="18"/>
              </w:rPr>
              <w:t xml:space="preserve">● Critical</w:t>
            </w:r>
          </w:p>
        </w:tc>
      </w:tr>
      <w:tr>
        <w:tc>
          <w:tcPr>
            <w:tcW w:type="dxa" w:w="336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Split to Planning</w:t>
            </w:r>
          </w:p>
        </w:tc>
        <w:tc>
          <w:tcPr>
            <w:tcW w:type="dxa" w:w="2000"/>
            <w:shd w:fill="E5F1E6" w:val="clear"/>
            <w:tcMar>
              <w:top w:type="dxa" w:w="90"/>
              <w:left w:type="dxa" w:w="110"/>
              <w:bottom w:type="dxa" w:w="90"/>
              <w:right w:type="dxa" w:w="110"/>
            </w:tcMar>
            <w:vAlign w:val="center"/>
          </w:tcPr>
          <w:p>
            <w:pPr>
              <w:jc w:val="center"/>
            </w:pPr>
            <w:r>
              <w:rPr>
                <w:b/>
                <w:bCs/>
                <w:color w:val="2E7D32"/>
                <w:sz w:val="18"/>
                <w:szCs w:val="18"/>
              </w:rPr>
              <w:t xml:space="preserve">● Normal</w:t>
            </w:r>
          </w:p>
        </w:tc>
        <w:tc>
          <w:tcPr>
            <w:tcW w:type="dxa" w:w="2000"/>
            <w:shd w:fill="FBE4E4" w:val="clear"/>
            <w:tcMar>
              <w:top w:type="dxa" w:w="90"/>
              <w:left w:type="dxa" w:w="110"/>
              <w:bottom w:type="dxa" w:w="90"/>
              <w:right w:type="dxa" w:w="110"/>
            </w:tcMar>
            <w:vAlign w:val="center"/>
          </w:tcPr>
          <w:p>
            <w:pPr>
              <w:jc w:val="center"/>
            </w:pPr>
            <w:r>
              <w:rPr>
                <w:b/>
                <w:bCs/>
                <w:color w:val="C62828"/>
                <w:sz w:val="18"/>
                <w:szCs w:val="18"/>
              </w:rPr>
              <w:t xml:space="preserve">● Critical</w:t>
            </w:r>
          </w:p>
        </w:tc>
        <w:tc>
          <w:tcPr>
            <w:tcW w:type="dxa" w:w="2000"/>
            <w:shd w:fill="FBE4E4" w:val="clear"/>
            <w:tcMar>
              <w:top w:type="dxa" w:w="90"/>
              <w:left w:type="dxa" w:w="110"/>
              <w:bottom w:type="dxa" w:w="90"/>
              <w:right w:type="dxa" w:w="110"/>
            </w:tcMar>
            <w:vAlign w:val="center"/>
          </w:tcPr>
          <w:p>
            <w:pPr>
              <w:jc w:val="center"/>
            </w:pPr>
            <w:r>
              <w:rPr>
                <w:b/>
                <w:bCs/>
                <w:color w:val="C62828"/>
                <w:sz w:val="18"/>
                <w:szCs w:val="18"/>
              </w:rPr>
              <w:t xml:space="preserve">● Critical</w:t>
            </w:r>
          </w:p>
        </w:tc>
      </w:tr>
      <w:tr>
        <w:tc>
          <w:tcPr>
            <w:tcW w:type="dxa" w:w="336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Planning to Execution</w:t>
            </w:r>
          </w:p>
        </w:tc>
        <w:tc>
          <w:tcPr>
            <w:tcW w:type="dxa" w:w="2000"/>
            <w:shd w:fill="E5F1E6" w:val="clear"/>
            <w:tcMar>
              <w:top w:type="dxa" w:w="90"/>
              <w:left w:type="dxa" w:w="110"/>
              <w:bottom w:type="dxa" w:w="90"/>
              <w:right w:type="dxa" w:w="110"/>
            </w:tcMar>
            <w:vAlign w:val="center"/>
          </w:tcPr>
          <w:p>
            <w:pPr>
              <w:jc w:val="center"/>
            </w:pPr>
            <w:r>
              <w:rPr>
                <w:b/>
                <w:bCs/>
                <w:color w:val="2E7D32"/>
                <w:sz w:val="18"/>
                <w:szCs w:val="18"/>
              </w:rPr>
              <w:t xml:space="preserve">● Normal</w:t>
            </w:r>
          </w:p>
        </w:tc>
        <w:tc>
          <w:tcPr>
            <w:tcW w:type="dxa" w:w="2000"/>
            <w:shd w:fill="E5F1E6" w:val="clear"/>
            <w:tcMar>
              <w:top w:type="dxa" w:w="90"/>
              <w:left w:type="dxa" w:w="110"/>
              <w:bottom w:type="dxa" w:w="90"/>
              <w:right w:type="dxa" w:w="110"/>
            </w:tcMar>
            <w:vAlign w:val="center"/>
          </w:tcPr>
          <w:p>
            <w:pPr>
              <w:jc w:val="center"/>
            </w:pPr>
            <w:r>
              <w:rPr>
                <w:b/>
                <w:bCs/>
                <w:color w:val="2E7D32"/>
                <w:sz w:val="18"/>
                <w:szCs w:val="18"/>
              </w:rPr>
              <w:t xml:space="preserve">● Normal</w:t>
            </w:r>
          </w:p>
        </w:tc>
        <w:tc>
          <w:tcPr>
            <w:tcW w:type="dxa" w:w="2000"/>
            <w:shd w:fill="E5F1E6" w:val="clear"/>
            <w:tcMar>
              <w:top w:type="dxa" w:w="90"/>
              <w:left w:type="dxa" w:w="110"/>
              <w:bottom w:type="dxa" w:w="90"/>
              <w:right w:type="dxa" w:w="110"/>
            </w:tcMar>
            <w:vAlign w:val="center"/>
          </w:tcPr>
          <w:p>
            <w:pPr>
              <w:jc w:val="center"/>
            </w:pPr>
            <w:r>
              <w:rPr>
                <w:b/>
                <w:bCs/>
                <w:color w:val="2E7D32"/>
                <w:sz w:val="18"/>
                <w:szCs w:val="18"/>
              </w:rPr>
              <w:t xml:space="preserve">● Normal</w:t>
            </w:r>
          </w:p>
        </w:tc>
      </w:tr>
    </w:tbl>
    <w:p>
      <w:pPr>
        <w:spacing w:after="140"/>
      </w:pPr>
    </w:p>
    <w:p>
      <w:pPr>
        <w:spacing w:after="140" w:line="268"/>
      </w:pPr>
      <w:r>
        <w:rPr>
          <w:b w:val="false"/>
          <w:bCs w:val="false"/>
          <w:i w:val="false"/>
          <w:iCs w:val="false"/>
          <w:sz w:val="20"/>
          <w:szCs w:val="20"/>
        </w:rPr>
        <w:t xml:space="preserve">Full metric catalog: Inbound Transmissions, Outbound Transmissions, Bulk Plan Run, Object Locks, Ad-hoc Logs, Long Running Queries, Tender Sent / Tender Response Received, Pre-Split to Split, Split to Planning, Planning to Execution, Long Run Scheduled Reports. Each status is Green/Amber/Red against a per-metric, per-domain threshold (configuration and ownership rules already defined in Feature 3.9). Clicking a Red or Amber cell opens a drill-down: for a Long Running Query breach, the session ID, SQL ID, actual duration, and the threshold it exceeded — reusing the same underlying data Agent Trace (3.7) already captures rather than building a second query-monitoring pipeline.</w:t>
      </w:r>
    </w:p>
    <w:p>
      <w:pPr>
        <w:pBdr>
          <w:bottom w:val="single" w:color="16233A" w:sz="4" w:space="3"/>
        </w:pBdr>
        <w:spacing w:after="60" w:before="300"/>
      </w:pPr>
      <w:r>
        <w:rPr>
          <w:b/>
          <w:bCs/>
          <w:color w:val="16233A"/>
          <w:sz w:val="23"/>
          <w:szCs w:val="23"/>
        </w:rPr>
        <w:t xml:space="preserve">3.4  Recurring Schedule Preview</w:t>
      </w:r>
      <w:r>
        <w:rPr>
          <w:i/>
          <w:iCs/>
          <w:color w:val="555555"/>
          <w:sz w:val="18"/>
          <w:szCs w:val="18"/>
        </w:rPr>
        <w:t xml:space="preserve">   (table)</w:t>
      </w:r>
    </w:p>
    <w:p>
      <w:pPr>
        <w:spacing w:after="140" w:line="268"/>
      </w:pPr>
      <w:r>
        <w:rPr>
          <w:b w:val="false"/>
          <w:bCs w:val="false"/>
          <w:i w:val="false"/>
          <w:iCs w:val="false"/>
          <w:sz w:val="20"/>
          <w:szCs w:val="20"/>
        </w:rPr>
        <w:t xml:space="preserve">The reference's “Process Schedules in next 1 hour” panel, kept as a direct front-end for Recurring Process Health (3.8) rather than a separate feature — it's the same data, just previewed forward instead of backward.</w:t>
      </w:r>
    </w:p>
    <w:p>
      <w:pPr>
        <w:pStyle w:val="ListParagraph"/>
        <w:numPr>
          <w:ilvl w:val="0"/>
          <w:numId w:val="2"/>
        </w:numPr>
        <w:spacing w:after="90" w:line="260"/>
      </w:pPr>
      <w:r>
        <w:rPr>
          <w:sz w:val="20"/>
          <w:szCs w:val="20"/>
        </w:rPr>
        <w:t xml:space="preserve">Columns: Schedule time, Program/Agent, Domain, Topic.</w:t>
      </w:r>
    </w:p>
    <w:p>
      <w:pPr>
        <w:pStyle w:val="ListParagraph"/>
        <w:numPr>
          <w:ilvl w:val="0"/>
          <w:numId w:val="2"/>
        </w:numPr>
        <w:spacing w:after="90" w:line="260"/>
      </w:pPr>
      <w:r>
        <w:rPr>
          <w:sz w:val="20"/>
          <w:szCs w:val="20"/>
        </w:rPr>
        <w:t xml:space="preserve">Configurable look-ahead window, default 1 hour, matching the reference.</w:t>
      </w:r>
    </w:p>
    <w:p>
      <w:pPr>
        <w:pStyle w:val="ListParagraph"/>
        <w:numPr>
          <w:ilvl w:val="0"/>
          <w:numId w:val="2"/>
        </w:numPr>
        <w:spacing w:after="90" w:line="260"/>
      </w:pPr>
      <w:r>
        <w:rPr>
          <w:sz w:val="20"/>
          <w:szCs w:val="20"/>
        </w:rPr>
        <w:t xml:space="preserve">Data source: Recurring Process Health (3.8) — no separate ingestion.</w:t>
      </w:r>
    </w:p>
    <w:p>
      <w:pPr>
        <w:pBdr>
          <w:bottom w:val="single" w:color="16233A" w:sz="4" w:space="3"/>
        </w:pBdr>
        <w:spacing w:after="60" w:before="300"/>
      </w:pPr>
      <w:r>
        <w:rPr>
          <w:b/>
          <w:bCs/>
          <w:color w:val="16233A"/>
          <w:sz w:val="23"/>
          <w:szCs w:val="23"/>
        </w:rPr>
        <w:t xml:space="preserve">3.5  Capacity Risk — Sequence / Refnum Exhaustion</w:t>
      </w:r>
      <w:r>
        <w:rPr>
          <w:i/>
          <w:iCs/>
          <w:color w:val="555555"/>
          <w:sz w:val="18"/>
          <w:szCs w:val="18"/>
        </w:rPr>
        <w:t xml:space="preserve">   (new chart, upgraded from the reference)</w:t>
      </w:r>
    </w:p>
    <w:p>
      <w:pPr>
        <w:spacing w:after="140" w:line="268"/>
      </w:pPr>
      <w:r>
        <w:rPr>
          <w:b w:val="false"/>
          <w:bCs w:val="false"/>
          <w:i w:val="false"/>
          <w:iCs w:val="false"/>
          <w:sz w:val="20"/>
          <w:szCs w:val="20"/>
        </w:rPr>
        <w:t xml:space="preserve">The reference tracked this as a plain current-value/max-value table (“Business Sequence”) — easy to include, easy to overlook, because nothing about a table of two numbers signals urgency. Sequence and XID counters silently approaching their maximum is a real, well-documented cause of unplanned OTM outages, so this is worth calling out as a genuine addition rather than a like-for-like port: turn it into a percentage-utilized chart with threshold lines, so risk is visible at a glance instead of requiring someone to do the division in their head.</w:t>
      </w:r>
    </w:p>
    <w:p>
      <w:pPr>
        <w:spacing w:after="200"/>
      </w:pPr>
      <w:r>
        <w:drawing>
          <wp:inline distT="0" distB="0" distL="0" distR="0">
            <wp:extent cx="576072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2286000"/>
                    </a:xfrm>
                    <a:prstGeom prst="rect">
                      <a:avLst/>
                    </a:prstGeom>
                  </pic:spPr>
                </pic:pic>
              </a:graphicData>
            </a:graphic>
          </wp:inline>
        </w:drawing>
      </w:r>
    </w:p>
    <w:p>
      <w:pPr>
        <w:spacing w:after="220"/>
        <w:jc w:val="center"/>
      </w:pPr>
      <w:r>
        <w:rPr>
          <w:i/>
          <w:iCs/>
          <w:color w:val="555555"/>
          <w:sz w:val="17"/>
          <w:szCs w:val="17"/>
        </w:rPr>
        <w:t xml:space="preserve">Sample: sequence capacity utilization, amber at 70%, red at 90% (both configurable). Two of six sequences shown are already past the amber line — exactly the kind of thing a plain current/max table hides until it's too late.</w:t>
      </w:r>
    </w:p>
    <w:p>
      <w:pPr>
        <w:pStyle w:val="ListParagraph"/>
        <w:numPr>
          <w:ilvl w:val="0"/>
          <w:numId w:val="2"/>
        </w:numPr>
        <w:spacing w:after="90" w:line="260"/>
      </w:pPr>
      <w:r>
        <w:rPr>
          <w:sz w:val="20"/>
          <w:szCs w:val="20"/>
        </w:rPr>
        <w:t xml:space="preserve">Metric: current value ÷ max value per sequence/refnum, expressed as a percentage.</w:t>
      </w:r>
    </w:p>
    <w:p>
      <w:pPr>
        <w:pStyle w:val="ListParagraph"/>
        <w:numPr>
          <w:ilvl w:val="0"/>
          <w:numId w:val="2"/>
        </w:numPr>
        <w:spacing w:after="90" w:line="260"/>
      </w:pPr>
      <w:r>
        <w:rPr>
          <w:sz w:val="20"/>
          <w:szCs w:val="20"/>
        </w:rPr>
        <w:t xml:space="preserve">Thresholds: amber and red lines, configurable per customer, defaulting to 70% / 90%.</w:t>
      </w:r>
    </w:p>
    <w:p>
      <w:pPr>
        <w:pStyle w:val="ListParagraph"/>
        <w:numPr>
          <w:ilvl w:val="0"/>
          <w:numId w:val="2"/>
        </w:numPr>
        <w:spacing w:after="90" w:line="260"/>
      </w:pPr>
      <w:r>
        <w:rPr>
          <w:sz w:val="20"/>
          <w:szCs w:val="20"/>
        </w:rPr>
        <w:t xml:space="preserve">Alerting: a sequence crossing red fires through the shared Alerting Channel (3.17), the same path as every other threshold breach in this dashboard.</w:t>
      </w:r>
    </w:p>
    <w:p>
      <w:pPr>
        <w:pStyle w:val="ListParagraph"/>
        <w:numPr>
          <w:ilvl w:val="0"/>
          <w:numId w:val="2"/>
        </w:numPr>
        <w:spacing w:after="90" w:line="260"/>
      </w:pPr>
      <w:r>
        <w:rPr>
          <w:sz w:val="20"/>
          <w:szCs w:val="20"/>
        </w:rPr>
        <w:t xml:space="preserve">Data source: an extension to the Object Model (3.15) scan to also capture each sequence's current and max value — this is a new data point, not previously scoped, and is called out as Feature 3.19 below.</w:t>
      </w:r>
    </w:p>
    <w:p>
      <w:pPr>
        <w:pStyle w:val="Heading1"/>
        <w:pBdr>
          <w:bottom w:val="single" w:color="E8792B" w:sz="12" w:space="4"/>
        </w:pBdr>
        <w:spacing w:after="200" w:before="420"/>
      </w:pPr>
      <w:r>
        <w:rPr>
          <w:b/>
          <w:bCs/>
          <w:color w:val="16233A"/>
          <w:sz w:val="32"/>
          <w:szCs w:val="32"/>
        </w:rPr>
        <w:t xml:space="preserve">4.  Updated Feature Spec — Healthcheck Dashboard (3.9, revised)</w:t>
      </w:r>
    </w:p>
    <w:p>
      <w:pPr>
        <w:spacing w:after="140" w:line="268"/>
      </w:pPr>
      <w:r>
        <w:rPr>
          <w:b w:val="false"/>
          <w:bCs w:val="false"/>
          <w:i w:val="false"/>
          <w:iCs w:val="false"/>
          <w:sz w:val="20"/>
          <w:szCs w:val="20"/>
        </w:rPr>
        <w:t xml:space="preserve">This supersedes the generic version of Feature 3.9 in the Feature Validation document. The verdict and the fix from that document still stand; what follows is the concrete widget catalog that fix was waiting on.</w:t>
      </w:r>
    </w:p>
    <w:p>
      <w:pPr>
        <w:spacing w:after="140" w:line="268"/>
      </w:pPr>
      <w:r>
        <w:rPr>
          <w:b/>
          <w:bCs/>
          <w:color w:val="16233A"/>
          <w:sz w:val="20"/>
          <w:szCs w:val="20"/>
        </w:rPr>
        <w:t xml:space="preserve">In scope: </w:t>
      </w:r>
      <w:r>
        <w:rPr>
          <w:sz w:val="20"/>
          <w:szCs w:val="20"/>
        </w:rPr>
        <w:t xml:space="preserve">The five widgets in Section 3 of this document — Automation Throughput, Business Process Volume, Automation &amp; Query Health, Recurring Schedule Preview, and Capacity Risk — each bound to OOB metrics or custom saved queries per domain, each with its own threshold configuration, each alerting through the shared Alerting Channel (3.17).</w:t>
      </w:r>
    </w:p>
    <w:p>
      <w:pPr>
        <w:spacing w:after="140" w:line="268"/>
      </w:pPr>
      <w:r>
        <w:rPr>
          <w:b/>
          <w:bCs/>
          <w:color w:val="16233A"/>
          <w:sz w:val="20"/>
          <w:szCs w:val="20"/>
        </w:rPr>
        <w:t xml:space="preserve">Out of scope: </w:t>
      </w:r>
      <w:r>
        <w:rPr>
          <w:sz w:val="20"/>
          <w:szCs w:val="20"/>
        </w:rPr>
        <w:t xml:space="preserve">Any infrastructure-tier widget listed as EXCLUDE in Section 2 — server responding, response time, DB job lists, and cluster/failover topology. If a future customer contract requires these, they are scoped as a separate infra co-monitoring feature, not added here.</w:t>
      </w:r>
    </w:p>
    <w:p>
      <w:pPr>
        <w:spacing w:after="60" w:before="140"/>
      </w:pPr>
      <w:r>
        <w:rPr>
          <w:b/>
          <w:bCs/>
          <w:color w:val="E8792B"/>
          <w:sz w:val="20"/>
          <w:szCs w:val="20"/>
        </w:rPr>
        <w:t xml:space="preserve">Functional behavior</w:t>
      </w:r>
    </w:p>
    <w:p>
      <w:pPr>
        <w:pStyle w:val="ListParagraph"/>
        <w:numPr>
          <w:ilvl w:val="0"/>
          <w:numId w:val="2"/>
        </w:numPr>
        <w:spacing w:after="90" w:line="260"/>
      </w:pPr>
      <w:r>
        <w:rPr>
          <w:sz w:val="20"/>
          <w:szCs w:val="20"/>
        </w:rPr>
        <w:t xml:space="preserve">An admin selects an OOB metric from the catalog above or binds a custom saved query, per domain.</w:t>
      </w:r>
    </w:p>
    <w:p>
      <w:pPr>
        <w:pStyle w:val="ListParagraph"/>
        <w:numPr>
          <w:ilvl w:val="0"/>
          <w:numId w:val="2"/>
        </w:numPr>
        <w:spacing w:after="90" w:line="260"/>
      </w:pPr>
      <w:r>
        <w:rPr>
          <w:sz w:val="20"/>
          <w:szCs w:val="20"/>
        </w:rPr>
        <w:t xml:space="preserve">For RAG-style metrics (3.3), the admin sets amber/red thresholds; for volume metrics (3.2), the admin sets the expected-nonzero rule per metric.</w:t>
      </w:r>
    </w:p>
    <w:p>
      <w:pPr>
        <w:pStyle w:val="ListParagraph"/>
        <w:numPr>
          <w:ilvl w:val="0"/>
          <w:numId w:val="2"/>
        </w:numPr>
        <w:spacing w:after="90" w:line="260"/>
      </w:pPr>
      <w:r>
        <w:rPr>
          <w:sz w:val="20"/>
          <w:szCs w:val="20"/>
        </w:rPr>
        <w:t xml:space="preserve">The dashboard renders all five widgets on one screen, scoped to the domains the logged-in role has access to.</w:t>
      </w:r>
    </w:p>
    <w:p>
      <w:pPr>
        <w:pStyle w:val="ListParagraph"/>
        <w:numPr>
          <w:ilvl w:val="0"/>
          <w:numId w:val="2"/>
        </w:numPr>
        <w:spacing w:after="90" w:line="260"/>
      </w:pPr>
      <w:r>
        <w:rPr>
          <w:sz w:val="20"/>
          <w:szCs w:val="20"/>
        </w:rPr>
        <w:t xml:space="preserve">Any Amber or Red status, in any widget, fires through the shared Alerting Channel (3.17) and is also visible in-app regardless of delivery success.</w:t>
      </w:r>
    </w:p>
    <w:p>
      <w:pPr>
        <w:pStyle w:val="ListParagraph"/>
        <w:numPr>
          <w:ilvl w:val="0"/>
          <w:numId w:val="2"/>
        </w:numPr>
        <w:spacing w:after="90" w:line="260"/>
      </w:pPr>
      <w:r>
        <w:rPr>
          <w:sz w:val="20"/>
          <w:szCs w:val="20"/>
        </w:rPr>
        <w:t xml:space="preserve">Clicking a Red cell in the Automation &amp; Query Health grid opens the relevant drill-down — Agent Trace (3.7) for agent-triggered breaches, or the query-level detail for a Long Running Query breach.</w:t>
      </w:r>
    </w:p>
    <w:p>
      <w:pPr>
        <w:spacing w:after="60" w:before="140"/>
      </w:pPr>
      <w:r>
        <w:rPr>
          <w:b/>
          <w:bCs/>
          <w:color w:val="E8792B"/>
          <w:sz w:val="20"/>
          <w:szCs w:val="20"/>
        </w:rPr>
        <w:t xml:space="preserve">Business rules &amp; edge cases</w:t>
      </w:r>
    </w:p>
    <w:p>
      <w:pPr>
        <w:pStyle w:val="ListParagraph"/>
        <w:numPr>
          <w:ilvl w:val="0"/>
          <w:numId w:val="2"/>
        </w:numPr>
        <w:spacing w:after="90" w:line="260"/>
      </w:pPr>
      <w:r>
        <w:rPr>
          <w:sz w:val="20"/>
          <w:szCs w:val="20"/>
        </w:rPr>
        <w:t xml:space="preserve">A custom saved query that errors or returns no rows shows “metric unavailable,” never a false Green or Red.</w:t>
      </w:r>
    </w:p>
    <w:p>
      <w:pPr>
        <w:pStyle w:val="ListParagraph"/>
        <w:numPr>
          <w:ilvl w:val="0"/>
          <w:numId w:val="2"/>
        </w:numPr>
        <w:spacing w:after="90" w:line="260"/>
      </w:pPr>
      <w:r>
        <w:rPr>
          <w:sz w:val="20"/>
          <w:szCs w:val="20"/>
        </w:rPr>
        <w:t xml:space="preserve">A metric with no configured threshold yet shows as “unconfigured,” distinct from both a healthy and an unhealthy state, so an empty setup can never be mistaken for “all clear.”</w:t>
      </w:r>
    </w:p>
    <w:p>
      <w:pPr>
        <w:pStyle w:val="ListParagraph"/>
        <w:numPr>
          <w:ilvl w:val="0"/>
          <w:numId w:val="2"/>
        </w:numPr>
        <w:spacing w:after="90" w:line="260"/>
      </w:pPr>
      <w:r>
        <w:rPr>
          <w:sz w:val="20"/>
          <w:szCs w:val="20"/>
        </w:rPr>
        <w:t xml:space="preserve">Sequence capacity percentages are computed at scan time and are only as fresh as the last Object Model scan — the dashboard shows the “as of” timestamp for that reason.</w:t>
      </w:r>
    </w:p>
    <w:p>
      <w:pPr>
        <w:spacing w:after="60" w:before="140"/>
      </w:pPr>
      <w:r>
        <w:rPr>
          <w:b/>
          <w:bCs/>
          <w:color w:val="E8792B"/>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200"/>
      </w:tblGrid>
      <w:tr>
        <w:trPr>
          <w:tblHeader/>
        </w:trPr>
        <w:tc>
          <w:tcPr>
            <w:tcW w:type="dxa" w:w="3080"/>
            <w:shd w:fill="16233A" w:val="clear"/>
            <w:tcMar>
              <w:top w:type="dxa" w:w="90"/>
              <w:left w:type="dxa" w:w="110"/>
              <w:bottom w:type="dxa" w:w="90"/>
              <w:right w:type="dxa" w:w="110"/>
            </w:tcMar>
            <w:vAlign w:val="center"/>
          </w:tcPr>
          <w:p>
            <w:pPr>
              <w:spacing w:after="0" w:line="246"/>
              <w:jc w:val="left"/>
            </w:pPr>
            <w:r>
              <w:rPr>
                <w:b/>
                <w:bCs/>
                <w:color w:val="FFFFFF"/>
                <w:sz w:val="18"/>
                <w:szCs w:val="18"/>
              </w:rPr>
              <w:t xml:space="preserve">Given</w:t>
            </w:r>
          </w:p>
        </w:tc>
        <w:tc>
          <w:tcPr>
            <w:tcW w:type="dxa" w:w="3080"/>
            <w:shd w:fill="16233A" w:val="clear"/>
            <w:tcMar>
              <w:top w:type="dxa" w:w="90"/>
              <w:left w:type="dxa" w:w="110"/>
              <w:bottom w:type="dxa" w:w="90"/>
              <w:right w:type="dxa" w:w="110"/>
            </w:tcMar>
            <w:vAlign w:val="center"/>
          </w:tcPr>
          <w:p>
            <w:pPr>
              <w:spacing w:after="0" w:line="246"/>
              <w:jc w:val="left"/>
            </w:pPr>
            <w:r>
              <w:rPr>
                <w:b/>
                <w:bCs/>
                <w:color w:val="FFFFFF"/>
                <w:sz w:val="18"/>
                <w:szCs w:val="18"/>
              </w:rPr>
              <w:t xml:space="preserve">When</w:t>
            </w:r>
          </w:p>
        </w:tc>
        <w:tc>
          <w:tcPr>
            <w:tcW w:type="dxa" w:w="3200"/>
            <w:shd w:fill="16233A" w:val="clear"/>
            <w:tcMar>
              <w:top w:type="dxa" w:w="90"/>
              <w:left w:type="dxa" w:w="110"/>
              <w:bottom w:type="dxa" w:w="90"/>
              <w:right w:type="dxa" w:w="110"/>
            </w:tcMar>
            <w:vAlign w:val="center"/>
          </w:tcPr>
          <w:p>
            <w:pPr>
              <w:spacing w:after="0" w:line="246"/>
              <w:jc w:val="left"/>
            </w:pPr>
            <w:r>
              <w:rPr>
                <w:b/>
                <w:bCs/>
                <w:color w:val="FFFFFF"/>
                <w:sz w:val="18"/>
                <w:szCs w:val="18"/>
              </w:rPr>
              <w:t xml:space="preserve">Then</w:t>
            </w:r>
          </w:p>
        </w:tc>
      </w:tr>
      <w:tr>
        <w:tc>
          <w:tcPr>
            <w:tcW w:type="dxa" w:w="308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a domain's Bulk Plan Run metric breaches its configured threshold</w:t>
            </w:r>
          </w:p>
        </w:tc>
        <w:tc>
          <w:tcPr>
            <w:tcW w:type="dxa" w:w="308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the check runs</w:t>
            </w:r>
          </w:p>
        </w:tc>
        <w:tc>
          <w:tcPr>
            <w:tcW w:type="dxa" w:w="32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the cell turns Red, a drill-down is available, and an alert fires via the shared channel</w:t>
            </w:r>
          </w:p>
        </w:tc>
      </w:tr>
      <w:tr>
        <w:tc>
          <w:tcPr>
            <w:tcW w:type="dxa" w:w="308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a sequence crosses 90% of its max value</w:t>
            </w:r>
          </w:p>
        </w:tc>
        <w:tc>
          <w:tcPr>
            <w:tcW w:type="dxa" w:w="308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the next scan completes</w:t>
            </w:r>
          </w:p>
        </w:tc>
        <w:tc>
          <w:tcPr>
            <w:tcW w:type="dxa" w:w="320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the capacity chart shows it in red and an alert fires</w:t>
            </w:r>
          </w:p>
        </w:tc>
      </w:tr>
      <w:tr>
        <w:tc>
          <w:tcPr>
            <w:tcW w:type="dxa" w:w="308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a custom saved query bound to a Business Process Volume metric fails</w:t>
            </w:r>
          </w:p>
        </w:tc>
        <w:tc>
          <w:tcPr>
            <w:tcW w:type="dxa" w:w="308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the dashboard renders</w:t>
            </w:r>
          </w:p>
        </w:tc>
        <w:tc>
          <w:tcPr>
            <w:tcW w:type="dxa" w:w="32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that cell shows “metric unavailable,” not a false zero or false green</w:t>
            </w:r>
          </w:p>
        </w:tc>
      </w:tr>
    </w:tbl>
    <w:p>
      <w:pPr>
        <w:spacing w:after="140" w:line="268"/>
      </w:pPr>
      <w:r>
        <w:rPr>
          <w:b/>
          <w:bCs/>
          <w:color w:val="16233A"/>
          <w:sz w:val="20"/>
          <w:szCs w:val="20"/>
        </w:rPr>
        <w:t xml:space="preserve">Depends on: </w:t>
      </w:r>
      <w:r>
        <w:rPr>
          <w:sz w:val="20"/>
          <w:szCs w:val="20"/>
        </w:rPr>
        <w:t xml:space="preserve">Object Model (3.15, extended per 3.19 below), Agent Trace (3.7), Recurring Process Health (3.8), Alerting &amp; Notification Channel (3.17), RBAC (3.13).</w:t>
      </w:r>
    </w:p>
    <w:p>
      <w:pPr>
        <w:pStyle w:val="Heading1"/>
        <w:pBdr>
          <w:bottom w:val="single" w:color="E8792B" w:sz="12" w:space="4"/>
        </w:pBdr>
        <w:spacing w:after="200" w:before="420"/>
      </w:pPr>
      <w:r>
        <w:rPr>
          <w:b/>
          <w:bCs/>
          <w:color w:val="16233A"/>
          <w:sz w:val="32"/>
          <w:szCs w:val="32"/>
        </w:rPr>
        <w:t xml:space="preserve">5.  New Addition Required: Sequence / Refnum Capacity Tracking</w:t>
      </w:r>
    </w:p>
    <w:p>
      <w:pPr>
        <w:spacing w:after="140" w:line="268"/>
      </w:pPr>
      <w:r>
        <w:rPr>
          <w:b w:val="false"/>
          <w:bCs w:val="false"/>
          <w:i w:val="false"/>
          <w:iCs w:val="false"/>
          <w:sz w:val="20"/>
          <w:szCs w:val="20"/>
        </w:rPr>
        <w:t xml:space="preserve">Feature 3.19, extending the Object Model (3.15). The reference dashboard already proved this data is available and worth tracking; it just wasn't previously scoped as part of Catalyst's ingestion.</w:t>
      </w:r>
    </w:p>
    <w:p>
      <w:pPr>
        <w:spacing w:after="140" w:line="268"/>
      </w:pPr>
      <w:r>
        <w:rPr>
          <w:b/>
          <w:bCs/>
          <w:color w:val="16233A"/>
          <w:sz w:val="20"/>
          <w:szCs w:val="20"/>
        </w:rPr>
        <w:t xml:space="preserve">In scope: </w:t>
      </w:r>
      <w:r>
        <w:rPr>
          <w:sz w:val="20"/>
          <w:szCs w:val="20"/>
        </w:rPr>
        <w:t xml:space="preserve">During each Object Model scan, capture every sequence/refnum's current value and configured max value alongside the existing agents/events/saved queries/refnums extraction; expose the resulting percentage to the Capacity Risk widget (3.5).</w:t>
      </w:r>
    </w:p>
    <w:p>
      <w:pPr>
        <w:spacing w:after="140" w:line="268"/>
      </w:pPr>
      <w:r>
        <w:rPr>
          <w:b/>
          <w:bCs/>
          <w:color w:val="16233A"/>
          <w:sz w:val="20"/>
          <w:szCs w:val="20"/>
        </w:rPr>
        <w:t xml:space="preserve">Out of scope: </w:t>
      </w:r>
      <w:r>
        <w:rPr>
          <w:sz w:val="20"/>
          <w:szCs w:val="20"/>
        </w:rPr>
        <w:t xml:space="preserve">Modifying or resetting sequence values from within Catalyst — read and report only.</w:t>
      </w:r>
    </w:p>
    <w:p>
      <w:pPr>
        <w:spacing w:after="60" w:before="140"/>
      </w:pPr>
      <w:r>
        <w:rPr>
          <w:b/>
          <w:bCs/>
          <w:color w:val="E8792B"/>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200"/>
      </w:tblGrid>
      <w:tr>
        <w:trPr>
          <w:tblHeader/>
        </w:trPr>
        <w:tc>
          <w:tcPr>
            <w:tcW w:type="dxa" w:w="3080"/>
            <w:shd w:fill="16233A" w:val="clear"/>
            <w:tcMar>
              <w:top w:type="dxa" w:w="90"/>
              <w:left w:type="dxa" w:w="110"/>
              <w:bottom w:type="dxa" w:w="90"/>
              <w:right w:type="dxa" w:w="110"/>
            </w:tcMar>
            <w:vAlign w:val="center"/>
          </w:tcPr>
          <w:p>
            <w:pPr>
              <w:spacing w:after="0" w:line="246"/>
              <w:jc w:val="left"/>
            </w:pPr>
            <w:r>
              <w:rPr>
                <w:b/>
                <w:bCs/>
                <w:color w:val="FFFFFF"/>
                <w:sz w:val="18"/>
                <w:szCs w:val="18"/>
              </w:rPr>
              <w:t xml:space="preserve">Given</w:t>
            </w:r>
          </w:p>
        </w:tc>
        <w:tc>
          <w:tcPr>
            <w:tcW w:type="dxa" w:w="3080"/>
            <w:shd w:fill="16233A" w:val="clear"/>
            <w:tcMar>
              <w:top w:type="dxa" w:w="90"/>
              <w:left w:type="dxa" w:w="110"/>
              <w:bottom w:type="dxa" w:w="90"/>
              <w:right w:type="dxa" w:w="110"/>
            </w:tcMar>
            <w:vAlign w:val="center"/>
          </w:tcPr>
          <w:p>
            <w:pPr>
              <w:spacing w:after="0" w:line="246"/>
              <w:jc w:val="left"/>
            </w:pPr>
            <w:r>
              <w:rPr>
                <w:b/>
                <w:bCs/>
                <w:color w:val="FFFFFF"/>
                <w:sz w:val="18"/>
                <w:szCs w:val="18"/>
              </w:rPr>
              <w:t xml:space="preserve">When</w:t>
            </w:r>
          </w:p>
        </w:tc>
        <w:tc>
          <w:tcPr>
            <w:tcW w:type="dxa" w:w="3200"/>
            <w:shd w:fill="16233A" w:val="clear"/>
            <w:tcMar>
              <w:top w:type="dxa" w:w="90"/>
              <w:left w:type="dxa" w:w="110"/>
              <w:bottom w:type="dxa" w:w="90"/>
              <w:right w:type="dxa" w:w="110"/>
            </w:tcMar>
            <w:vAlign w:val="center"/>
          </w:tcPr>
          <w:p>
            <w:pPr>
              <w:spacing w:after="0" w:line="246"/>
              <w:jc w:val="left"/>
            </w:pPr>
            <w:r>
              <w:rPr>
                <w:b/>
                <w:bCs/>
                <w:color w:val="FFFFFF"/>
                <w:sz w:val="18"/>
                <w:szCs w:val="18"/>
              </w:rPr>
              <w:t xml:space="preserve">Then</w:t>
            </w:r>
          </w:p>
        </w:tc>
      </w:tr>
      <w:tr>
        <w:tc>
          <w:tcPr>
            <w:tcW w:type="dxa" w:w="308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a connected environment with configured sequences</w:t>
            </w:r>
          </w:p>
        </w:tc>
        <w:tc>
          <w:tcPr>
            <w:tcW w:type="dxa" w:w="308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an Object Model scan completes</w:t>
            </w:r>
          </w:p>
        </w:tc>
        <w:tc>
          <w:tcPr>
            <w:tcW w:type="dxa" w:w="3200"/>
            <w:shd w:fill="FFFFFF"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each sequence's current value, max value, and percentage used are captured in that snapshot</w:t>
            </w:r>
          </w:p>
        </w:tc>
      </w:tr>
      <w:tr>
        <w:tc>
          <w:tcPr>
            <w:tcW w:type="dxa" w:w="308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a sequence has no defined max value in OTM</w:t>
            </w:r>
          </w:p>
        </w:tc>
        <w:tc>
          <w:tcPr>
            <w:tcW w:type="dxa" w:w="308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it is scanned</w:t>
            </w:r>
          </w:p>
        </w:tc>
        <w:tc>
          <w:tcPr>
            <w:tcW w:type="dxa" w:w="3200"/>
            <w:shd w:fill="F2F2F2" w:val="clear"/>
            <w:tcMar>
              <w:top w:type="dxa" w:w="90"/>
              <w:left w:type="dxa" w:w="110"/>
              <w:bottom w:type="dxa" w:w="90"/>
              <w:right w:type="dxa" w:w="110"/>
            </w:tcMar>
            <w:vAlign w:val="center"/>
          </w:tcPr>
          <w:p>
            <w:pPr>
              <w:spacing w:after="0" w:line="246"/>
              <w:jc w:val="left"/>
            </w:pPr>
            <w:r>
              <w:rPr>
                <w:b w:val="false"/>
                <w:bCs w:val="false"/>
                <w:color w:val="000000"/>
                <w:sz w:val="18"/>
                <w:szCs w:val="18"/>
              </w:rPr>
              <w:t xml:space="preserve">it is shown as “capacity unknown” rather than a misleading 0%</w:t>
            </w:r>
          </w:p>
        </w:tc>
      </w:tr>
    </w:tbl>
    <w:p>
      <w:pPr>
        <w:spacing w:after="140" w:line="268"/>
      </w:pPr>
      <w:r>
        <w:rPr>
          <w:b/>
          <w:bCs/>
          <w:color w:val="16233A"/>
          <w:sz w:val="20"/>
          <w:szCs w:val="20"/>
        </w:rPr>
        <w:t xml:space="preserve">Depends on: </w:t>
      </w:r>
      <w:r>
        <w:rPr>
          <w:sz w:val="20"/>
          <w:szCs w:val="20"/>
        </w:rPr>
        <w:t xml:space="preserve">Object Model (3.15).</w:t>
      </w:r>
    </w:p>
    <w:p>
      <w:pPr>
        <w:pStyle w:val="Heading1"/>
        <w:pBdr>
          <w:bottom w:val="single" w:color="E8792B" w:sz="12" w:space="4"/>
        </w:pBdr>
        <w:spacing w:after="200" w:before="420"/>
      </w:pPr>
      <w:r>
        <w:rPr>
          <w:b/>
          <w:bCs/>
          <w:color w:val="16233A"/>
          <w:sz w:val="32"/>
          <w:szCs w:val="32"/>
        </w:rPr>
        <w:t xml:space="preserve">6.  Next Step</w:t>
      </w:r>
    </w:p>
    <w:p>
      <w:pPr>
        <w:spacing w:after="140" w:line="268"/>
      </w:pPr>
      <w:r>
        <w:rPr>
          <w:b w:val="false"/>
          <w:bCs w:val="false"/>
          <w:i w:val="false"/>
          <w:iCs w:val="false"/>
          <w:sz w:val="20"/>
          <w:szCs w:val="20"/>
        </w:rPr>
        <w:t xml:space="preserve">The Health Dashboard now has a concrete widget catalog, sample charts, and a revised, testable spec for Feature 3.9, plus one new feature (3.19) it depends on. This slots directly into the punch list already handed to Fable 5 — add 3.19 to the build sequence alongside the Object Model work in item 1, since they're the same effort.</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719f5c2dcd7607ac74b31a4e57c778164975a25.png"/><Relationship Id="rId8" Type="http://schemas.openxmlformats.org/officeDocument/2006/relationships/image" Target="media/f61d3f67422cd741e7f9a56a0b90ac3193a61d6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2026-07-07T13:11:23.544Z</dcterms:created>
  <dcterms:modified xsi:type="dcterms:W3CDTF">2026-07-07T13:11:23.556Z</dcterms:modified>
</cp:coreProperties>
</file>

<file path=docProps/custom.xml><?xml version="1.0" encoding="utf-8"?>
<Properties xmlns="http://schemas.openxmlformats.org/officeDocument/2006/custom-properties" xmlns:vt="http://schemas.openxmlformats.org/officeDocument/2006/docPropsVTypes"/>
</file>