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0F2A63" w:sz="4"/>
              <w:left w:val="single" w:color="0F2A63" w:sz="4"/>
              <w:bottom w:val="single" w:color="0F2A63" w:sz="4"/>
              <w:right w:val="single" w:color="0F2A63" w:sz="4"/>
            </w:tcBorders>
            <w:shd w:fill="0F2A63" w:color="0F2A63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72"/>
                <w:szCs w:val="72"/>
              </w:rPr>
              <w:t xml:space="preserve">KATALYST</w:t>
            </w:r>
          </w:p>
          <w:p>
            <w:pPr>
              <w:jc w:val="left"/>
            </w:pPr>
            <w:r>
              <w:rPr>
                <w:rFonts w:ascii="Calibri" w:cs="Calibri" w:eastAsia="Calibri" w:hAnsi="Calibri"/>
                <w:color w:val="93C5FD"/>
                <w:sz w:val="28"/>
                <w:szCs w:val="28"/>
              </w:rPr>
              <w:t xml:space="preserve">OTM Agent Intelligence Platform</w:t>
            </w:r>
          </w:p>
          <w:p>
            <w:pPr>
              <w:spacing w:after="100" w:before="60"/>
              <w:jc w:val="left"/>
            </w:pPr>
            <w:r>
              <w:rPr>
                <w:rFonts w:ascii="Calibri" w:cs="Calibri" w:eastAsia="Calibri" w:hAnsi="Calibri"/>
                <w:color w:val="CBD5E1"/>
                <w:sz w:val="19"/>
                <w:szCs w:val="19"/>
              </w:rPr>
              <w:t xml:space="preserve">End-to-end visibility, governance, and automation for Oracle Transportation Management agent networks</w:t>
            </w:r>
          </w:p>
        </w:tc>
      </w:tr>
    </w:tbl>
    <w:p>
      <w:pPr>
        <w:spacing w:after="200"/>
      </w:pP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1E3A8A"/>
          <w:sz w:val="20"/>
          <w:szCs w:val="20"/>
        </w:rPr>
        <w:t xml:space="preserve">“Katalyst transforms black-box OTM agent orchestration into a fully observable, governable, and intelligent control plane — giving logistics operations teams the visibility they have never had before.”</w:t>
      </w:r>
    </w:p>
    <w:p>
      <w:pPr>
        <w:pBdr>
          <w:bottom w:val="single" w:color="1A56DB" w:sz="8" w:space="4"/>
        </w:pBdr>
        <w:spacing w:after="0"/>
      </w:pP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caps/>
          <w:color w:val="1A56DB"/>
          <w:sz w:val="22"/>
          <w:szCs w:val="22"/>
        </w:rPr>
        <w:t xml:space="preserve">WHAT IS KATALYST?</w:t>
      </w:r>
    </w:p>
    <w:p>
      <w:pPr>
        <w:spacing w:after="10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Modern logistics operations run on Oracle Transportation Management (OTM), but the agent automation layer powering those operations has always been invisible. Katalyst is a purpose-built intelligence dashboard that exposes every OTM agent — its logic, its dependencies, its health, and its change history — through a single unified interface.</w:t>
      </w:r>
    </w:p>
    <w:p>
      <w:pPr>
        <w:spacing w:after="22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Deployed against any OTM 26B+ tenant, Katalyst ingests your agent network and delivers real-time dependency graphs, environment promotion tooling, AI agent monitoring, event conflict detection, impact analysis, and natural-language agent discovery. It is the operating system for your OTM automation.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EFF6FF" w:sz="4"/>
              <w:left w:val="single" w:color="EFF6FF" w:sz="4"/>
              <w:bottom w:val="single" w:color="EFF6FF" w:sz="4"/>
              <w:right w:val="single" w:color="EFF6FF" w:sz="4"/>
            </w:tcBorders>
            <w:shd w:fill="EFF6FF" w:color="EFF6FF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6DB"/>
                <w:sz w:val="40"/>
                <w:szCs w:val="40"/>
              </w:rPr>
              <w:t xml:space="preserve">160+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Agents monitored</w:t>
            </w:r>
          </w:p>
        </w:tc>
        <w:tc>
          <w:tcPr>
            <w:tcW w:type="pct" w:w="25%"/>
            <w:tcBorders>
              <w:top w:val="single" w:color="EFF6FF" w:sz="4"/>
              <w:left w:val="single" w:color="EFF6FF" w:sz="4"/>
              <w:bottom w:val="single" w:color="EFF6FF" w:sz="4"/>
              <w:right w:val="single" w:color="EFF6FF" w:sz="4"/>
            </w:tcBorders>
            <w:shd w:fill="EFF6FF" w:color="EFF6FF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2A63"/>
                <w:sz w:val="40"/>
                <w:szCs w:val="40"/>
              </w:rPr>
              <w:t xml:space="preserve">6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Link types tracked</w:t>
            </w:r>
          </w:p>
        </w:tc>
        <w:tc>
          <w:tcPr>
            <w:tcW w:type="pct" w:w="25%"/>
            <w:tcBorders>
              <w:top w:val="single" w:color="EFF6FF" w:sz="4"/>
              <w:left w:val="single" w:color="EFF6FF" w:sz="4"/>
              <w:bottom w:val="single" w:color="EFF6FF" w:sz="4"/>
              <w:right w:val="single" w:color="EFF6FF" w:sz="4"/>
            </w:tcBorders>
            <w:shd w:fill="EFF6FF" w:color="EFF6FF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40"/>
                <w:szCs w:val="40"/>
              </w:rPr>
              <w:t xml:space="preserve">3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Environment tiers</w:t>
            </w:r>
          </w:p>
        </w:tc>
        <w:tc>
          <w:tcPr>
            <w:tcW w:type="pct" w:w="25%"/>
            <w:tcBorders>
              <w:top w:val="single" w:color="EFF6FF" w:sz="4"/>
              <w:left w:val="single" w:color="EFF6FF" w:sz="4"/>
              <w:bottom w:val="single" w:color="EFF6FF" w:sz="4"/>
              <w:right w:val="single" w:color="EFF6FF" w:sz="4"/>
            </w:tcBorders>
            <w:shd w:fill="EFF6FF" w:color="EFF6FF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40"/>
                <w:szCs w:val="40"/>
              </w:rPr>
              <w:t xml:space="preserve">5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Impact depth (BFS)</w:t>
            </w:r>
          </w:p>
        </w:tc>
      </w:tr>
    </w:tbl>
    <w:p>
      <w:pPr>
        <w:spacing w:after="240"/>
      </w:pPr>
    </w:p>
    <w:p>
      <w:pPr>
        <w:pBdr>
          <w:bottom w:val="single" w:color="CBD5E1" w:sz="8" w:space="4"/>
        </w:pBdr>
        <w:spacing w:after="0"/>
      </w:pPr>
    </w:p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b/>
          <w:bCs/>
          <w:caps/>
          <w:color w:val="1A56DB"/>
          <w:sz w:val="22"/>
          <w:szCs w:val="22"/>
        </w:rPr>
        <w:t xml:space="preserve">CORE CAPABILITIES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🗘</w:t>
            </w:r>
          </w:p>
        </w:tc>
        <w:tc>
          <w:tcPr>
            <w:tcW w:type="pct" w:w="9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A63"/>
                <w:sz w:val="20"/>
                <w:szCs w:val="20"/>
              </w:rPr>
              <w:t xml:space="preserve">Agent Dependency Graph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Interactive spider-web map of every causal, delegation, status-chain, peer, and shared-system link across your agent network. Six color-coded edge types, BFS layer layout, domain section headers, and always-on event-label pills. Hover to trace propagation; click to open any agent.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🔬</w:t>
            </w:r>
          </w:p>
        </w:tc>
        <w:tc>
          <w:tcPr>
            <w:tcW w:type="pct" w:w="9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A63"/>
                <w:sz w:val="20"/>
                <w:szCs w:val="20"/>
              </w:rPr>
              <w:t xml:space="preserve">Agent Inspector &amp; Workbench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Full read/write view of agent logic — trigger events, normal flow, error flow, data reads/writes, cross-references, and live dependency panel. Edit, compare versions, and initiate environment promotion from a single pane of glass.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🚀</w:t>
            </w:r>
          </w:p>
        </w:tc>
        <w:tc>
          <w:tcPr>
            <w:tcW w:type="pct" w:w="9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A63"/>
                <w:sz w:val="20"/>
                <w:szCs w:val="20"/>
              </w:rPr>
              <w:t xml:space="preserve">Environment Promotion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Formal DEV → TEST → PROD promotion workflow with three-step wizard, pre-flight safety verdict (Allow / Block), step-aligned change diff, orphan detection, and force-promote override for authorized Prod-Admin roles.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💥</w:t>
            </w:r>
          </w:p>
        </w:tc>
        <w:tc>
          <w:tcPr>
            <w:tcW w:type="pct" w:w="9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A63"/>
                <w:sz w:val="20"/>
                <w:szCs w:val="20"/>
              </w:rPr>
              <w:t xml:space="preserve">Impact Analysis — Blast Radius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BFS-powered downstream and upstream impact chain up to depth 5. Before any change ships, know exactly which agents — and which business processes — will be affected. Rendered as an interactive right-drawer with chip-based agent cards.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🤖</w:t>
            </w:r>
          </w:p>
        </w:tc>
        <w:tc>
          <w:tcPr>
            <w:tcW w:type="pct" w:w="9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A63"/>
                <w:sz w:val="20"/>
                <w:szCs w:val="20"/>
              </w:rPr>
              <w:t xml:space="preserve">AI Agent Monitoring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Native support for inference-driven agents (Dwell Prediction, Carrier Ranking). Track model name, confidence scores, last-run statistics, data ops, and prediction outputs alongside deterministic agents in the same workbench.</w:t>
            </w:r>
          </w:p>
        </w:tc>
      </w:tr>
      <w:tr>
        <w:tc>
          <w:tcPr>
            <w:tcW w:type="pct" w:w="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sz w:val="24"/>
                <w:szCs w:val="24"/>
              </w:rPr>
              <w:t xml:space="preserve">⚡</w:t>
            </w:r>
          </w:p>
        </w:tc>
        <w:tc>
          <w:tcPr>
            <w:tcW w:type="pct" w:w="9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A63"/>
                <w:sz w:val="20"/>
                <w:szCs w:val="20"/>
              </w:rPr>
              <w:t xml:space="preserve">Event Conflict Detection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Automatic identification of race conditions and priority conflicts across OTM trigger events. Sequence diagrams, priority fix panels, and gate modals guide operators through resolution without requiring OTM admin access.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b/>
          <w:bCs/>
          <w:caps/>
          <w:color w:val="1A56DB"/>
          <w:sz w:val="22"/>
          <w:szCs w:val="22"/>
        </w:rPr>
        <w:t xml:space="preserve">PLATFORM MODULES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9"/>
                <w:szCs w:val="19"/>
              </w:rPr>
              <w:t xml:space="preserve">Command Center</w:t>
            </w:r>
          </w:p>
          <w:p>
            <w:pPr>
              <w:spacing w:after="40" w:before="3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Real-time operations at a glance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• Order-to-cash pipeline conversion metrics by stage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• Domain promotion status across DEV / TEST / PROD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• OTM event queue depth and elevated process alerts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• Runtime health heat-map across all 160+ agents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A63"/>
                <w:sz w:val="19"/>
                <w:szCs w:val="19"/>
              </w:rPr>
              <w:t xml:space="preserve">OTM Process Monitor</w:t>
            </w:r>
          </w:p>
          <w:p>
            <w:pPr>
              <w:spacing w:after="40" w:before="3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Background job observability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• Live status of every OTM background process master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• Duration trends and missed-schedule detection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• Failed / degraded process triage with timestamps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• Drill-through to process-level metrics in one click</w:t>
            </w:r>
          </w:p>
        </w:tc>
      </w:tr>
      <w:tr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Promotion Diff &amp; Compare</w:t>
            </w:r>
          </w:p>
          <w:p>
            <w:pPr>
              <w:spacing w:after="40" w:before="3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Safe, auditable change management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• Side-by-side agent comparison across environments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• Step-aligned diff with dependency and orphan warnings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• Time-travel axis: compare any two historical snapshots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• Downloadable diff report for change-advisory board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19"/>
                <w:szCs w:val="19"/>
              </w:rPr>
              <w:t xml:space="preserve">Execution Replay</w:t>
            </w:r>
          </w:p>
          <w:p>
            <w:pPr>
              <w:spacing w:after="40" w:before="3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Root-cause debugging in seconds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• Step-by-step playback of any agent execution path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• Visual trace of branching decisions (normal / error)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• Timestamp and duration overlay per action step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• Shareable replay link for cross-team collaboration</w:t>
            </w:r>
          </w:p>
        </w:tc>
      </w:tr>
      <w:tr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Data Dictionary &amp; Lineage</w:t>
            </w:r>
          </w:p>
          <w:p>
            <w:pPr>
              <w:spacing w:after="40" w:before="3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Field-level data governance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• OTM schema reads and writes tracked per agent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• Cross-reference: which agents touch the same fields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• Coverage map of OTM tables across agent population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• Export to Draw.io, Visio, or stakeholder Doc Pack</w:t>
            </w:r>
          </w:p>
        </w:tc>
        <w:tc>
          <w:tcPr>
            <w:tcW w:type="pct" w:w="5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Platform Admin &amp; Governance</w:t>
            </w:r>
          </w:p>
          <w:p>
            <w:pPr>
              <w:spacing w:after="40" w:before="30"/>
            </w:pPr>
            <w:r>
              <w:rPr>
                <w:rFonts w:ascii="Calibri" w:cs="Calibri" w:eastAsia="Calibri" w:hAnsi="Calibri"/>
                <w:i/>
                <w:iCs/>
                <w:color w:val="64748B"/>
                <w:sz w:val="17"/>
                <w:szCs w:val="17"/>
              </w:rPr>
              <w:t xml:space="preserve">Enterprise access control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• RBAC with role assignment per environment tier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• SSO configuration and rotatable API key management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• Tamper-evident audit log for all platform actions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• Agent import tooling and global configuration panel</w:t>
            </w:r>
          </w:p>
        </w:tc>
      </w:tr>
    </w:tbl>
    <w:p>
      <w:pPr>
        <w:spacing w:after="240"/>
      </w:pPr>
    </w:p>
    <w:p>
      <w:pPr>
        <w:pBdr>
          <w:bottom w:val="single" w:color="1A56DB" w:sz="8" w:space="4"/>
        </w:pBdr>
        <w:spacing w:after="0"/>
      </w:pPr>
    </w:p>
    <w:p>
      <w:pPr>
        <w:spacing w:after="16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1A56DB" w:sz="16"/>
              <w:left w:val="single" w:color="CBD5E1" w:sz="4"/>
              <w:bottom w:val="single" w:color="CBD5E1" w:sz="4"/>
              <w:right w:val="single" w:color="CBD5E1" w:sz="4"/>
            </w:tcBorders>
            <w:shd w:fill="EFF6FF" w:color="EFF6FF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A63"/>
                <w:sz w:val="21"/>
                <w:szCs w:val="21"/>
              </w:rPr>
              <w:t xml:space="preserve">SkyMFG Manufacturing Suite  </w:t>
            </w:r>
            <w:r>
              <w:rPr>
                <w:rFonts w:ascii="Calibri" w:cs="Calibri" w:eastAsia="Calibri" w:hAnsi="Calibri"/>
                <w:i/>
                <w:iCs/>
                <w:color w:val="64748B"/>
                <w:sz w:val="20"/>
                <w:szCs w:val="20"/>
              </w:rPr>
              <w:t xml:space="preserve">— Tenant-Partitioned Intelligence</w:t>
            </w:r>
          </w:p>
          <w:p>
            <w:pPr>
              <w:spacing w:after="80"/>
            </w:pPr>
          </w:p>
          <w:p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Katalyst ships with a fully partitioned module for manufacturing and logistics tenants running SkyMFG on OTM 26B. The suite delivers a layered dependency graph (Causal / +Systems / All tiers), domain-grouped agent cards with link-count badges and health-status dots, always-on event-label edge pills, and an agent workbench with embedded dependency panels — all isolated from the core OTM agent namespace. Hub agents (those with three or more causal connections) are automatically identified and badged for prioritised monitoring.</w:t>
            </w:r>
          </w:p>
        </w:tc>
      </w:tr>
    </w:tbl>
    <w:p>
      <w:pPr>
        <w:spacing w:after="240"/>
      </w:pPr>
    </w:p>
    <w:p>
      <w:pPr>
        <w:pBdr>
          <w:bottom w:val="single" w:color="CBD5E1" w:sz="8" w:space="4"/>
        </w:pBdr>
        <w:spacing w:after="0"/>
      </w:pPr>
    </w:p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b/>
          <w:bCs/>
          <w:caps/>
          <w:color w:val="1A56DB"/>
          <w:sz w:val="22"/>
          <w:szCs w:val="22"/>
        </w:rPr>
        <w:t xml:space="preserve">TECHNICAL SPECIFICATIONS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A63"/>
                <w:sz w:val="18"/>
                <w:szCs w:val="18"/>
              </w:rPr>
              <w:t xml:space="preserve">Deployment &amp; Infrastructure</w:t>
            </w:r>
          </w:p>
          <w:p>
            <w:pPr>
              <w:spacing w:before="24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Node.js / Express API server</w:t>
            </w:r>
          </w:p>
          <w:p>
            <w:pPr>
              <w:spacing w:before="24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PostgreSQL 15+ relational store</w:t>
            </w:r>
          </w:p>
          <w:p>
            <w:pPr>
              <w:spacing w:before="24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OTM 26B+ tenant required</w:t>
            </w:r>
          </w:p>
          <w:p>
            <w:pPr>
              <w:spacing w:before="24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Multi-tenant namespace isolation</w:t>
            </w:r>
          </w:p>
          <w:p>
            <w:pPr>
              <w:spacing w:before="24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Session-less — integrates with SSO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A63"/>
                <w:sz w:val="18"/>
                <w:szCs w:val="18"/>
              </w:rPr>
              <w:t xml:space="preserve">Agent Graph Engine</w:t>
            </w:r>
          </w:p>
          <w:p>
            <w:pPr>
              <w:spacing w:before="24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6 link types fully modelled</w:t>
            </w:r>
          </w:p>
          <w:p>
            <w:pPr>
              <w:spacing w:before="24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RAISES_EVENT · FOR_EACH_DELEGATES</w:t>
            </w:r>
          </w:p>
          <w:p>
            <w:pPr>
              <w:spacing w:before="24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WRAPPER_DELEGATES · STATUS_CHAIN</w:t>
            </w:r>
          </w:p>
          <w:p>
            <w:pPr>
              <w:spacing w:before="24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EXECUTION_PEER · SHARED_EXTERNAL_SYSTEM</w:t>
            </w:r>
          </w:p>
          <w:p>
            <w:pPr>
              <w:spacing w:before="24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BFS impact traversal to depth 5</w:t>
            </w:r>
          </w:p>
        </w:tc>
        <w:tc>
          <w:tcPr>
            <w:tcW w:type="pct" w:w="33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2A63"/>
                <w:sz w:val="18"/>
                <w:szCs w:val="18"/>
              </w:rPr>
              <w:t xml:space="preserve">Integrations &amp; Export</w:t>
            </w:r>
          </w:p>
          <w:p>
            <w:pPr>
              <w:spacing w:before="24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Draw.io XML workflow export</w:t>
            </w:r>
          </w:p>
          <w:p>
            <w:pPr>
              <w:spacing w:before="24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Visio .vdx diagram export</w:t>
            </w:r>
          </w:p>
          <w:p>
            <w:pPr>
              <w:spacing w:before="24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Stakeholder Doc Pack generation</w:t>
            </w:r>
          </w:p>
          <w:p>
            <w:pPr>
              <w:spacing w:before="24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REST API with 2-min TTL cache</w:t>
            </w:r>
          </w:p>
          <w:p>
            <w:pPr>
              <w:spacing w:before="24"/>
            </w:pPr>
            <w:r>
              <w:rPr>
                <w:rFonts w:ascii="Calibri" w:cs="Calibri" w:eastAsia="Calibri" w:hAnsi="Calibri"/>
                <w:color w:val="334155"/>
                <w:sz w:val="17"/>
                <w:szCs w:val="17"/>
              </w:rPr>
              <w:t xml:space="preserve">NL query engine (token similarity)</w:t>
            </w:r>
          </w:p>
        </w:tc>
      </w:tr>
    </w:tbl>
    <w:p>
      <w:pPr>
        <w:spacing w:after="2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0F2A63" w:sz="4"/>
              <w:left w:val="single" w:color="0F2A63" w:sz="4"/>
              <w:bottom w:val="single" w:color="0F2A63" w:sz="4"/>
              <w:right w:val="single" w:color="0F2A63" w:sz="4"/>
            </w:tcBorders>
            <w:shd w:fill="0F2A63" w:color="0F2A63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Ready to see your agent network clearly?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color w:val="93C5FD"/>
                <w:sz w:val="19"/>
                <w:szCs w:val="19"/>
              </w:rPr>
              <w:t xml:space="preserve">Contact your OTM implementation partner to schedule a Katalyst deployment assessment and live demo.</w:t>
            </w:r>
          </w:p>
          <w:p>
            <w:pPr>
              <w:spacing w:after="80"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BFDBFE"/>
                <w:sz w:val="17"/>
                <w:szCs w:val="17"/>
              </w:rPr>
              <w:t xml:space="preserve">katalyst.ksap.io  ·  enterprise@ksap.io  ·  OTM 26B+ compatible</w:t>
            </w:r>
          </w:p>
        </w:tc>
      </w:tr>
    </w:tbl>
    <w:sectPr>
      <w:pgSz w:w="11906" w:h="16838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2026-07-24T12:07:20.043Z</dcterms:created>
  <dcterms:modified xsi:type="dcterms:W3CDTF">2026-07-24T12:07:20.044Z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