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A3A5C"/>
          <w:sz w:val="60"/>
          <w:szCs w:val="60"/>
        </w:rPr>
        <w:t xml:space="preserve">MedProc</w:t>
      </w:r>
    </w:p>
    <w:p>
      <w:pPr>
        <w:spacing w:after="120" w:before="0"/>
        <w:jc w:val="center"/>
      </w:pPr>
      <w:r>
        <w:rPr>
          <w:rFonts w:ascii="Arial" w:cs="Arial" w:eastAsia="Arial" w:hAnsi="Arial"/>
          <w:color w:val="2E5F8A"/>
          <w:sz w:val="28"/>
          <w:szCs w:val="28"/>
        </w:rPr>
        <w:t xml:space="preserve">Medical Information Processing — Stage 5</w:t>
      </w:r>
    </w:p>
    <w:p>
      <w:pPr>
        <w:spacing w:after="80" w:before="0"/>
        <w:jc w:val="center"/>
      </w:pPr>
      <w:r>
        <w:rPr>
          <w:rFonts w:ascii="Arial" w:cs="Arial" w:eastAsia="Arial" w:hAnsi="Arial"/>
          <w:i/>
          <w:iCs/>
          <w:color w:val="555555"/>
          <w:sz w:val="24"/>
          <w:szCs w:val="24"/>
        </w:rPr>
        <w:t xml:space="preserve">NutriDermAI Project — Full Implementation Guide</w:t>
      </w:r>
    </w:p>
    <w:p>
      <w:pPr>
        <w:spacing w:after="2000" w:before="200"/>
        <w:jc w:val="center"/>
      </w:pPr>
      <w:r>
        <w:rPr>
          <w:rFonts w:ascii="Arial" w:cs="Arial" w:eastAsia="Arial" w:hAnsi="Arial"/>
          <w:color w:val="888888"/>
          <w:sz w:val="20"/>
          <w:szCs w:val="20"/>
        </w:rPr>
        <w:t xml:space="preserve">Datasets: MIMIC-III | MIMIC-IV | eICU     Model: Bio_ClinicalBERT</w:t>
      </w:r>
    </w:p>
    <w:p>
      <w:pPr>
        <w:pBdr>
          <w:bottom w:val="single" w:color="DDDDDD" w:sz="4"/>
        </w:pBdr>
        <w:spacing w:after="160" w:before="160"/>
      </w:pPr>
    </w:p>
    <w:p>
      <w:pPr>
        <w:pStyle w:val="Heading1"/>
        <w:spacing w:after="200" w:before="400"/>
      </w:pPr>
      <w:r>
        <w:rPr>
          <w:rFonts w:ascii="Arial" w:cs="Arial" w:eastAsia="Arial" w:hAnsi="Arial"/>
          <w:b/>
          <w:bCs/>
          <w:color w:val="1A3A5C"/>
          <w:sz w:val="32"/>
          <w:szCs w:val="32"/>
        </w:rPr>
        <w:t xml:space="preserve">1. Project Overview</w:t>
      </w:r>
    </w:p>
    <w:p>
      <w:pPr>
        <w:spacing w:after="100" w:before="80"/>
      </w:pPr>
      <w:r>
        <w:rPr>
          <w:rFonts w:ascii="Arial" w:cs="Arial" w:eastAsia="Arial" w:hAnsi="Arial"/>
          <w:sz w:val="22"/>
          <w:szCs w:val="22"/>
        </w:rPr>
        <w:t xml:space="preserve">MedProc is Stage 5 of the NutriDermAI pipeline. It processes clinical text from patient reports, biopsy findings, and medical histories to produce structured clinical feature representations that feed directly into the IT-Fusion (ABCDE) stage.</w:t>
      </w:r>
    </w:p>
    <w:p>
      <w:pPr>
        <w:spacing w:after="10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5F8A"/>
          <w:sz w:val="26"/>
          <w:szCs w:val="26"/>
        </w:rPr>
        <w:t xml:space="preserve">1.1 Inputs</w:t>
      </w:r>
    </w:p>
    <w:p>
      <w:pPr>
        <w:pStyle w:val="ListParagraph"/>
        <w:numPr>
          <w:ilvl w:val="0"/>
          <w:numId w:val="2"/>
        </w:numPr>
        <w:spacing w:after="60" w:before="60"/>
      </w:pPr>
      <w:r>
        <w:rPr>
          <w:rFonts w:ascii="Arial" w:cs="Arial" w:eastAsia="Arial" w:hAnsi="Arial"/>
          <w:sz w:val="22"/>
          <w:szCs w:val="22"/>
        </w:rPr>
        <w:t xml:space="preserve">Chat responses describing patient symptoms</w:t>
      </w:r>
    </w:p>
    <w:p>
      <w:pPr>
        <w:pStyle w:val="ListParagraph"/>
        <w:numPr>
          <w:ilvl w:val="0"/>
          <w:numId w:val="2"/>
        </w:numPr>
        <w:spacing w:after="60" w:before="60"/>
      </w:pPr>
      <w:r>
        <w:rPr>
          <w:rFonts w:ascii="Arial" w:cs="Arial" w:eastAsia="Arial" w:hAnsi="Arial"/>
          <w:sz w:val="22"/>
          <w:szCs w:val="22"/>
        </w:rPr>
        <w:t xml:space="preserve">Uploaded biopsy / blood test reports (PDF or text)</w:t>
      </w:r>
    </w:p>
    <w:p>
      <w:pPr>
        <w:pStyle w:val="ListParagraph"/>
        <w:numPr>
          <w:ilvl w:val="0"/>
          <w:numId w:val="2"/>
        </w:numPr>
        <w:spacing w:after="60" w:before="60"/>
      </w:pPr>
      <w:r>
        <w:rPr>
          <w:rFonts w:ascii="Arial" w:cs="Arial" w:eastAsia="Arial" w:hAnsi="Arial"/>
          <w:sz w:val="22"/>
          <w:szCs w:val="22"/>
        </w:rPr>
        <w:t xml:space="preserve">Prior lesion images (optional, for context)</w:t>
      </w:r>
    </w:p>
    <w:p>
      <w:pPr>
        <w:pStyle w:val="ListParagraph"/>
        <w:numPr>
          <w:ilvl w:val="0"/>
          <w:numId w:val="2"/>
        </w:numPr>
        <w:spacing w:after="60" w:before="60"/>
      </w:pPr>
      <w:r>
        <w:rPr>
          <w:rFonts w:ascii="Arial" w:cs="Arial" w:eastAsia="Arial" w:hAnsi="Arial"/>
          <w:sz w:val="22"/>
          <w:szCs w:val="22"/>
        </w:rPr>
        <w:t xml:space="preserve">Clinical discharge notes (MIMIC-III / MIMIC-IV / eICU)</w:t>
      </w:r>
    </w:p>
    <w:p>
      <w:pPr>
        <w:spacing w:after="10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5F8A"/>
          <w:sz w:val="26"/>
          <w:szCs w:val="26"/>
        </w:rPr>
        <w:t xml:space="preserve">1.2 Outputs</w:t>
      </w:r>
    </w:p>
    <w:p>
      <w:pPr>
        <w:pStyle w:val="ListParagraph"/>
        <w:numPr>
          <w:ilvl w:val="0"/>
          <w:numId w:val="2"/>
        </w:numPr>
        <w:spacing w:after="60" w:before="60"/>
      </w:pPr>
      <w:r>
        <w:rPr>
          <w:rFonts w:ascii="Arial" w:cs="Arial" w:eastAsia="Arial" w:hAnsi="Arial"/>
          <w:sz w:val="22"/>
          <w:szCs w:val="22"/>
        </w:rPr>
        <w:t xml:space="preserve">Predicted ICD-9 disease categories (multi-label)</w:t>
      </w:r>
    </w:p>
    <w:p>
      <w:pPr>
        <w:pStyle w:val="ListParagraph"/>
        <w:numPr>
          <w:ilvl w:val="0"/>
          <w:numId w:val="2"/>
        </w:numPr>
        <w:spacing w:after="60" w:before="60"/>
      </w:pPr>
      <w:r>
        <w:rPr>
          <w:rFonts w:ascii="Arial" w:cs="Arial" w:eastAsia="Arial" w:hAnsi="Arial"/>
          <w:sz w:val="22"/>
          <w:szCs w:val="22"/>
        </w:rPr>
        <w:t xml:space="preserve">Extracted drug / medication mentions</w:t>
      </w:r>
    </w:p>
    <w:p>
      <w:pPr>
        <w:pStyle w:val="ListParagraph"/>
        <w:numPr>
          <w:ilvl w:val="0"/>
          <w:numId w:val="2"/>
        </w:numPr>
        <w:spacing w:after="60" w:before="60"/>
      </w:pPr>
      <w:r>
        <w:rPr>
          <w:rFonts w:ascii="Arial" w:cs="Arial" w:eastAsia="Arial" w:hAnsi="Arial"/>
          <w:sz w:val="22"/>
          <w:szCs w:val="22"/>
        </w:rPr>
        <w:t xml:space="preserve">Detected symptom keywords and vectors</w:t>
      </w:r>
    </w:p>
    <w:p>
      <w:pPr>
        <w:pStyle w:val="ListParagraph"/>
        <w:numPr>
          <w:ilvl w:val="0"/>
          <w:numId w:val="2"/>
        </w:numPr>
        <w:spacing w:after="60" w:before="60"/>
      </w:pPr>
      <w:r>
        <w:rPr>
          <w:rFonts w:ascii="Arial" w:cs="Arial" w:eastAsia="Arial" w:hAnsi="Arial"/>
          <w:sz w:val="22"/>
          <w:szCs w:val="22"/>
        </w:rPr>
        <w:t xml:space="preserve">Structured Evolution (E) value for ABCDE scoring</w:t>
      </w:r>
    </w:p>
    <w:p>
      <w:pPr>
        <w:pStyle w:val="ListParagraph"/>
        <w:numPr>
          <w:ilvl w:val="0"/>
          <w:numId w:val="2"/>
        </w:numPr>
        <w:spacing w:after="60" w:before="60"/>
      </w:pPr>
      <w:r>
        <w:rPr>
          <w:rFonts w:ascii="Arial" w:cs="Arial" w:eastAsia="Arial" w:hAnsi="Arial"/>
          <w:sz w:val="22"/>
          <w:szCs w:val="22"/>
        </w:rPr>
        <w:t xml:space="preserve">JSON with reasoning for each extracted feature</w:t>
      </w:r>
    </w:p>
    <w:p>
      <w:pPr>
        <w:pBdr>
          <w:bottom w:val="single" w:color="DDDDDD" w:sz="4"/>
        </w:pBdr>
        <w:spacing w:after="160" w:before="160"/>
      </w:pPr>
    </w:p>
    <w:p>
      <w:pPr>
        <w:pStyle w:val="Heading1"/>
        <w:spacing w:after="200" w:before="400"/>
      </w:pPr>
      <w:r>
        <w:rPr>
          <w:rFonts w:ascii="Arial" w:cs="Arial" w:eastAsia="Arial" w:hAnsi="Arial"/>
          <w:b/>
          <w:bCs/>
          <w:color w:val="1A3A5C"/>
          <w:sz w:val="32"/>
          <w:szCs w:val="32"/>
        </w:rPr>
        <w:t xml:space="preserve">2. Model Selection: Bio_ClinicalBERT</w:t>
      </w:r>
    </w:p>
    <w:p>
      <w:pPr>
        <w:spacing w:after="100" w:before="80"/>
      </w:pPr>
      <w:r>
        <w:rPr>
          <w:rFonts w:ascii="Arial" w:cs="Arial" w:eastAsia="Arial" w:hAnsi="Arial"/>
          <w:sz w:val="22"/>
          <w:szCs w:val="22"/>
        </w:rPr>
        <w:t xml:space="preserve">The primary model is emilyalsentzer/Bio_ClinicalBERT, available on HuggingFace. This is a drop-in replacement for BioBERT that was specifically fine-tuned on MIMIC-III clinical notes — exactly the same data source used in this project.</w:t>
      </w:r>
    </w:p>
    <w:p>
      <w:pPr>
        <w:spacing w:after="10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5F8A"/>
          <w:sz w:val="26"/>
          <w:szCs w:val="26"/>
        </w:rPr>
        <w:t xml:space="preserve">2.1 Comparison Table</w:t>
      </w:r>
    </w:p>
    <w:p>
      <w:pPr>
        <w:spacing w:after="10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400"/>
        <w:gridCol w:w="2160"/>
      </w:tblGrid>
      <w:tr>
        <w:trPr>
          <w:tblHeader/>
        </w:trPr>
        <w:tc>
          <w:tcPr>
            <w:tcW w:type="dxa" w:w="2700"/>
            <w:tcBorders>
              <w:top w:val="single" w:color="2E5F8A" w:sz="1"/>
              <w:left w:val="single" w:color="2E5F8A" w:sz="1"/>
              <w:bottom w:val="single" w:color="2E5F8A" w:sz="1"/>
              <w:right w:val="single" w:color="2E5F8A"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dxa" w:w="2100"/>
            <w:tcBorders>
              <w:top w:val="single" w:color="2E5F8A" w:sz="1"/>
              <w:left w:val="single" w:color="2E5F8A" w:sz="1"/>
              <w:bottom w:val="single" w:color="2E5F8A" w:sz="1"/>
              <w:right w:val="single" w:color="2E5F8A"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Trained On</w:t>
            </w:r>
          </w:p>
        </w:tc>
        <w:tc>
          <w:tcPr>
            <w:tcW w:type="dxa" w:w="2400"/>
            <w:tcBorders>
              <w:top w:val="single" w:color="2E5F8A" w:sz="1"/>
              <w:left w:val="single" w:color="2E5F8A" w:sz="1"/>
              <w:bottom w:val="single" w:color="2E5F8A" w:sz="1"/>
              <w:right w:val="single" w:color="2E5F8A"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Best For</w:t>
            </w:r>
          </w:p>
        </w:tc>
        <w:tc>
          <w:tcPr>
            <w:tcW w:type="dxa" w:w="2160"/>
            <w:tcBorders>
              <w:top w:val="single" w:color="2E5F8A" w:sz="1"/>
              <w:left w:val="single" w:color="2E5F8A" w:sz="1"/>
              <w:bottom w:val="single" w:color="2E5F8A" w:sz="1"/>
              <w:right w:val="single" w:color="2E5F8A"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Recommended?</w:t>
            </w:r>
          </w:p>
        </w:tc>
      </w:tr>
      <w:tr>
        <w:tc>
          <w:tcPr>
            <w:tcW w:type="dxa" w:w="27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Bio_ClinicalBERT</w:t>
            </w:r>
          </w:p>
        </w:tc>
        <w:tc>
          <w:tcPr>
            <w:tcW w:type="dxa" w:w="21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PubMed + MIMIC-III notes</w:t>
            </w:r>
          </w:p>
        </w:tc>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EHR text, discharge summaries</w:t>
            </w:r>
          </w:p>
        </w:tc>
        <w:tc>
          <w:tcPr>
            <w:tcW w:type="dxa" w:w="2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YES (primary)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BioBERT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PubMed abstracts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Literature-style biomedical 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Fallback</w:t>
            </w:r>
          </w:p>
        </w:tc>
      </w:tr>
      <w:tr>
        <w:tc>
          <w:tcPr>
            <w:tcW w:type="dxa" w:w="27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BlueBERT</w:t>
            </w:r>
          </w:p>
        </w:tc>
        <w:tc>
          <w:tcPr>
            <w:tcW w:type="dxa" w:w="21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PubMed + MIMIC clinical</w:t>
            </w:r>
          </w:p>
        </w:tc>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Mixed biomedical + clinical</w:t>
            </w:r>
          </w:p>
        </w:tc>
        <w:tc>
          <w:tcPr>
            <w:tcW w:type="dxa" w:w="2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Alternative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PubMedBERT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PubMed (scratch)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Clean literature NLP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ideal for EHR</w:t>
            </w:r>
          </w:p>
        </w:tc>
      </w:tr>
      <w:tr>
        <w:tc>
          <w:tcPr>
            <w:tcW w:type="dxa" w:w="27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ClinicalLongformer</w:t>
            </w:r>
          </w:p>
        </w:tc>
        <w:tc>
          <w:tcPr>
            <w:tcW w:type="dxa" w:w="21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Clinical notes (4096 tok)</w:t>
            </w:r>
          </w:p>
        </w:tc>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Very long documents</w:t>
            </w:r>
          </w:p>
        </w:tc>
        <w:tc>
          <w:tcPr>
            <w:tcW w:type="dxa" w:w="2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If VRAM allows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GatorTron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90B clinical words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Maximum EHR accuracy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Not publicly accessible</w:t>
            </w:r>
          </w:p>
        </w:tc>
      </w:tr>
    </w:tbl>
    <w:p>
      <w:pPr>
        <w:spacing w:after="10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5F8A"/>
          <w:sz w:val="26"/>
          <w:szCs w:val="26"/>
        </w:rPr>
        <w:t xml:space="preserve">2.2 Training Strategy</w:t>
      </w:r>
    </w:p>
    <w:p>
      <w:pPr>
        <w:spacing w:after="100" w:before="80"/>
      </w:pPr>
      <w:r>
        <w:rPr>
          <w:rFonts w:ascii="Arial" w:cs="Arial" w:eastAsia="Arial" w:hAnsi="Arial"/>
          <w:sz w:val="22"/>
          <w:szCs w:val="22"/>
        </w:rPr>
        <w:t xml:space="preserve">Full fine-tuning is NOT required and wastes compute. The recommended approach is partial fine-tuning:</w:t>
      </w:r>
    </w:p>
    <w:p>
      <w:pPr>
        <w:pStyle w:val="ListParagraph"/>
        <w:numPr>
          <w:ilvl w:val="0"/>
          <w:numId w:val="2"/>
        </w:numPr>
        <w:spacing w:after="60" w:before="60"/>
      </w:pPr>
      <w:r>
        <w:rPr>
          <w:rFonts w:ascii="Arial" w:cs="Arial" w:eastAsia="Arial" w:hAnsi="Arial"/>
          <w:sz w:val="22"/>
          <w:szCs w:val="22"/>
        </w:rPr>
        <w:t xml:space="preserve">Freeze all BERT layers initially</w:t>
      </w:r>
    </w:p>
    <w:p>
      <w:pPr>
        <w:pStyle w:val="ListParagraph"/>
        <w:numPr>
          <w:ilvl w:val="0"/>
          <w:numId w:val="2"/>
        </w:numPr>
        <w:spacing w:after="60" w:before="60"/>
      </w:pPr>
      <w:r>
        <w:rPr>
          <w:rFonts w:ascii="Arial" w:cs="Arial" w:eastAsia="Arial" w:hAnsi="Arial"/>
          <w:sz w:val="22"/>
          <w:szCs w:val="22"/>
        </w:rPr>
        <w:t xml:space="preserve">Unfreeze last 3 transformer encoder blocks (layers 9, 10, 11)</w:t>
      </w:r>
    </w:p>
    <w:p>
      <w:pPr>
        <w:pStyle w:val="ListParagraph"/>
        <w:numPr>
          <w:ilvl w:val="0"/>
          <w:numId w:val="2"/>
        </w:numPr>
        <w:spacing w:after="60" w:before="60"/>
      </w:pPr>
      <w:r>
        <w:rPr>
          <w:rFonts w:ascii="Arial" w:cs="Arial" w:eastAsia="Arial" w:hAnsi="Arial"/>
          <w:sz w:val="22"/>
          <w:szCs w:val="22"/>
        </w:rPr>
        <w:t xml:space="preserve">Unfreeze pooler layer</w:t>
      </w:r>
    </w:p>
    <w:p>
      <w:pPr>
        <w:pStyle w:val="ListParagraph"/>
        <w:numPr>
          <w:ilvl w:val="0"/>
          <w:numId w:val="2"/>
        </w:numPr>
        <w:spacing w:after="60" w:before="60"/>
      </w:pPr>
      <w:r>
        <w:rPr>
          <w:rFonts w:ascii="Arial" w:cs="Arial" w:eastAsia="Arial" w:hAnsi="Arial"/>
          <w:sz w:val="22"/>
          <w:szCs w:val="22"/>
        </w:rPr>
        <w:t xml:space="preserve">Add three task-specific heads on top</w:t>
      </w:r>
    </w:p>
    <w:p>
      <w:pPr>
        <w:pStyle w:val="ListParagraph"/>
        <w:numPr>
          <w:ilvl w:val="0"/>
          <w:numId w:val="2"/>
        </w:numPr>
        <w:spacing w:after="60" w:before="60"/>
      </w:pPr>
      <w:r>
        <w:rPr>
          <w:rFonts w:ascii="Arial" w:cs="Arial" w:eastAsia="Arial" w:hAnsi="Arial"/>
          <w:sz w:val="22"/>
          <w:szCs w:val="22"/>
        </w:rPr>
        <w:t xml:space="preserve">Train with AdamW optimizer, lr=2e-5, linear warmup schedule</w:t>
      </w:r>
    </w:p>
    <w:p>
      <w:pPr>
        <w:spacing w:after="100" w:before="80"/>
      </w:pPr>
      <w:r>
        <w:rPr>
          <w:rFonts w:ascii="Arial" w:cs="Arial" w:eastAsia="Arial" w:hAnsi="Arial"/>
          <w:sz w:val="22"/>
          <w:szCs w:val="22"/>
        </w:rPr>
        <w:t xml:space="preserve">This fits within 12 GB VRAM at batch size 16 and converges in 3-5 epochs.</w:t>
      </w:r>
    </w:p>
    <w:p>
      <w:pPr>
        <w:pBdr>
          <w:bottom w:val="single" w:color="DDDDDD" w:sz="4"/>
        </w:pBdr>
        <w:spacing w:after="160" w:before="160"/>
      </w:pPr>
    </w:p>
    <w:p>
      <w:pPr>
        <w:pStyle w:val="Heading1"/>
        <w:spacing w:after="200" w:before="400"/>
      </w:pPr>
      <w:r>
        <w:rPr>
          <w:rFonts w:ascii="Arial" w:cs="Arial" w:eastAsia="Arial" w:hAnsi="Arial"/>
          <w:b/>
          <w:bCs/>
          <w:color w:val="1A3A5C"/>
          <w:sz w:val="32"/>
          <w:szCs w:val="32"/>
        </w:rPr>
        <w:t xml:space="preserve">3. Multi-Task Architecture</w:t>
      </w:r>
    </w:p>
    <w:p>
      <w:pPr>
        <w:spacing w:after="100" w:before="80"/>
      </w:pPr>
      <w:r>
        <w:rPr>
          <w:rFonts w:ascii="Arial" w:cs="Arial" w:eastAsia="Arial" w:hAnsi="Arial"/>
          <w:sz w:val="22"/>
          <w:szCs w:val="22"/>
        </w:rPr>
        <w:t xml:space="preserve">A single shared Bio_ClinicalBERT backbone feeds three task heads simultaneously. Multi-task training improves the shared representations compared to training each task separately.</w:t>
      </w:r>
    </w:p>
    <w:p>
      <w:pPr>
        <w:spacing w:after="10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5F8A"/>
          <w:sz w:val="26"/>
          <w:szCs w:val="26"/>
        </w:rPr>
        <w:t xml:space="preserve">3.1 Head 1 — ICD Multi-Label Classification</w:t>
      </w:r>
    </w:p>
    <w:p>
      <w:pPr>
        <w:spacing w:after="100" w:before="80"/>
      </w:pPr>
      <w:r>
        <w:rPr>
          <w:rFonts w:ascii="Arial" w:cs="Arial" w:eastAsia="Arial" w:hAnsi="Arial"/>
          <w:sz w:val="22"/>
          <w:szCs w:val="22"/>
        </w:rPr>
        <w:t xml:space="preserve">Predicts relevant ICD-9 disease category prefixes (3-character level) from the clinical note. Multi-label because a patient may have multiple relevant conditions.</w:t>
      </w:r>
    </w:p>
    <w:p>
      <w:pPr>
        <w:pStyle w:val="ListParagraph"/>
        <w:numPr>
          <w:ilvl w:val="0"/>
          <w:numId w:val="2"/>
        </w:numPr>
        <w:spacing w:after="60" w:before="60"/>
      </w:pPr>
      <w:r>
        <w:rPr>
          <w:rFonts w:ascii="Arial" w:cs="Arial" w:eastAsia="Arial" w:hAnsi="Arial"/>
          <w:sz w:val="22"/>
          <w:szCs w:val="22"/>
        </w:rPr>
        <w:t xml:space="preserve">Input: [CLS] token embedding (768-dim)</w:t>
      </w:r>
    </w:p>
    <w:p>
      <w:pPr>
        <w:pStyle w:val="ListParagraph"/>
        <w:numPr>
          <w:ilvl w:val="0"/>
          <w:numId w:val="2"/>
        </w:numPr>
        <w:spacing w:after="60" w:before="60"/>
      </w:pPr>
      <w:r>
        <w:rPr>
          <w:rFonts w:ascii="Arial" w:cs="Arial" w:eastAsia="Arial" w:hAnsi="Arial"/>
          <w:sz w:val="22"/>
          <w:szCs w:val="22"/>
        </w:rPr>
        <w:t xml:space="preserve">Architecture: Linear(768, 512) → ReLU → Dropout(0.3) → Linear(512, N_labels)</w:t>
      </w:r>
    </w:p>
    <w:p>
      <w:pPr>
        <w:pStyle w:val="ListParagraph"/>
        <w:numPr>
          <w:ilvl w:val="0"/>
          <w:numId w:val="2"/>
        </w:numPr>
        <w:spacing w:after="60" w:before="60"/>
      </w:pPr>
      <w:r>
        <w:rPr>
          <w:rFonts w:ascii="Arial" w:cs="Arial" w:eastAsia="Arial" w:hAnsi="Arial"/>
          <w:sz w:val="22"/>
          <w:szCs w:val="22"/>
        </w:rPr>
        <w:t xml:space="preserve">Loss: BCEWithLogitsLoss</w:t>
      </w:r>
    </w:p>
    <w:p>
      <w:pPr>
        <w:pStyle w:val="ListParagraph"/>
        <w:numPr>
          <w:ilvl w:val="0"/>
          <w:numId w:val="2"/>
        </w:numPr>
        <w:spacing w:after="60" w:before="60"/>
      </w:pPr>
      <w:r>
        <w:rPr>
          <w:rFonts w:ascii="Arial" w:cs="Arial" w:eastAsia="Arial" w:hAnsi="Arial"/>
          <w:sz w:val="22"/>
          <w:szCs w:val="22"/>
        </w:rPr>
        <w:t xml:space="preserve">Inference threshold: 0.4 confidence</w:t>
      </w:r>
    </w:p>
    <w:p>
      <w:pPr>
        <w:pStyle w:val="ListParagraph"/>
        <w:numPr>
          <w:ilvl w:val="0"/>
          <w:numId w:val="2"/>
        </w:numPr>
        <w:spacing w:after="60" w:before="60"/>
      </w:pPr>
      <w:r>
        <w:rPr>
          <w:rFonts w:ascii="Arial" w:cs="Arial" w:eastAsia="Arial" w:hAnsi="Arial"/>
          <w:sz w:val="22"/>
          <w:szCs w:val="22"/>
        </w:rPr>
        <w:t xml:space="preserve">Label space: Top-200 most frequent ICD prefixes in training data</w:t>
      </w:r>
    </w:p>
    <w:p>
      <w:pPr>
        <w:spacing w:after="10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5F8A"/>
          <w:sz w:val="26"/>
          <w:szCs w:val="26"/>
        </w:rPr>
        <w:t xml:space="preserve">3.2 Head 2 — Drug Presence Detection</w:t>
      </w:r>
    </w:p>
    <w:p>
      <w:pPr>
        <w:spacing w:after="100" w:before="80"/>
      </w:pPr>
      <w:r>
        <w:rPr>
          <w:rFonts w:ascii="Arial" w:cs="Arial" w:eastAsia="Arial" w:hAnsi="Arial"/>
          <w:sz w:val="22"/>
          <w:szCs w:val="22"/>
        </w:rPr>
        <w:t xml:space="preserve">Binary classification: does the clinical note reference medication or drug treatment? This is used as a proxy for treatment-complexity signals.</w:t>
      </w:r>
    </w:p>
    <w:p>
      <w:pPr>
        <w:pStyle w:val="ListParagraph"/>
        <w:numPr>
          <w:ilvl w:val="0"/>
          <w:numId w:val="2"/>
        </w:numPr>
        <w:spacing w:after="60" w:before="60"/>
      </w:pPr>
      <w:r>
        <w:rPr>
          <w:rFonts w:ascii="Arial" w:cs="Arial" w:eastAsia="Arial" w:hAnsi="Arial"/>
          <w:sz w:val="22"/>
          <w:szCs w:val="22"/>
        </w:rPr>
        <w:t xml:space="preserve">Input: [CLS] token embedding (768-dim)</w:t>
      </w:r>
    </w:p>
    <w:p>
      <w:pPr>
        <w:pStyle w:val="ListParagraph"/>
        <w:numPr>
          <w:ilvl w:val="0"/>
          <w:numId w:val="2"/>
        </w:numPr>
        <w:spacing w:after="60" w:before="60"/>
      </w:pPr>
      <w:r>
        <w:rPr>
          <w:rFonts w:ascii="Arial" w:cs="Arial" w:eastAsia="Arial" w:hAnsi="Arial"/>
          <w:sz w:val="22"/>
          <w:szCs w:val="22"/>
        </w:rPr>
        <w:t xml:space="preserve">Architecture: Linear(768, 128) → ReLU → Linear(128, 1)</w:t>
      </w:r>
    </w:p>
    <w:p>
      <w:pPr>
        <w:pStyle w:val="ListParagraph"/>
        <w:numPr>
          <w:ilvl w:val="0"/>
          <w:numId w:val="2"/>
        </w:numPr>
        <w:spacing w:after="60" w:before="60"/>
      </w:pPr>
      <w:r>
        <w:rPr>
          <w:rFonts w:ascii="Arial" w:cs="Arial" w:eastAsia="Arial" w:hAnsi="Arial"/>
          <w:sz w:val="22"/>
          <w:szCs w:val="22"/>
        </w:rPr>
        <w:t xml:space="preserve">Loss: BCEWithLogitsLoss</w:t>
      </w:r>
    </w:p>
    <w:p>
      <w:pPr>
        <w:pStyle w:val="ListParagraph"/>
        <w:numPr>
          <w:ilvl w:val="0"/>
          <w:numId w:val="2"/>
        </w:numPr>
        <w:spacing w:after="60" w:before="60"/>
      </w:pPr>
      <w:r>
        <w:rPr>
          <w:rFonts w:ascii="Arial" w:cs="Arial" w:eastAsia="Arial" w:hAnsi="Arial"/>
          <w:sz w:val="22"/>
          <w:szCs w:val="22"/>
        </w:rPr>
        <w:t xml:space="preserve">Training label: derived from PRESCRIPTIONS.csv (1 if drugs present, 0 otherwise)</w:t>
      </w:r>
    </w:p>
    <w:p>
      <w:pPr>
        <w:spacing w:after="10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5F8A"/>
          <w:sz w:val="26"/>
          <w:szCs w:val="26"/>
        </w:rPr>
        <w:t xml:space="preserve">3.3 Head 3 — Symptom / Evolution Relevance</w:t>
      </w:r>
    </w:p>
    <w:p>
      <w:pPr>
        <w:spacing w:after="100" w:before="80"/>
      </w:pPr>
      <w:r>
        <w:rPr>
          <w:rFonts w:ascii="Arial" w:cs="Arial" w:eastAsia="Arial" w:hAnsi="Arial"/>
          <w:sz w:val="22"/>
          <w:szCs w:val="22"/>
        </w:rPr>
        <w:t xml:space="preserve">Binary signal indicating whether the note contains clinically relevant symptom descriptions. Combined with rule-based keyword extraction to produce the Evolution (E) value for ABCDE scoring.</w:t>
      </w:r>
    </w:p>
    <w:p>
      <w:pPr>
        <w:pStyle w:val="ListParagraph"/>
        <w:numPr>
          <w:ilvl w:val="0"/>
          <w:numId w:val="2"/>
        </w:numPr>
        <w:spacing w:after="60" w:before="60"/>
      </w:pPr>
      <w:r>
        <w:rPr>
          <w:rFonts w:ascii="Arial" w:cs="Arial" w:eastAsia="Arial" w:hAnsi="Arial"/>
          <w:sz w:val="22"/>
          <w:szCs w:val="22"/>
        </w:rPr>
        <w:t xml:space="preserve">Input: [CLS] token embedding (768-dim)</w:t>
      </w:r>
    </w:p>
    <w:p>
      <w:pPr>
        <w:pStyle w:val="ListParagraph"/>
        <w:numPr>
          <w:ilvl w:val="0"/>
          <w:numId w:val="2"/>
        </w:numPr>
        <w:spacing w:after="60" w:before="60"/>
      </w:pPr>
      <w:r>
        <w:rPr>
          <w:rFonts w:ascii="Arial" w:cs="Arial" w:eastAsia="Arial" w:hAnsi="Arial"/>
          <w:sz w:val="22"/>
          <w:szCs w:val="22"/>
        </w:rPr>
        <w:t xml:space="preserve">Architecture: Linear(768, 128) → ReLU → Linear(128, 1)</w:t>
      </w:r>
    </w:p>
    <w:p>
      <w:pPr>
        <w:pStyle w:val="ListParagraph"/>
        <w:numPr>
          <w:ilvl w:val="0"/>
          <w:numId w:val="2"/>
        </w:numPr>
        <w:spacing w:after="60" w:before="60"/>
      </w:pPr>
      <w:r>
        <w:rPr>
          <w:rFonts w:ascii="Arial" w:cs="Arial" w:eastAsia="Arial" w:hAnsi="Arial"/>
          <w:sz w:val="22"/>
          <w:szCs w:val="22"/>
        </w:rPr>
        <w:t xml:space="preserve">Rule-based layer: 60+ symptom/evolution keywords matched via regex</w:t>
      </w:r>
    </w:p>
    <w:p>
      <w:pPr>
        <w:pStyle w:val="ListParagraph"/>
        <w:numPr>
          <w:ilvl w:val="0"/>
          <w:numId w:val="2"/>
        </w:numPr>
        <w:spacing w:after="60" w:before="60"/>
      </w:pPr>
      <w:r>
        <w:rPr>
          <w:rFonts w:ascii="Arial" w:cs="Arial" w:eastAsia="Arial" w:hAnsi="Arial"/>
          <w:sz w:val="22"/>
          <w:szCs w:val="22"/>
        </w:rPr>
        <w:t xml:space="preserve">Evolution score formula: 0.4 * temporal + 0.4 * progression + 0.2 * skin_change</w:t>
      </w:r>
    </w:p>
    <w:p>
      <w:pPr>
        <w:pBdr>
          <w:bottom w:val="single" w:color="DDDDDD" w:sz="4"/>
        </w:pBdr>
        <w:spacing w:after="160" w:before="160"/>
      </w:pPr>
    </w:p>
    <w:p>
      <w:pPr>
        <w:pStyle w:val="Heading1"/>
        <w:spacing w:after="200" w:before="400"/>
      </w:pPr>
      <w:r>
        <w:rPr>
          <w:rFonts w:ascii="Arial" w:cs="Arial" w:eastAsia="Arial" w:hAnsi="Arial"/>
          <w:b/>
          <w:bCs/>
          <w:color w:val="1A3A5C"/>
          <w:sz w:val="32"/>
          <w:szCs w:val="32"/>
        </w:rPr>
        <w:t xml:space="preserve">4. ICD-9 Disease Whitelist</w:t>
      </w:r>
    </w:p>
    <w:p>
      <w:pPr>
        <w:spacing w:after="100" w:before="80"/>
      </w:pPr>
      <w:r>
        <w:rPr>
          <w:rFonts w:ascii="Arial" w:cs="Arial" w:eastAsia="Arial" w:hAnsi="Arial"/>
          <w:sz w:val="22"/>
          <w:szCs w:val="22"/>
        </w:rPr>
        <w:t xml:space="preserve">Rather than training on all ICD codes (thousands of rare conditions), we filter to a clinically relevant whitelist. This improves model focus and reduces label noise.</w:t>
      </w:r>
    </w:p>
    <w:p>
      <w:pPr>
        <w:spacing w:after="10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5F8A"/>
          <w:sz w:val="26"/>
          <w:szCs w:val="26"/>
        </w:rPr>
        <w:t xml:space="preserve">4.1 Skin-Related ICD Prefixes (Critical for NutriDermAI)</w:t>
      </w:r>
    </w:p>
    <w:p>
      <w:pPr>
        <w:spacing w:after="10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760"/>
      </w:tblGrid>
      <w:tr>
        <w:trPr>
          <w:tblHeader/>
        </w:trPr>
        <w:tc>
          <w:tcPr>
            <w:tcW w:type="dxa" w:w="1600"/>
            <w:tcBorders>
              <w:top w:val="single" w:color="2E5F8A" w:sz="1"/>
              <w:left w:val="single" w:color="2E5F8A" w:sz="1"/>
              <w:bottom w:val="single" w:color="2E5F8A" w:sz="1"/>
              <w:right w:val="single" w:color="2E5F8A"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ICD-9 Prefix</w:t>
            </w:r>
          </w:p>
        </w:tc>
        <w:tc>
          <w:tcPr>
            <w:tcW w:type="dxa" w:w="4000"/>
            <w:tcBorders>
              <w:top w:val="single" w:color="2E5F8A" w:sz="1"/>
              <w:left w:val="single" w:color="2E5F8A" w:sz="1"/>
              <w:bottom w:val="single" w:color="2E5F8A" w:sz="1"/>
              <w:right w:val="single" w:color="2E5F8A"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Condition</w:t>
            </w:r>
          </w:p>
        </w:tc>
        <w:tc>
          <w:tcPr>
            <w:tcW w:type="dxa" w:w="3760"/>
            <w:tcBorders>
              <w:top w:val="single" w:color="2E5F8A" w:sz="1"/>
              <w:left w:val="single" w:color="2E5F8A" w:sz="1"/>
              <w:bottom w:val="single" w:color="2E5F8A" w:sz="1"/>
              <w:right w:val="single" w:color="2E5F8A"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Relevance</w:t>
            </w:r>
          </w:p>
        </w:tc>
      </w:tr>
      <w:tr>
        <w:tc>
          <w:tcPr>
            <w:tcW w:type="dxa" w:w="1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172.x</w:t>
            </w:r>
          </w:p>
        </w:tc>
        <w:tc>
          <w:tcPr>
            <w:tcW w:type="dxa" w:w="4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Melanoma of skin</w:t>
            </w:r>
          </w:p>
        </w:tc>
        <w:tc>
          <w:tcPr>
            <w:tcW w:type="dxa" w:w="3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Primary target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173.x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Other malignant neoplasm of skin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Primary target</w:t>
            </w:r>
          </w:p>
        </w:tc>
      </w:tr>
      <w:tr>
        <w:tc>
          <w:tcPr>
            <w:tcW w:type="dxa" w:w="1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216.x</w:t>
            </w:r>
          </w:p>
        </w:tc>
        <w:tc>
          <w:tcPr>
            <w:tcW w:type="dxa" w:w="4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Benign neoplasm of skin</w:t>
            </w:r>
          </w:p>
        </w:tc>
        <w:tc>
          <w:tcPr>
            <w:tcW w:type="dxa" w:w="3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Primary target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692.x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Contact dermatitis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r>
      <w:tr>
        <w:tc>
          <w:tcPr>
            <w:tcW w:type="dxa" w:w="1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691.x</w:t>
            </w:r>
          </w:p>
        </w:tc>
        <w:tc>
          <w:tcPr>
            <w:tcW w:type="dxa" w:w="4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Atopic dermatitis / eczema</w:t>
            </w:r>
          </w:p>
        </w:tc>
        <w:tc>
          <w:tcPr>
            <w:tcW w:type="dxa" w:w="3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High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696.x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Psoriasis and similar disorders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r>
      <w:tr>
        <w:tc>
          <w:tcPr>
            <w:tcW w:type="dxa" w:w="1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708.x</w:t>
            </w:r>
          </w:p>
        </w:tc>
        <w:tc>
          <w:tcPr>
            <w:tcW w:type="dxa" w:w="4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Urticaria / hives</w:t>
            </w:r>
          </w:p>
        </w:tc>
        <w:tc>
          <w:tcPr>
            <w:tcW w:type="dxa" w:w="3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High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682.x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Cellulitis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r>
      <w:tr>
        <w:tc>
          <w:tcPr>
            <w:tcW w:type="dxa" w:w="1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706.x</w:t>
            </w:r>
          </w:p>
        </w:tc>
        <w:tc>
          <w:tcPr>
            <w:tcW w:type="dxa" w:w="4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Sebaceous gland diseases / acne</w:t>
            </w:r>
          </w:p>
        </w:tc>
        <w:tc>
          <w:tcPr>
            <w:tcW w:type="dxa" w:w="3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Medium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707.x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Chronic skin ulcer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r>
      <w:tr>
        <w:tc>
          <w:tcPr>
            <w:tcW w:type="dxa" w:w="1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054.x / 053.x</w:t>
            </w:r>
          </w:p>
        </w:tc>
        <w:tc>
          <w:tcPr>
            <w:tcW w:type="dxa" w:w="4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Herpes simplex / zoster</w:t>
            </w:r>
          </w:p>
        </w:tc>
        <w:tc>
          <w:tcPr>
            <w:tcW w:type="dxa" w:w="3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Medium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078.x</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Warts and other viral skin diseases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r>
      <w:tr>
        <w:tc>
          <w:tcPr>
            <w:tcW w:type="dxa" w:w="1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940-946</w:t>
            </w:r>
          </w:p>
        </w:tc>
        <w:tc>
          <w:tcPr>
            <w:tcW w:type="dxa" w:w="4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Burns</w:t>
            </w:r>
          </w:p>
        </w:tc>
        <w:tc>
          <w:tcPr>
            <w:tcW w:type="dxa" w:w="3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Medium</w:t>
            </w:r>
          </w:p>
        </w:tc>
      </w:tr>
    </w:tbl>
    <w:p>
      <w:pPr>
        <w:spacing w:after="10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5F8A"/>
          <w:sz w:val="26"/>
          <w:szCs w:val="26"/>
        </w:rPr>
        <w:t xml:space="preserve">4.2 Common Disease ICD Prefixes (General MedProc Support)</w:t>
      </w:r>
    </w:p>
    <w:p>
      <w:pPr>
        <w:spacing w:after="10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rPr>
          <w:tblHeader/>
        </w:trPr>
        <w:tc>
          <w:tcPr>
            <w:tcW w:type="dxa" w:w="2200"/>
            <w:tcBorders>
              <w:top w:val="single" w:color="2E5F8A" w:sz="1"/>
              <w:left w:val="single" w:color="2E5F8A" w:sz="1"/>
              <w:bottom w:val="single" w:color="2E5F8A" w:sz="1"/>
              <w:right w:val="single" w:color="2E5F8A"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2900"/>
            <w:tcBorders>
              <w:top w:val="single" w:color="2E5F8A" w:sz="1"/>
              <w:left w:val="single" w:color="2E5F8A" w:sz="1"/>
              <w:bottom w:val="single" w:color="2E5F8A" w:sz="1"/>
              <w:right w:val="single" w:color="2E5F8A"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ICD-9 Prefixes</w:t>
            </w:r>
          </w:p>
        </w:tc>
        <w:tc>
          <w:tcPr>
            <w:tcW w:type="dxa" w:w="4260"/>
            <w:tcBorders>
              <w:top w:val="single" w:color="2E5F8A" w:sz="1"/>
              <w:left w:val="single" w:color="2E5F8A" w:sz="1"/>
              <w:bottom w:val="single" w:color="2E5F8A" w:sz="1"/>
              <w:right w:val="single" w:color="2E5F8A"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Conditions Covered</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Cardiovascular</w:t>
            </w:r>
          </w:p>
        </w:tc>
        <w:tc>
          <w:tcPr>
            <w:tcW w:type="dxa" w:w="29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401-405, 410-414, 427-428</w:t>
            </w:r>
          </w:p>
        </w:tc>
        <w:tc>
          <w:tcPr>
            <w:tcW w:type="dxa" w:w="42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Hypertension, MI, Heart failure, Arrhythmia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Respiratory</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480-486, 491-493, 496</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Pneumonia, COPD, Asthma</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Endocrine</w:t>
            </w:r>
          </w:p>
        </w:tc>
        <w:tc>
          <w:tcPr>
            <w:tcW w:type="dxa" w:w="29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250, 244, 272, 278</w:t>
            </w:r>
          </w:p>
        </w:tc>
        <w:tc>
          <w:tcPr>
            <w:tcW w:type="dxa" w:w="42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Diabetes, Hypothyroidism, Obesity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Infectious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038, 041, 599</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Sepsis, Bacterial infection, UTI</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Renal</w:t>
            </w:r>
          </w:p>
        </w:tc>
        <w:tc>
          <w:tcPr>
            <w:tcW w:type="dxa" w:w="29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580-586</w:t>
            </w:r>
          </w:p>
        </w:tc>
        <w:tc>
          <w:tcPr>
            <w:tcW w:type="dxa" w:w="42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AKI, CKD, Glomerulonephritis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Gastrointestinal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531-534, 570-576</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Peptic ulcer, Liver disease, Gallbladder</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Blood</w:t>
            </w:r>
          </w:p>
        </w:tc>
        <w:tc>
          <w:tcPr>
            <w:tcW w:type="dxa" w:w="29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280-287</w:t>
            </w:r>
          </w:p>
        </w:tc>
        <w:tc>
          <w:tcPr>
            <w:tcW w:type="dxa" w:w="42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Anemias, Coagulation disorders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Neurological</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332, 340, 345, 346</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Parkinson, MS, Epilepsy, Migraine</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Cancer (general)</w:t>
            </w:r>
          </w:p>
        </w:tc>
        <w:tc>
          <w:tcPr>
            <w:tcW w:type="dxa" w:w="29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150-162, 174-189, 200-205</w:t>
            </w:r>
          </w:p>
        </w:tc>
        <w:tc>
          <w:tcPr>
            <w:tcW w:type="dxa" w:w="42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GI, Respiratory, Breast, Hematologic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Mental health</w:t>
            </w:r>
          </w:p>
        </w:tc>
        <w:tc>
          <w:tcPr>
            <w:tcW w:type="dxa" w:w="2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290-305</w:t>
            </w:r>
          </w:p>
        </w:tc>
        <w:tc>
          <w:tcPr>
            <w:tcW w:type="dxa" w:w="4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Depression, Anxiety, Substance abuse</w:t>
            </w:r>
          </w:p>
        </w:tc>
      </w:tr>
    </w:tbl>
    <w:p>
      <w:pPr>
        <w:spacing w:after="10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5F8A"/>
          <w:sz w:val="26"/>
          <w:szCs w:val="26"/>
        </w:rPr>
        <w:t xml:space="preserve">4.3 What is Excluded (Skipped)</w:t>
      </w:r>
    </w:p>
    <w:p>
      <w:pPr>
        <w:pStyle w:val="ListParagraph"/>
        <w:numPr>
          <w:ilvl w:val="0"/>
          <w:numId w:val="2"/>
        </w:numPr>
        <w:spacing w:after="60" w:before="60"/>
      </w:pPr>
      <w:r>
        <w:rPr>
          <w:rFonts w:ascii="Arial" w:cs="Arial" w:eastAsia="Arial" w:hAnsi="Arial"/>
          <w:sz w:val="22"/>
          <w:szCs w:val="22"/>
        </w:rPr>
        <w:t xml:space="preserve">Rare congenital/genetic disorders (ICD 740-759 — most)</w:t>
      </w:r>
    </w:p>
    <w:p>
      <w:pPr>
        <w:pStyle w:val="ListParagraph"/>
        <w:numPr>
          <w:ilvl w:val="0"/>
          <w:numId w:val="2"/>
        </w:numPr>
        <w:spacing w:after="60" w:before="60"/>
      </w:pPr>
      <w:r>
        <w:rPr>
          <w:rFonts w:ascii="Arial" w:cs="Arial" w:eastAsia="Arial" w:hAnsi="Arial"/>
          <w:sz w:val="22"/>
          <w:szCs w:val="22"/>
        </w:rPr>
        <w:t xml:space="preserve">Surgical complications and post-op codes (996-999)</w:t>
      </w:r>
    </w:p>
    <w:p>
      <w:pPr>
        <w:pStyle w:val="ListParagraph"/>
        <w:numPr>
          <w:ilvl w:val="0"/>
          <w:numId w:val="2"/>
        </w:numPr>
        <w:spacing w:after="60" w:before="60"/>
      </w:pPr>
      <w:r>
        <w:rPr>
          <w:rFonts w:ascii="Arial" w:cs="Arial" w:eastAsia="Arial" w:hAnsi="Arial"/>
          <w:sz w:val="22"/>
          <w:szCs w:val="22"/>
        </w:rPr>
        <w:t xml:space="preserve">Neonatal-specific conditions (760-779)</w:t>
      </w:r>
    </w:p>
    <w:p>
      <w:pPr>
        <w:pStyle w:val="ListParagraph"/>
        <w:numPr>
          <w:ilvl w:val="0"/>
          <w:numId w:val="2"/>
        </w:numPr>
        <w:spacing w:after="60" w:before="60"/>
      </w:pPr>
      <w:r>
        <w:rPr>
          <w:rFonts w:ascii="Arial" w:cs="Arial" w:eastAsia="Arial" w:hAnsi="Arial"/>
          <w:sz w:val="22"/>
          <w:szCs w:val="22"/>
        </w:rPr>
        <w:t xml:space="preserve">Administrative codes (V-codes unrelated to disease)</w:t>
      </w:r>
    </w:p>
    <w:p>
      <w:pPr>
        <w:pStyle w:val="ListParagraph"/>
        <w:numPr>
          <w:ilvl w:val="0"/>
          <w:numId w:val="2"/>
        </w:numPr>
        <w:spacing w:after="60" w:before="60"/>
      </w:pPr>
      <w:r>
        <w:rPr>
          <w:rFonts w:ascii="Arial" w:cs="Arial" w:eastAsia="Arial" w:hAnsi="Arial"/>
          <w:sz w:val="22"/>
          <w:szCs w:val="22"/>
        </w:rPr>
        <w:t xml:space="preserve">Obstetric complications (630-679) — not relevant to this system</w:t>
      </w:r>
    </w:p>
    <w:p>
      <w:pPr>
        <w:pBdr>
          <w:bottom w:val="single" w:color="DDDDDD" w:sz="4"/>
        </w:pBdr>
        <w:spacing w:after="160" w:before="160"/>
      </w:pPr>
    </w:p>
    <w:p>
      <w:pPr>
        <w:pStyle w:val="Heading1"/>
        <w:spacing w:after="200" w:before="400"/>
      </w:pPr>
      <w:r>
        <w:rPr>
          <w:rFonts w:ascii="Arial" w:cs="Arial" w:eastAsia="Arial" w:hAnsi="Arial"/>
          <w:b/>
          <w:bCs/>
          <w:color w:val="1A3A5C"/>
          <w:sz w:val="32"/>
          <w:szCs w:val="32"/>
        </w:rPr>
        <w:t xml:space="preserve">5. Dataset Pipeline</w:t>
      </w:r>
    </w:p>
    <w:p>
      <w:pPr>
        <w:spacing w:after="10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5F8A"/>
          <w:sz w:val="26"/>
          <w:szCs w:val="26"/>
        </w:rPr>
        <w:t xml:space="preserve">5.1 Source Datasets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00"/>
        <w:gridCol w:w="2200"/>
        <w:gridCol w:w="1900"/>
        <w:gridCol w:w="1220"/>
      </w:tblGrid>
      <w:tr>
        <w:trPr>
          <w:tblHeader/>
        </w:trPr>
        <w:tc>
          <w:tcPr>
            <w:tcW w:type="dxa" w:w="1440"/>
            <w:tcBorders>
              <w:top w:val="single" w:color="2E5F8A" w:sz="1"/>
              <w:left w:val="single" w:color="2E5F8A" w:sz="1"/>
              <w:bottom w:val="single" w:color="2E5F8A" w:sz="1"/>
              <w:right w:val="single" w:color="2E5F8A"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Dataset</w:t>
            </w:r>
          </w:p>
        </w:tc>
        <w:tc>
          <w:tcPr>
            <w:tcW w:type="dxa" w:w="2600"/>
            <w:tcBorders>
              <w:top w:val="single" w:color="2E5F8A" w:sz="1"/>
              <w:left w:val="single" w:color="2E5F8A" w:sz="1"/>
              <w:bottom w:val="single" w:color="2E5F8A" w:sz="1"/>
              <w:right w:val="single" w:color="2E5F8A"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 Source</w:t>
            </w:r>
          </w:p>
        </w:tc>
        <w:tc>
          <w:tcPr>
            <w:tcW w:type="dxa" w:w="2200"/>
            <w:tcBorders>
              <w:top w:val="single" w:color="2E5F8A" w:sz="1"/>
              <w:left w:val="single" w:color="2E5F8A" w:sz="1"/>
              <w:bottom w:val="single" w:color="2E5F8A" w:sz="1"/>
              <w:right w:val="single" w:color="2E5F8A"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Diagnosis Source</w:t>
            </w:r>
          </w:p>
        </w:tc>
        <w:tc>
          <w:tcPr>
            <w:tcW w:type="dxa" w:w="1900"/>
            <w:tcBorders>
              <w:top w:val="single" w:color="2E5F8A" w:sz="1"/>
              <w:left w:val="single" w:color="2E5F8A" w:sz="1"/>
              <w:bottom w:val="single" w:color="2E5F8A" w:sz="1"/>
              <w:right w:val="single" w:color="2E5F8A"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Rx Source</w:t>
            </w:r>
          </w:p>
        </w:tc>
        <w:tc>
          <w:tcPr>
            <w:tcW w:type="dxa" w:w="1220"/>
            <w:tcBorders>
              <w:top w:val="single" w:color="2E5F8A" w:sz="1"/>
              <w:left w:val="single" w:color="2E5F8A" w:sz="1"/>
              <w:bottom w:val="single" w:color="2E5F8A" w:sz="1"/>
              <w:right w:val="single" w:color="2E5F8A"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ICD Type</w:t>
            </w:r>
          </w:p>
        </w:tc>
      </w:tr>
      <w:tr>
        <w:tc>
          <w:tcPr>
            <w:tcW w:type="dxa" w:w="144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MIMIC-III</w:t>
            </w:r>
          </w:p>
        </w:tc>
        <w:tc>
          <w:tcPr>
            <w:tcW w:type="dxa" w:w="2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NOTEEVENTS.csv (Discharge summary)</w:t>
            </w:r>
          </w:p>
        </w:tc>
        <w:tc>
          <w:tcPr>
            <w:tcW w:type="dxa" w:w="2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DIAGNOSES_ICD.csv</w:t>
            </w:r>
          </w:p>
        </w:tc>
        <w:tc>
          <w:tcPr>
            <w:tcW w:type="dxa" w:w="19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PRESCRIPTIONS.csv</w:t>
            </w:r>
          </w:p>
        </w:tc>
        <w:tc>
          <w:tcPr>
            <w:tcW w:type="dxa" w:w="12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ICD-9 codes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MIMIC-IV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discharge.csv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diagnoses_icd.csv</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prescriptions.csv</w:t>
            </w:r>
          </w:p>
        </w:tc>
        <w:tc>
          <w:tcPr>
            <w:tcW w:type="dxa" w:w="12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ICD-10 (mapped)</w:t>
            </w:r>
          </w:p>
        </w:tc>
      </w:tr>
      <w:tr>
        <w:tc>
          <w:tcPr>
            <w:tcW w:type="dxa" w:w="144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eICU</w:t>
            </w:r>
          </w:p>
        </w:tc>
        <w:tc>
          <w:tcPr>
            <w:tcW w:type="dxa" w:w="2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note.csv</w:t>
            </w:r>
          </w:p>
        </w:tc>
        <w:tc>
          <w:tcPr>
            <w:tcW w:type="dxa" w:w="2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diagnosis.csv (free text)</w:t>
            </w:r>
          </w:p>
        </w:tc>
        <w:tc>
          <w:tcPr>
            <w:tcW w:type="dxa" w:w="19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medication.csv</w:t>
            </w:r>
          </w:p>
        </w:tc>
        <w:tc>
          <w:tcPr>
            <w:tcW w:type="dxa" w:w="122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Free text — keyword filter</w:t>
            </w:r>
          </w:p>
        </w:tc>
      </w:tr>
    </w:tbl>
    <w:p>
      <w:pPr>
        <w:spacing w:after="10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5F8A"/>
          <w:sz w:val="26"/>
          <w:szCs w:val="26"/>
        </w:rPr>
        <w:t xml:space="preserve">5.2 Key Improvements Over Original Notebook</w:t>
      </w:r>
    </w:p>
    <w:p>
      <w:pPr>
        <w:pStyle w:val="ListParagraph"/>
        <w:numPr>
          <w:ilvl w:val="0"/>
          <w:numId w:val="2"/>
        </w:numPr>
        <w:spacing w:after="60" w:before="60"/>
      </w:pPr>
      <w:r>
        <w:rPr>
          <w:rFonts w:ascii="Arial" w:cs="Arial" w:eastAsia="Arial" w:hAnsi="Arial"/>
          <w:sz w:val="22"/>
          <w:szCs w:val="22"/>
        </w:rPr>
        <w:t xml:space="preserve">Smart truncation: extracts Assessment/Plan section before clipping at 3000 chars — preserves clinically richest content</w:t>
      </w:r>
    </w:p>
    <w:p>
      <w:pPr>
        <w:pStyle w:val="ListParagraph"/>
        <w:numPr>
          <w:ilvl w:val="0"/>
          <w:numId w:val="2"/>
        </w:numPr>
        <w:spacing w:after="60" w:before="60"/>
      </w:pPr>
      <w:r>
        <w:rPr>
          <w:rFonts w:ascii="Arial" w:cs="Arial" w:eastAsia="Arial" w:hAnsi="Arial"/>
          <w:sz w:val="22"/>
          <w:szCs w:val="22"/>
        </w:rPr>
        <w:t xml:space="preserve">ICD whitelist filter applied BEFORE merge — reduces Dask memory pressure significantly</w:t>
      </w:r>
    </w:p>
    <w:p>
      <w:pPr>
        <w:pStyle w:val="ListParagraph"/>
        <w:numPr>
          <w:ilvl w:val="0"/>
          <w:numId w:val="2"/>
        </w:numPr>
        <w:spacing w:after="60" w:before="60"/>
      </w:pPr>
      <w:r>
        <w:rPr>
          <w:rFonts w:ascii="Arial" w:cs="Arial" w:eastAsia="Arial" w:hAnsi="Arial"/>
          <w:sz w:val="22"/>
          <w:szCs w:val="22"/>
        </w:rPr>
        <w:t xml:space="preserve">eICU uses keyword-based relevance filter since diagnosisstring is free text (not ICD codes)</w:t>
      </w:r>
    </w:p>
    <w:p>
      <w:pPr>
        <w:pStyle w:val="ListParagraph"/>
        <w:numPr>
          <w:ilvl w:val="0"/>
          <w:numId w:val="2"/>
        </w:numPr>
        <w:spacing w:after="60" w:before="60"/>
      </w:pPr>
      <w:r>
        <w:rPr>
          <w:rFonts w:ascii="Arial" w:cs="Arial" w:eastAsia="Arial" w:hAnsi="Arial"/>
          <w:sz w:val="22"/>
          <w:szCs w:val="22"/>
        </w:rPr>
        <w:t xml:space="preserve">Drug lists are deduplicated within each admission</w:t>
      </w:r>
    </w:p>
    <w:p>
      <w:pPr>
        <w:pStyle w:val="ListParagraph"/>
        <w:numPr>
          <w:ilvl w:val="0"/>
          <w:numId w:val="2"/>
        </w:numPr>
        <w:spacing w:after="60" w:before="60"/>
      </w:pPr>
      <w:r>
        <w:rPr>
          <w:rFonts w:ascii="Arial" w:cs="Arial" w:eastAsia="Arial" w:hAnsi="Arial"/>
          <w:sz w:val="22"/>
          <w:szCs w:val="22"/>
        </w:rPr>
        <w:t xml:space="preserve">note_length column added before truncation for downstream coverage analysis</w:t>
      </w:r>
    </w:p>
    <w:p>
      <w:pPr>
        <w:pStyle w:val="ListParagraph"/>
        <w:numPr>
          <w:ilvl w:val="0"/>
          <w:numId w:val="2"/>
        </w:numPr>
        <w:spacing w:after="60" w:before="60"/>
      </w:pPr>
      <w:r>
        <w:rPr>
          <w:rFonts w:ascii="Arial" w:cs="Arial" w:eastAsia="Arial" w:hAnsi="Arial"/>
          <w:sz w:val="22"/>
          <w:szCs w:val="22"/>
        </w:rPr>
        <w:t xml:space="preserve">Text length minimum filter (&gt;50 chars) removes empty/corrupted records</w:t>
      </w:r>
    </w:p>
    <w:p>
      <w:pPr>
        <w:pStyle w:val="ListParagraph"/>
        <w:numPr>
          <w:ilvl w:val="0"/>
          <w:numId w:val="2"/>
        </w:numPr>
        <w:spacing w:after="60" w:before="60"/>
      </w:pPr>
      <w:r>
        <w:rPr>
          <w:rFonts w:ascii="Arial" w:cs="Arial" w:eastAsia="Arial" w:hAnsi="Arial"/>
          <w:sz w:val="22"/>
          <w:szCs w:val="22"/>
        </w:rPr>
        <w:t xml:space="preserve">Inner join instead of left join for diagnosis merge — ensures all records have a relevant ICD code</w:t>
      </w:r>
    </w:p>
    <w:p>
      <w:pPr>
        <w:spacing w:after="10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5F8A"/>
          <w:sz w:val="26"/>
          <w:szCs w:val="26"/>
        </w:rPr>
        <w:t xml:space="preserve">5.3 Smart Truncation Logic</w:t>
      </w:r>
    </w:p>
    <w:p>
      <w:pPr>
        <w:spacing w:after="100" w:before="80"/>
      </w:pPr>
      <w:r>
        <w:rPr>
          <w:rFonts w:ascii="Arial" w:cs="Arial" w:eastAsia="Arial" w:hAnsi="Arial"/>
          <w:sz w:val="22"/>
          <w:szCs w:val="22"/>
        </w:rPr>
        <w:t xml:space="preserve">The original notebook clips all text at position 0:3000 chars, which often cuts off the most clinically important "Assessment and Plan" section that appears at the end of discharge summaries.</w:t>
      </w:r>
    </w:p>
    <w:p>
      <w:pPr>
        <w:spacing w:after="100" w:before="80"/>
      </w:pPr>
      <w:r>
        <w:rPr>
          <w:rFonts w:ascii="Arial" w:cs="Arial" w:eastAsia="Arial" w:hAnsi="Arial"/>
          <w:sz w:val="22"/>
          <w:szCs w:val="22"/>
        </w:rPr>
        <w:t xml:space="preserve">The improved logic:</w:t>
      </w:r>
    </w:p>
    <w:p>
      <w:pPr>
        <w:pStyle w:val="ListParagraph"/>
        <w:numPr>
          <w:ilvl w:val="0"/>
          <w:numId w:val="2"/>
        </w:numPr>
        <w:spacing w:after="60" w:before="60"/>
      </w:pPr>
      <w:r>
        <w:rPr>
          <w:rFonts w:ascii="Arial" w:cs="Arial" w:eastAsia="Arial" w:hAnsi="Arial"/>
          <w:sz w:val="22"/>
          <w:szCs w:val="22"/>
        </w:rPr>
        <w:t xml:space="preserve">Search for section headers: "Assessment and Plan", "Impression and Plan", "Hospital Course", "Discharge Diagnosis"</w:t>
      </w:r>
    </w:p>
    <w:p>
      <w:pPr>
        <w:pStyle w:val="ListParagraph"/>
        <w:numPr>
          <w:ilvl w:val="0"/>
          <w:numId w:val="2"/>
        </w:numPr>
        <w:spacing w:after="60" w:before="60"/>
      </w:pPr>
      <w:r>
        <w:rPr>
          <w:rFonts w:ascii="Arial" w:cs="Arial" w:eastAsia="Arial" w:hAnsi="Arial"/>
          <w:sz w:val="22"/>
          <w:szCs w:val="22"/>
        </w:rPr>
        <w:t xml:space="preserve">If found, extract from that section header onward (up to 3000 chars)</w:t>
      </w:r>
    </w:p>
    <w:p>
      <w:pPr>
        <w:pStyle w:val="ListParagraph"/>
        <w:numPr>
          <w:ilvl w:val="0"/>
          <w:numId w:val="2"/>
        </w:numPr>
        <w:spacing w:after="60" w:before="60"/>
      </w:pPr>
      <w:r>
        <w:rPr>
          <w:rFonts w:ascii="Arial" w:cs="Arial" w:eastAsia="Arial" w:hAnsi="Arial"/>
          <w:sz w:val="22"/>
          <w:szCs w:val="22"/>
        </w:rPr>
        <w:t xml:space="preserve">If not found, take the last 3000 chars (plan is usually at the end)</w:t>
      </w:r>
    </w:p>
    <w:p>
      <w:pPr>
        <w:pBdr>
          <w:bottom w:val="single" w:color="DDDDDD" w:sz="4"/>
        </w:pBdr>
        <w:spacing w:after="160" w:before="160"/>
      </w:pPr>
    </w:p>
    <w:p>
      <w:pPr>
        <w:pStyle w:val="Heading1"/>
        <w:spacing w:after="200" w:before="400"/>
      </w:pPr>
      <w:r>
        <w:rPr>
          <w:rFonts w:ascii="Arial" w:cs="Arial" w:eastAsia="Arial" w:hAnsi="Arial"/>
          <w:b/>
          <w:bCs/>
          <w:color w:val="1A3A5C"/>
          <w:sz w:val="32"/>
          <w:szCs w:val="32"/>
        </w:rPr>
        <w:t xml:space="preserve">6. Symptom Extraction &amp; Evolution (E) Derivation</w:t>
      </w:r>
    </w:p>
    <w:p>
      <w:pPr>
        <w:spacing w:after="100" w:before="80"/>
      </w:pPr>
      <w:r>
        <w:rPr>
          <w:rFonts w:ascii="Arial" w:cs="Arial" w:eastAsia="Arial" w:hAnsi="Arial"/>
          <w:sz w:val="22"/>
          <w:szCs w:val="22"/>
        </w:rPr>
        <w:t xml:space="preserve">The Evolution (E) component of ABCDE is derived from MedProc symptom analysis. This is the only ABCDE component computed from text rather than image data.</w:t>
      </w:r>
    </w:p>
    <w:p>
      <w:pPr>
        <w:spacing w:after="10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5F8A"/>
          <w:sz w:val="26"/>
          <w:szCs w:val="26"/>
        </w:rPr>
        <w:t xml:space="preserve">6.1 Symptom Keyword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2E5F8A" w:sz="1"/>
              <w:left w:val="single" w:color="2E5F8A" w:sz="1"/>
              <w:bottom w:val="single" w:color="2E5F8A" w:sz="1"/>
              <w:right w:val="single" w:color="2E5F8A"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w:t>
            </w:r>
          </w:p>
        </w:tc>
        <w:tc>
          <w:tcPr>
            <w:tcW w:type="dxa" w:w="4400"/>
            <w:tcBorders>
              <w:top w:val="single" w:color="2E5F8A" w:sz="1"/>
              <w:left w:val="single" w:color="2E5F8A" w:sz="1"/>
              <w:bottom w:val="single" w:color="2E5F8A" w:sz="1"/>
              <w:right w:val="single" w:color="2E5F8A"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Keywords (Examples)</w:t>
            </w:r>
          </w:p>
        </w:tc>
        <w:tc>
          <w:tcPr>
            <w:tcW w:type="dxa" w:w="2760"/>
            <w:tcBorders>
              <w:top w:val="single" w:color="2E5F8A" w:sz="1"/>
              <w:left w:val="single" w:color="2E5F8A" w:sz="1"/>
              <w:bottom w:val="single" w:color="2E5F8A" w:sz="1"/>
              <w:right w:val="single" w:color="2E5F8A"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E-Component Weight</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Temporal signals</w:t>
            </w:r>
          </w:p>
        </w:tc>
        <w:tc>
          <w:tcPr>
            <w:tcW w:type="dxa" w:w="4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weeks, months, years, sudden onset, gradual</w:t>
            </w:r>
          </w:p>
        </w:tc>
        <w:tc>
          <w:tcPr>
            <w:tcW w:type="dxa" w:w="2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40%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Progression signals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growing, spreading, increasing, enlarging, worsening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40%</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Skin change signals</w:t>
            </w:r>
          </w:p>
        </w:tc>
        <w:tc>
          <w:tcPr>
            <w:tcW w:type="dxa" w:w="4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bleeding, itching, color change, oozing, darkening</w:t>
            </w:r>
          </w:p>
        </w:tc>
        <w:tc>
          <w:tcPr>
            <w:tcW w:type="dxa" w:w="2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General symptoms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fever, fatigue, dyspnea, edema, chest pain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Context only</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Skin morphology</w:t>
            </w:r>
          </w:p>
        </w:tc>
        <w:tc>
          <w:tcPr>
            <w:tcW w:type="dxa" w:w="4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erythema, vesicle, papule, plaque, nodule, pustule</w:t>
            </w:r>
          </w:p>
        </w:tc>
        <w:tc>
          <w:tcPr>
            <w:tcW w:type="dxa" w:w="2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Context only</w:t>
            </w:r>
          </w:p>
        </w:tc>
      </w:tr>
    </w:tbl>
    <w:p>
      <w:pPr>
        <w:spacing w:after="10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5F8A"/>
          <w:sz w:val="26"/>
          <w:szCs w:val="26"/>
        </w:rPr>
        <w:t xml:space="preserve">6.2 Evolution Score Formula</w:t>
      </w:r>
    </w:p>
    <w:p>
      <w:pPr>
        <w:spacing w:after="100" w:before="80"/>
      </w:pPr>
      <w:r>
        <w:rPr>
          <w:rFonts w:ascii="Arial" w:cs="Arial" w:eastAsia="Arial" w:hAnsi="Arial"/>
          <w:sz w:val="22"/>
          <w:szCs w:val="22"/>
        </w:rPr>
        <w:t xml:space="preserve">E_score = 0.4 * min(1, temporal_count) + 0.4 * min(1, progression_count) + 0.2 * min(1, skin_change_count)</w:t>
      </w:r>
    </w:p>
    <w:p>
      <w:pPr>
        <w:spacing w:after="100" w:before="8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sz w:val="22"/>
          <w:szCs w:val="22"/>
        </w:rPr>
        <w:t xml:space="preserve">E_score &gt; 0.6 → High evolution concern (flag for urgent clinician review)</w:t>
      </w:r>
    </w:p>
    <w:p>
      <w:pPr>
        <w:pStyle w:val="ListParagraph"/>
        <w:numPr>
          <w:ilvl w:val="0"/>
          <w:numId w:val="2"/>
        </w:numPr>
        <w:spacing w:after="60" w:before="60"/>
      </w:pPr>
      <w:r>
        <w:rPr>
          <w:rFonts w:ascii="Arial" w:cs="Arial" w:eastAsia="Arial" w:hAnsi="Arial"/>
          <w:sz w:val="22"/>
          <w:szCs w:val="22"/>
        </w:rPr>
        <w:t xml:space="preserve">E_score 0.3–0.6 → Moderate evolution signals</w:t>
      </w:r>
    </w:p>
    <w:p>
      <w:pPr>
        <w:pStyle w:val="ListParagraph"/>
        <w:numPr>
          <w:ilvl w:val="0"/>
          <w:numId w:val="2"/>
        </w:numPr>
        <w:spacing w:after="60" w:before="60"/>
      </w:pPr>
      <w:r>
        <w:rPr>
          <w:rFonts w:ascii="Arial" w:cs="Arial" w:eastAsia="Arial" w:hAnsi="Arial"/>
          <w:sz w:val="22"/>
          <w:szCs w:val="22"/>
        </w:rPr>
        <w:t xml:space="preserve">E_score &lt; 0.3 → Low evolution indicators</w:t>
      </w:r>
    </w:p>
    <w:p>
      <w:pPr>
        <w:pBdr>
          <w:bottom w:val="single" w:color="DDDDDD" w:sz="4"/>
        </w:pBdr>
        <w:spacing w:after="160" w:before="160"/>
      </w:pPr>
    </w:p>
    <w:p>
      <w:pPr>
        <w:pStyle w:val="Heading1"/>
        <w:spacing w:after="200" w:before="400"/>
      </w:pPr>
      <w:r>
        <w:rPr>
          <w:rFonts w:ascii="Arial" w:cs="Arial" w:eastAsia="Arial" w:hAnsi="Arial"/>
          <w:b/>
          <w:bCs/>
          <w:color w:val="1A3A5C"/>
          <w:sz w:val="32"/>
          <w:szCs w:val="32"/>
        </w:rPr>
        <w:t xml:space="preserve">7. MedProc Output JSON Schema</w:t>
      </w:r>
    </w:p>
    <w:p>
      <w:pPr>
        <w:spacing w:after="100" w:before="80"/>
      </w:pPr>
      <w:r>
        <w:rPr>
          <w:rFonts w:ascii="Arial" w:cs="Arial" w:eastAsia="Arial" w:hAnsi="Arial"/>
          <w:sz w:val="22"/>
          <w:szCs w:val="22"/>
        </w:rPr>
        <w:t xml:space="preserve">The output is a structured JSON passed to the IT-Fusion stage for ABCDE scoring and risk assessment.</w:t>
      </w:r>
    </w:p>
    <w:p>
      <w:pPr>
        <w:spacing w:after="10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5F8A"/>
          <w:sz w:val="26"/>
          <w:szCs w:val="26"/>
        </w:rPr>
        <w:t xml:space="preserve">7.1 Schema</w:t>
      </w:r>
    </w:p>
    <w:p>
      <w:pPr>
        <w:spacing w:after="60" w:before="60"/>
        <w:ind w:left="720"/>
      </w:pPr>
      <w:r>
        <w:rPr>
          <w:rFonts w:ascii="Courier New" w:cs="Courier New" w:eastAsia="Courier New" w:hAnsi="Courier New"/>
          <w:color w:val="1E3A5F"/>
          <w:sz w:val="18"/>
          <w:szCs w:val="18"/>
        </w:rPr>
        <w:t xml:space="preserve">{</w:t>
      </w:r>
    </w:p>
    <w:p>
      <w:pPr>
        <w:spacing w:after="60" w:before="60"/>
        <w:ind w:left="720"/>
      </w:pPr>
      <w:r>
        <w:rPr>
          <w:rFonts w:ascii="Courier New" w:cs="Courier New" w:eastAsia="Courier New" w:hAnsi="Courier New"/>
          <w:color w:val="1E3A5F"/>
          <w:sz w:val="18"/>
          <w:szCs w:val="18"/>
        </w:rPr>
        <w:t xml:space="preserve">  "medproc_version": "1.0",</w:t>
      </w:r>
    </w:p>
    <w:p>
      <w:pPr>
        <w:spacing w:after="60" w:before="60"/>
        <w:ind w:left="720"/>
      </w:pPr>
      <w:r>
        <w:rPr>
          <w:rFonts w:ascii="Courier New" w:cs="Courier New" w:eastAsia="Courier New" w:hAnsi="Courier New"/>
          <w:color w:val="1E3A5F"/>
          <w:sz w:val="18"/>
          <w:szCs w:val="18"/>
        </w:rPr>
        <w:t xml:space="preserve">  "patient": {</w:t>
      </w:r>
    </w:p>
    <w:p>
      <w:pPr>
        <w:spacing w:after="60" w:before="60"/>
        <w:ind w:left="720"/>
      </w:pPr>
      <w:r>
        <w:rPr>
          <w:rFonts w:ascii="Courier New" w:cs="Courier New" w:eastAsia="Courier New" w:hAnsi="Courier New"/>
          <w:color w:val="1E3A5F"/>
          <w:sz w:val="18"/>
          <w:szCs w:val="18"/>
        </w:rPr>
        <w:t xml:space="preserve">    "gender": "M | F | unknown"</w:t>
      </w:r>
    </w:p>
    <w:p>
      <w:pPr>
        <w:spacing w:after="60" w:before="60"/>
        <w:ind w:left="720"/>
      </w:pPr>
      <w:r>
        <w:rPr>
          <w:rFonts w:ascii="Courier New" w:cs="Courier New" w:eastAsia="Courier New" w:hAnsi="Courier New"/>
          <w:color w:val="1E3A5F"/>
          <w:sz w:val="18"/>
          <w:szCs w:val="18"/>
        </w:rPr>
        <w:t xml:space="preserve">  },</w:t>
      </w:r>
    </w:p>
    <w:p>
      <w:pPr>
        <w:spacing w:after="60" w:before="60"/>
        <w:ind w:left="720"/>
      </w:pPr>
      <w:r>
        <w:rPr>
          <w:rFonts w:ascii="Courier New" w:cs="Courier New" w:eastAsia="Courier New" w:hAnsi="Courier New"/>
          <w:color w:val="1E3A5F"/>
          <w:sz w:val="18"/>
          <w:szCs w:val="18"/>
        </w:rPr>
        <w:t xml:space="preserve">  "diagnoses": [</w:t>
      </w:r>
    </w:p>
    <w:p>
      <w:pPr>
        <w:spacing w:after="60" w:before="60"/>
        <w:ind w:left="720"/>
      </w:pPr>
      <w:r>
        <w:rPr>
          <w:rFonts w:ascii="Courier New" w:cs="Courier New" w:eastAsia="Courier New" w:hAnsi="Courier New"/>
          <w:color w:val="1E3A5F"/>
          <w:sz w:val="18"/>
          <w:szCs w:val="18"/>
        </w:rPr>
        <w:t xml:space="preserve">    { "icd_prefix": "172", "confidence": 0.87 }</w:t>
      </w:r>
    </w:p>
    <w:p>
      <w:pPr>
        <w:spacing w:after="60" w:before="60"/>
        <w:ind w:left="720"/>
      </w:pPr>
      <w:r>
        <w:rPr>
          <w:rFonts w:ascii="Courier New" w:cs="Courier New" w:eastAsia="Courier New" w:hAnsi="Courier New"/>
          <w:color w:val="1E3A5F"/>
          <w:sz w:val="18"/>
          <w:szCs w:val="18"/>
        </w:rPr>
        <w:t xml:space="preserve">  ],</w:t>
      </w:r>
    </w:p>
    <w:p>
      <w:pPr>
        <w:spacing w:after="60" w:before="60"/>
        <w:ind w:left="720"/>
      </w:pPr>
      <w:r>
        <w:rPr>
          <w:rFonts w:ascii="Courier New" w:cs="Courier New" w:eastAsia="Courier New" w:hAnsi="Courier New"/>
          <w:color w:val="1E3A5F"/>
          <w:sz w:val="18"/>
          <w:szCs w:val="18"/>
        </w:rPr>
        <w:t xml:space="preserve">  "drug_presence": {</w:t>
      </w:r>
    </w:p>
    <w:p>
      <w:pPr>
        <w:spacing w:after="60" w:before="60"/>
        <w:ind w:left="720"/>
      </w:pPr>
      <w:r>
        <w:rPr>
          <w:rFonts w:ascii="Courier New" w:cs="Courier New" w:eastAsia="Courier New" w:hAnsi="Courier New"/>
          <w:color w:val="1E3A5F"/>
          <w:sz w:val="18"/>
          <w:szCs w:val="18"/>
        </w:rPr>
        <w:t xml:space="preserve">    "has_medication_info": true,</w:t>
      </w:r>
    </w:p>
    <w:p>
      <w:pPr>
        <w:spacing w:after="60" w:before="60"/>
        <w:ind w:left="720"/>
      </w:pPr>
      <w:r>
        <w:rPr>
          <w:rFonts w:ascii="Courier New" w:cs="Courier New" w:eastAsia="Courier New" w:hAnsi="Courier New"/>
          <w:color w:val="1E3A5F"/>
          <w:sz w:val="18"/>
          <w:szCs w:val="18"/>
        </w:rPr>
        <w:t xml:space="preserve">    "confidence": 0.91</w:t>
      </w:r>
    </w:p>
    <w:p>
      <w:pPr>
        <w:spacing w:after="60" w:before="60"/>
        <w:ind w:left="720"/>
      </w:pPr>
      <w:r>
        <w:rPr>
          <w:rFonts w:ascii="Courier New" w:cs="Courier New" w:eastAsia="Courier New" w:hAnsi="Courier New"/>
          <w:color w:val="1E3A5F"/>
          <w:sz w:val="18"/>
          <w:szCs w:val="18"/>
        </w:rPr>
        <w:t xml:space="preserve">  },</w:t>
      </w:r>
    </w:p>
    <w:p>
      <w:pPr>
        <w:spacing w:after="60" w:before="60"/>
        <w:ind w:left="720"/>
      </w:pPr>
      <w:r>
        <w:rPr>
          <w:rFonts w:ascii="Courier New" w:cs="Courier New" w:eastAsia="Courier New" w:hAnsi="Courier New"/>
          <w:color w:val="1E3A5F"/>
          <w:sz w:val="18"/>
          <w:szCs w:val="18"/>
        </w:rPr>
        <w:t xml:space="preserve">  "symptoms": {</w:t>
      </w:r>
    </w:p>
    <w:p>
      <w:pPr>
        <w:spacing w:after="60" w:before="60"/>
        <w:ind w:left="720"/>
      </w:pPr>
      <w:r>
        <w:rPr>
          <w:rFonts w:ascii="Courier New" w:cs="Courier New" w:eastAsia="Courier New" w:hAnsi="Courier New"/>
          <w:color w:val="1E3A5F"/>
          <w:sz w:val="18"/>
          <w:szCs w:val="18"/>
        </w:rPr>
        <w:t xml:space="preserve">    "all_detected": ["growing", "itching", "months"],</w:t>
      </w:r>
    </w:p>
    <w:p>
      <w:pPr>
        <w:spacing w:after="60" w:before="60"/>
        <w:ind w:left="720"/>
      </w:pPr>
      <w:r>
        <w:rPr>
          <w:rFonts w:ascii="Courier New" w:cs="Courier New" w:eastAsia="Courier New" w:hAnsi="Courier New"/>
          <w:color w:val="1E3A5F"/>
          <w:sz w:val="18"/>
          <w:szCs w:val="18"/>
        </w:rPr>
        <w:t xml:space="preserve">    "count": 3</w:t>
      </w:r>
    </w:p>
    <w:p>
      <w:pPr>
        <w:spacing w:after="60" w:before="60"/>
        <w:ind w:left="720"/>
      </w:pPr>
      <w:r>
        <w:rPr>
          <w:rFonts w:ascii="Courier New" w:cs="Courier New" w:eastAsia="Courier New" w:hAnsi="Courier New"/>
          <w:color w:val="1E3A5F"/>
          <w:sz w:val="18"/>
          <w:szCs w:val="18"/>
        </w:rPr>
        <w:t xml:space="preserve">  },</w:t>
      </w:r>
    </w:p>
    <w:p>
      <w:pPr>
        <w:spacing w:after="60" w:before="60"/>
        <w:ind w:left="720"/>
      </w:pPr>
      <w:r>
        <w:rPr>
          <w:rFonts w:ascii="Courier New" w:cs="Courier New" w:eastAsia="Courier New" w:hAnsi="Courier New"/>
          <w:color w:val="1E3A5F"/>
          <w:sz w:val="18"/>
          <w:szCs w:val="18"/>
        </w:rPr>
        <w:t xml:space="preserve">  "evolution_E": {</w:t>
      </w:r>
    </w:p>
    <w:p>
      <w:pPr>
        <w:spacing w:after="60" w:before="60"/>
        <w:ind w:left="720"/>
      </w:pPr>
      <w:r>
        <w:rPr>
          <w:rFonts w:ascii="Courier New" w:cs="Courier New" w:eastAsia="Courier New" w:hAnsi="Courier New"/>
          <w:color w:val="1E3A5F"/>
          <w:sz w:val="18"/>
          <w:szCs w:val="18"/>
        </w:rPr>
        <w:t xml:space="preserve">    "score": 0.72,</w:t>
      </w:r>
    </w:p>
    <w:p>
      <w:pPr>
        <w:spacing w:after="60" w:before="60"/>
        <w:ind w:left="720"/>
      </w:pPr>
      <w:r>
        <w:rPr>
          <w:rFonts w:ascii="Courier New" w:cs="Courier New" w:eastAsia="Courier New" w:hAnsi="Courier New"/>
          <w:color w:val="1E3A5F"/>
          <w:sz w:val="18"/>
          <w:szCs w:val="18"/>
        </w:rPr>
        <w:t xml:space="preserve">    "signals": {</w:t>
      </w:r>
    </w:p>
    <w:p>
      <w:pPr>
        <w:spacing w:after="60" w:before="60"/>
        <w:ind w:left="720"/>
      </w:pPr>
      <w:r>
        <w:rPr>
          <w:rFonts w:ascii="Courier New" w:cs="Courier New" w:eastAsia="Courier New" w:hAnsi="Courier New"/>
          <w:color w:val="1E3A5F"/>
          <w:sz w:val="18"/>
          <w:szCs w:val="18"/>
        </w:rPr>
        <w:t xml:space="preserve">      "temporal_keywords": ["months"],</w:t>
      </w:r>
    </w:p>
    <w:p>
      <w:pPr>
        <w:spacing w:after="60" w:before="60"/>
        <w:ind w:left="720"/>
      </w:pPr>
      <w:r>
        <w:rPr>
          <w:rFonts w:ascii="Courier New" w:cs="Courier New" w:eastAsia="Courier New" w:hAnsi="Courier New"/>
          <w:color w:val="1E3A5F"/>
          <w:sz w:val="18"/>
          <w:szCs w:val="18"/>
        </w:rPr>
        <w:t xml:space="preserve">      "progression_keywords": ["growing", "spreading"],</w:t>
      </w:r>
    </w:p>
    <w:p>
      <w:pPr>
        <w:spacing w:after="60" w:before="60"/>
        <w:ind w:left="720"/>
      </w:pPr>
      <w:r>
        <w:rPr>
          <w:rFonts w:ascii="Courier New" w:cs="Courier New" w:eastAsia="Courier New" w:hAnsi="Courier New"/>
          <w:color w:val="1E3A5F"/>
          <w:sz w:val="18"/>
          <w:szCs w:val="18"/>
        </w:rPr>
        <w:t xml:space="preserve">      "skin_change_keywords": ["itching", "bleeding"]</w:t>
      </w:r>
    </w:p>
    <w:p>
      <w:pPr>
        <w:spacing w:after="60" w:before="60"/>
        <w:ind w:left="720"/>
      </w:pPr>
      <w:r>
        <w:rPr>
          <w:rFonts w:ascii="Courier New" w:cs="Courier New" w:eastAsia="Courier New" w:hAnsi="Courier New"/>
          <w:color w:val="1E3A5F"/>
          <w:sz w:val="18"/>
          <w:szCs w:val="18"/>
        </w:rPr>
        <w:t xml:space="preserve">    },</w:t>
      </w:r>
    </w:p>
    <w:p>
      <w:pPr>
        <w:spacing w:after="60" w:before="60"/>
        <w:ind w:left="720"/>
      </w:pPr>
      <w:r>
        <w:rPr>
          <w:rFonts w:ascii="Courier New" w:cs="Courier New" w:eastAsia="Courier New" w:hAnsi="Courier New"/>
          <w:color w:val="1E3A5F"/>
          <w:sz w:val="18"/>
          <w:szCs w:val="18"/>
        </w:rPr>
        <w:t xml:space="preserve">    "reasoning": "High evolution concern"</w:t>
      </w:r>
    </w:p>
    <w:p>
      <w:pPr>
        <w:spacing w:after="60" w:before="60"/>
        <w:ind w:left="720"/>
      </w:pPr>
      <w:r>
        <w:rPr>
          <w:rFonts w:ascii="Courier New" w:cs="Courier New" w:eastAsia="Courier New" w:hAnsi="Courier New"/>
          <w:color w:val="1E3A5F"/>
          <w:sz w:val="18"/>
          <w:szCs w:val="18"/>
        </w:rPr>
        <w:t xml:space="preserve">  },</w:t>
      </w:r>
    </w:p>
    <w:p>
      <w:pPr>
        <w:spacing w:after="60" w:before="60"/>
        <w:ind w:left="720"/>
      </w:pPr>
      <w:r>
        <w:rPr>
          <w:rFonts w:ascii="Courier New" w:cs="Courier New" w:eastAsia="Courier New" w:hAnsi="Courier New"/>
          <w:color w:val="1E3A5F"/>
          <w:sz w:val="18"/>
          <w:szCs w:val="18"/>
        </w:rPr>
        <w:t xml:space="preserve">  "provenance": {</w:t>
      </w:r>
    </w:p>
    <w:p>
      <w:pPr>
        <w:spacing w:after="60" w:before="60"/>
        <w:ind w:left="720"/>
      </w:pPr>
      <w:r>
        <w:rPr>
          <w:rFonts w:ascii="Courier New" w:cs="Courier New" w:eastAsia="Courier New" w:hAnsi="Courier New"/>
          <w:color w:val="1E3A5F"/>
          <w:sz w:val="18"/>
          <w:szCs w:val="18"/>
        </w:rPr>
        <w:t xml:space="preserve">    "model": "Bio_ClinicalBERT-MedProc-MultiTask",</w:t>
      </w:r>
    </w:p>
    <w:p>
      <w:pPr>
        <w:spacing w:after="60" w:before="60"/>
        <w:ind w:left="720"/>
      </w:pPr>
      <w:r>
        <w:rPr>
          <w:rFonts w:ascii="Courier New" w:cs="Courier New" w:eastAsia="Courier New" w:hAnsi="Courier New"/>
          <w:color w:val="1E3A5F"/>
          <w:sz w:val="18"/>
          <w:szCs w:val="18"/>
        </w:rPr>
        <w:t xml:space="preserve">    "truncation_applied": false,</w:t>
      </w:r>
    </w:p>
    <w:p>
      <w:pPr>
        <w:spacing w:after="60" w:before="60"/>
        <w:ind w:left="720"/>
      </w:pPr>
      <w:r>
        <w:rPr>
          <w:rFonts w:ascii="Courier New" w:cs="Courier New" w:eastAsia="Courier New" w:hAnsi="Courier New"/>
          <w:color w:val="1E3A5F"/>
          <w:sz w:val="18"/>
          <w:szCs w:val="18"/>
        </w:rPr>
        <w:t xml:space="preserve">    "input_length": 820</w:t>
      </w:r>
    </w:p>
    <w:p>
      <w:pPr>
        <w:spacing w:after="60" w:before="60"/>
        <w:ind w:left="720"/>
      </w:pPr>
      <w:r>
        <w:rPr>
          <w:rFonts w:ascii="Courier New" w:cs="Courier New" w:eastAsia="Courier New" w:hAnsi="Courier New"/>
          <w:color w:val="1E3A5F"/>
          <w:sz w:val="18"/>
          <w:szCs w:val="18"/>
        </w:rPr>
        <w:t xml:space="preserve">  }</w:t>
      </w:r>
    </w:p>
    <w:p>
      <w:pPr>
        <w:spacing w:after="60" w:before="60"/>
        <w:ind w:left="720"/>
      </w:pPr>
      <w:r>
        <w:rPr>
          <w:rFonts w:ascii="Courier New" w:cs="Courier New" w:eastAsia="Courier New" w:hAnsi="Courier New"/>
          <w:color w:val="1E3A5F"/>
          <w:sz w:val="18"/>
          <w:szCs w:val="18"/>
        </w:rPr>
        <w:t xml:space="preserve">}</w:t>
      </w:r>
    </w:p>
    <w:p>
      <w:pPr>
        <w:pBdr>
          <w:bottom w:val="single" w:color="DDDDDD" w:sz="4"/>
        </w:pBdr>
        <w:spacing w:after="160" w:before="160"/>
      </w:pPr>
    </w:p>
    <w:p>
      <w:pPr>
        <w:pStyle w:val="Heading1"/>
        <w:spacing w:after="200" w:before="400"/>
      </w:pPr>
      <w:r>
        <w:rPr>
          <w:rFonts w:ascii="Arial" w:cs="Arial" w:eastAsia="Arial" w:hAnsi="Arial"/>
          <w:b/>
          <w:bCs/>
          <w:color w:val="1A3A5C"/>
          <w:sz w:val="32"/>
          <w:szCs w:val="32"/>
        </w:rPr>
        <w:t xml:space="preserve">8. Training Configuration</w:t>
      </w:r>
    </w:p>
    <w:p>
      <w:pPr>
        <w:spacing w:after="10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2E5F8A" w:sz="1"/>
              <w:left w:val="single" w:color="2E5F8A" w:sz="1"/>
              <w:bottom w:val="single" w:color="2E5F8A" w:sz="1"/>
              <w:right w:val="single" w:color="2E5F8A"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Parameter</w:t>
            </w:r>
          </w:p>
        </w:tc>
        <w:tc>
          <w:tcPr>
            <w:tcW w:type="dxa" w:w="2600"/>
            <w:tcBorders>
              <w:top w:val="single" w:color="2E5F8A" w:sz="1"/>
              <w:left w:val="single" w:color="2E5F8A" w:sz="1"/>
              <w:bottom w:val="single" w:color="2E5F8A" w:sz="1"/>
              <w:right w:val="single" w:color="2E5F8A"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c>
          <w:tcPr>
            <w:tcW w:type="dxa" w:w="3760"/>
            <w:tcBorders>
              <w:top w:val="single" w:color="2E5F8A" w:sz="1"/>
              <w:left w:val="single" w:color="2E5F8A" w:sz="1"/>
              <w:bottom w:val="single" w:color="2E5F8A" w:sz="1"/>
              <w:right w:val="single" w:color="2E5F8A"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Model</w:t>
            </w:r>
          </w:p>
        </w:tc>
        <w:tc>
          <w:tcPr>
            <w:tcW w:type="dxa" w:w="2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emilyalsentzer/Bio_ClinicalBERT</w:t>
            </w:r>
          </w:p>
        </w:tc>
        <w:tc>
          <w:tcPr>
            <w:tcW w:type="dxa" w:w="3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HuggingFace model hub</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Max sequence length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512 tokens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BERT maximum</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Batch size</w:t>
            </w:r>
          </w:p>
        </w:tc>
        <w:tc>
          <w:tcPr>
            <w:tcW w:type="dxa" w:w="2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16</w:t>
            </w:r>
          </w:p>
        </w:tc>
        <w:tc>
          <w:tcPr>
            <w:tcW w:type="dxa" w:w="3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Fits 12GB VRAM; reduce to 8 if OOM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Epochs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 minimum for convergence</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Learning rate</w:t>
            </w:r>
          </w:p>
        </w:tc>
        <w:tc>
          <w:tcPr>
            <w:tcW w:type="dxa" w:w="2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2e-5</w:t>
            </w:r>
          </w:p>
        </w:tc>
        <w:tc>
          <w:tcPr>
            <w:tcW w:type="dxa" w:w="3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AdamW optimizer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Warmup steps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10% of total steps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Linear schedule</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Gradient clipping</w:t>
            </w:r>
          </w:p>
        </w:tc>
        <w:tc>
          <w:tcPr>
            <w:tcW w:type="dxa" w:w="2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1.0</w:t>
            </w:r>
          </w:p>
        </w:tc>
        <w:tc>
          <w:tcPr>
            <w:tcW w:type="dxa" w:w="3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Prevents exploding gradients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Frozen layers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Layers 0-8 (BERT)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~85% of params frozen</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Trainable layers</w:t>
            </w:r>
          </w:p>
        </w:tc>
        <w:tc>
          <w:tcPr>
            <w:tcW w:type="dxa" w:w="2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Layers 9-11 + pooler + heads</w:t>
            </w:r>
          </w:p>
        </w:tc>
        <w:tc>
          <w:tcPr>
            <w:tcW w:type="dxa" w:w="3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~15% of params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ICD head dropout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Regularization</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Loss: ICD weight</w:t>
            </w:r>
          </w:p>
        </w:tc>
        <w:tc>
          <w:tcPr>
            <w:tcW w:type="dxa" w:w="2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1.0</w:t>
            </w:r>
          </w:p>
        </w:tc>
        <w:tc>
          <w:tcPr>
            <w:tcW w:type="dxa" w:w="3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Primary task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Loss: Drug weight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Secondary task</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Loss: Symptom weight</w:t>
            </w:r>
          </w:p>
        </w:tc>
        <w:tc>
          <w:tcPr>
            <w:tcW w:type="dxa" w:w="2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0.3</w:t>
            </w:r>
          </w:p>
        </w:tc>
        <w:tc>
          <w:tcPr>
            <w:tcW w:type="dxa" w:w="3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Tertiary task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ICD threshold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Inference confidence cutoff</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Top-N ICD labels</w:t>
            </w:r>
          </w:p>
        </w:tc>
        <w:tc>
          <w:tcPr>
            <w:tcW w:type="dxa" w:w="2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200</w:t>
            </w:r>
          </w:p>
        </w:tc>
        <w:tc>
          <w:tcPr>
            <w:tcW w:type="dxa" w:w="3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Most frequent prefixes</w:t>
            </w:r>
          </w:p>
        </w:tc>
      </w:tr>
    </w:tbl>
    <w:p>
      <w:pPr>
        <w:pBdr>
          <w:bottom w:val="single" w:color="DDDDDD" w:sz="4"/>
        </w:pBdr>
        <w:spacing w:after="160" w:before="160"/>
      </w:pPr>
    </w:p>
    <w:p>
      <w:pPr>
        <w:pStyle w:val="Heading1"/>
        <w:spacing w:after="200" w:before="400"/>
      </w:pPr>
      <w:r>
        <w:rPr>
          <w:rFonts w:ascii="Arial" w:cs="Arial" w:eastAsia="Arial" w:hAnsi="Arial"/>
          <w:b/>
          <w:bCs/>
          <w:color w:val="1A3A5C"/>
          <w:sz w:val="32"/>
          <w:szCs w:val="32"/>
        </w:rPr>
        <w:t xml:space="preserve">9. File &amp; Checkpoint Structure</w:t>
      </w:r>
    </w:p>
    <w:p>
      <w:pPr>
        <w:spacing w:after="10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5F8A" w:sz="1"/>
              <w:left w:val="single" w:color="2E5F8A" w:sz="1"/>
              <w:bottom w:val="single" w:color="2E5F8A" w:sz="1"/>
              <w:right w:val="single" w:color="2E5F8A"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File / Directory</w:t>
            </w:r>
          </w:p>
        </w:tc>
        <w:tc>
          <w:tcPr>
            <w:tcW w:type="dxa" w:w="5160"/>
            <w:tcBorders>
              <w:top w:val="single" w:color="2E5F8A" w:sz="1"/>
              <w:left w:val="single" w:color="2E5F8A" w:sz="1"/>
              <w:bottom w:val="single" w:color="2E5F8A" w:sz="1"/>
              <w:right w:val="single" w:color="2E5F8A"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Contents</w:t>
            </w:r>
          </w:p>
        </w:tc>
      </w:tr>
      <w:tr>
        <w:tc>
          <w:tcPr>
            <w:tcW w:type="dxa" w:w="4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final1/mimic3_final.parquet</w:t>
            </w:r>
          </w:p>
        </w:tc>
        <w:tc>
          <w:tcPr>
            <w:tcW w:type="dxa" w:w="5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MIMIC-III processed records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final1/mimic4_final.parquet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MIMIC-IV processed records</w:t>
            </w:r>
          </w:p>
        </w:tc>
      </w:tr>
      <w:tr>
        <w:tc>
          <w:tcPr>
            <w:tcW w:type="dxa" w:w="4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final1/eicu_final.parquet</w:t>
            </w:r>
          </w:p>
        </w:tc>
        <w:tc>
          <w:tcPr>
            <w:tcW w:type="dxa" w:w="5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eICU processed records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final1/medproc_combined.parquet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All three datasets merged</w:t>
            </w:r>
          </w:p>
        </w:tc>
      </w:tr>
      <w:tr>
        <w:tc>
          <w:tcPr>
            <w:tcW w:type="dxa" w:w="4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checkpoints/medproc_best.pt</w:t>
            </w:r>
          </w:p>
        </w:tc>
        <w:tc>
          <w:tcPr>
            <w:tcW w:type="dxa" w:w="5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Best model weights (lowest val loss)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checkpoints/icd_label_map.json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Integer → ICD prefix mapping</w:t>
            </w:r>
          </w:p>
        </w:tc>
      </w:tr>
      <w:tr>
        <w:tc>
          <w:tcPr>
            <w:tcW w:type="dxa" w:w="4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checkpoints/symptom_keywords.json</w:t>
            </w:r>
          </w:p>
        </w:tc>
        <w:tc>
          <w:tcPr>
            <w:tcW w:type="dxa" w:w="5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sz w:val="20"/>
                <w:szCs w:val="20"/>
              </w:rPr>
              <w:t xml:space="preserve">Full symptom keyword list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checkpoints/tokenizer/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Saved Bio_ClinicalBERT tokenizer</w:t>
            </w:r>
          </w:p>
        </w:tc>
      </w:tr>
    </w:tbl>
    <w:p>
      <w:pPr>
        <w:pBdr>
          <w:bottom w:val="single" w:color="DDDDDD" w:sz="4"/>
        </w:pBdr>
        <w:spacing w:after="160" w:before="160"/>
      </w:pPr>
    </w:p>
    <w:p>
      <w:pPr>
        <w:pStyle w:val="Heading1"/>
        <w:spacing w:after="200" w:before="400"/>
      </w:pPr>
      <w:r>
        <w:rPr>
          <w:rFonts w:ascii="Arial" w:cs="Arial" w:eastAsia="Arial" w:hAnsi="Arial"/>
          <w:b/>
          <w:bCs/>
          <w:color w:val="1A3A5C"/>
          <w:sz w:val="32"/>
          <w:szCs w:val="32"/>
        </w:rPr>
        <w:t xml:space="preserve">10. Integration with NutriDermAI Pipeline</w:t>
      </w:r>
    </w:p>
    <w:p>
      <w:pPr>
        <w:spacing w:after="100" w:before="80"/>
      </w:pPr>
      <w:r>
        <w:rPr>
          <w:rFonts w:ascii="Arial" w:cs="Arial" w:eastAsia="Arial" w:hAnsi="Arial"/>
          <w:sz w:val="22"/>
          <w:szCs w:val="22"/>
        </w:rPr>
        <w:t xml:space="preserve">MedProc (Stage 5) receives inputs from the chat interface and produces a JSON that is consumed by Stage 6 (IT-Fusion).</w:t>
      </w:r>
    </w:p>
    <w:p>
      <w:pPr>
        <w:spacing w:after="10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5F8A"/>
          <w:sz w:val="26"/>
          <w:szCs w:val="26"/>
        </w:rPr>
        <w:t xml:space="preserve">10.1 Integration Flow</w:t>
      </w:r>
    </w:p>
    <w:p>
      <w:pPr>
        <w:pStyle w:val="ListParagraph"/>
        <w:numPr>
          <w:ilvl w:val="0"/>
          <w:numId w:val="2"/>
        </w:numPr>
        <w:spacing w:after="60" w:before="60"/>
      </w:pPr>
      <w:r>
        <w:rPr>
          <w:rFonts w:ascii="Arial" w:cs="Arial" w:eastAsia="Arial" w:hAnsi="Arial"/>
          <w:sz w:val="22"/>
          <w:szCs w:val="22"/>
        </w:rPr>
        <w:t xml:space="preserve">Stage 4 (HC) outputs: classification logits, visual embeddings, geometric descriptors</w:t>
      </w:r>
    </w:p>
    <w:p>
      <w:pPr>
        <w:pStyle w:val="ListParagraph"/>
        <w:numPr>
          <w:ilvl w:val="0"/>
          <w:numId w:val="2"/>
        </w:numPr>
        <w:spacing w:after="60" w:before="60"/>
      </w:pPr>
      <w:r>
        <w:rPr>
          <w:rFonts w:ascii="Arial" w:cs="Arial" w:eastAsia="Arial" w:hAnsi="Arial"/>
          <w:sz w:val="22"/>
          <w:szCs w:val="22"/>
        </w:rPr>
        <w:t xml:space="preserve">Stage 5 (MedProc) outputs: structured JSON with diagnoses, drugs, symptoms, evolution_E</w:t>
      </w:r>
    </w:p>
    <w:p>
      <w:pPr>
        <w:pStyle w:val="ListParagraph"/>
        <w:numPr>
          <w:ilvl w:val="0"/>
          <w:numId w:val="2"/>
        </w:numPr>
        <w:spacing w:after="60" w:before="60"/>
      </w:pPr>
      <w:r>
        <w:rPr>
          <w:rFonts w:ascii="Arial" w:cs="Arial" w:eastAsia="Arial" w:hAnsi="Arial"/>
          <w:sz w:val="22"/>
          <w:szCs w:val="22"/>
        </w:rPr>
        <w:t xml:space="preserve">Stage 6 (IT-Fusion) merges both: computes A, B, C, D from image; uses E from MedProc</w:t>
      </w:r>
    </w:p>
    <w:p>
      <w:pPr>
        <w:pStyle w:val="ListParagraph"/>
        <w:numPr>
          <w:ilvl w:val="0"/>
          <w:numId w:val="2"/>
        </w:numPr>
        <w:spacing w:after="60" w:before="60"/>
      </w:pPr>
      <w:r>
        <w:rPr>
          <w:rFonts w:ascii="Arial" w:cs="Arial" w:eastAsia="Arial" w:hAnsi="Arial"/>
          <w:sz w:val="22"/>
          <w:szCs w:val="22"/>
        </w:rPr>
        <w:t xml:space="preserve">Stage 7 (VQA) uses the unified IT-Fusion JSON to answer patient queries</w:t>
      </w:r>
    </w:p>
    <w:p>
      <w:pPr>
        <w:spacing w:after="10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5F8A"/>
          <w:sz w:val="26"/>
          <w:szCs w:val="26"/>
        </w:rPr>
        <w:t xml:space="preserve">10.2 Key Field Consumed by IT-Fusion</w:t>
      </w:r>
    </w:p>
    <w:p>
      <w:pPr>
        <w:pStyle w:val="ListParagraph"/>
        <w:numPr>
          <w:ilvl w:val="0"/>
          <w:numId w:val="2"/>
        </w:numPr>
        <w:spacing w:after="60" w:before="60"/>
      </w:pPr>
      <w:r>
        <w:rPr>
          <w:rFonts w:ascii="Arial" w:cs="Arial" w:eastAsia="Arial" w:hAnsi="Arial"/>
          <w:sz w:val="22"/>
          <w:szCs w:val="22"/>
        </w:rPr>
        <w:t xml:space="preserve">evolution_E.score → E component of ABCDE</w:t>
      </w:r>
    </w:p>
    <w:p>
      <w:pPr>
        <w:pStyle w:val="ListParagraph"/>
        <w:numPr>
          <w:ilvl w:val="0"/>
          <w:numId w:val="2"/>
        </w:numPr>
        <w:spacing w:after="60" w:before="60"/>
      </w:pPr>
      <w:r>
        <w:rPr>
          <w:rFonts w:ascii="Arial" w:cs="Arial" w:eastAsia="Arial" w:hAnsi="Arial"/>
          <w:sz w:val="22"/>
          <w:szCs w:val="22"/>
        </w:rPr>
        <w:t xml:space="preserve">evolution_E.signals → reasoning provenance for VQA explanations</w:t>
      </w:r>
    </w:p>
    <w:p>
      <w:pPr>
        <w:pStyle w:val="ListParagraph"/>
        <w:numPr>
          <w:ilvl w:val="0"/>
          <w:numId w:val="2"/>
        </w:numPr>
        <w:spacing w:after="60" w:before="60"/>
      </w:pPr>
      <w:r>
        <w:rPr>
          <w:rFonts w:ascii="Arial" w:cs="Arial" w:eastAsia="Arial" w:hAnsi="Arial"/>
          <w:sz w:val="22"/>
          <w:szCs w:val="22"/>
        </w:rPr>
        <w:t xml:space="preserve">diagnoses[0].icd_prefix → disease context for risk calibration</w:t>
      </w:r>
    </w:p>
    <w:p>
      <w:pPr>
        <w:pStyle w:val="ListParagraph"/>
        <w:numPr>
          <w:ilvl w:val="0"/>
          <w:numId w:val="2"/>
        </w:numPr>
        <w:spacing w:after="60" w:before="60"/>
      </w:pPr>
      <w:r>
        <w:rPr>
          <w:rFonts w:ascii="Arial" w:cs="Arial" w:eastAsia="Arial" w:hAnsi="Arial"/>
          <w:sz w:val="22"/>
          <w:szCs w:val="22"/>
        </w:rPr>
        <w:t xml:space="preserve">drug_presence.has_medication_info → treatment complexity signal</w:t>
      </w:r>
    </w:p>
    <w:p>
      <w:pPr>
        <w:pBdr>
          <w:bottom w:val="single" w:color="DDDDDD" w:sz="4"/>
        </w:pBdr>
        <w:spacing w:after="160" w:before="160"/>
      </w:pPr>
    </w:p>
    <w:p>
      <w:pPr>
        <w:pStyle w:val="Heading1"/>
        <w:spacing w:after="200" w:before="400"/>
      </w:pPr>
      <w:r>
        <w:rPr>
          <w:rFonts w:ascii="Arial" w:cs="Arial" w:eastAsia="Arial" w:hAnsi="Arial"/>
          <w:b/>
          <w:bCs/>
          <w:color w:val="1A3A5C"/>
          <w:sz w:val="32"/>
          <w:szCs w:val="32"/>
        </w:rPr>
        <w:t xml:space="preserve">Appendix — Quick Reference</w:t>
      </w:r>
    </w:p>
    <w:p>
      <w:pPr>
        <w:spacing w:after="10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5F8A"/>
          <w:sz w:val="26"/>
          <w:szCs w:val="26"/>
        </w:rPr>
        <w:t xml:space="preserve">A. HuggingFace Model IDs</w:t>
      </w:r>
    </w:p>
    <w:p>
      <w:pPr>
        <w:pStyle w:val="ListParagraph"/>
        <w:numPr>
          <w:ilvl w:val="0"/>
          <w:numId w:val="2"/>
        </w:numPr>
        <w:spacing w:after="60" w:before="60"/>
      </w:pPr>
      <w:r>
        <w:rPr>
          <w:rFonts w:ascii="Arial" w:cs="Arial" w:eastAsia="Arial" w:hAnsi="Arial"/>
          <w:sz w:val="22"/>
          <w:szCs w:val="22"/>
        </w:rPr>
        <w:t xml:space="preserve">Primary: emilyalsentzer/Bio_ClinicalBERT</w:t>
      </w:r>
    </w:p>
    <w:p>
      <w:pPr>
        <w:pStyle w:val="ListParagraph"/>
        <w:numPr>
          <w:ilvl w:val="0"/>
          <w:numId w:val="2"/>
        </w:numPr>
        <w:spacing w:after="60" w:before="60"/>
      </w:pPr>
      <w:r>
        <w:rPr>
          <w:rFonts w:ascii="Arial" w:cs="Arial" w:eastAsia="Arial" w:hAnsi="Arial"/>
          <w:sz w:val="22"/>
          <w:szCs w:val="22"/>
        </w:rPr>
        <w:t xml:space="preserve">Alternative 1: bionlp/bluebert_pubmed_mimic_uncased_L-12_H-768_A-12</w:t>
      </w:r>
    </w:p>
    <w:p>
      <w:pPr>
        <w:pStyle w:val="ListParagraph"/>
        <w:numPr>
          <w:ilvl w:val="0"/>
          <w:numId w:val="2"/>
        </w:numPr>
        <w:spacing w:after="60" w:before="60"/>
      </w:pPr>
      <w:r>
        <w:rPr>
          <w:rFonts w:ascii="Arial" w:cs="Arial" w:eastAsia="Arial" w:hAnsi="Arial"/>
          <w:sz w:val="22"/>
          <w:szCs w:val="22"/>
        </w:rPr>
        <w:t xml:space="preserve">Alternative 2: microsoft/BiomedNLP-PubMedBERT-base-uncased-abstract</w:t>
      </w:r>
    </w:p>
    <w:p>
      <w:pPr>
        <w:pStyle w:val="ListParagraph"/>
        <w:numPr>
          <w:ilvl w:val="0"/>
          <w:numId w:val="2"/>
        </w:numPr>
        <w:spacing w:after="60" w:before="60"/>
      </w:pPr>
      <w:r>
        <w:rPr>
          <w:rFonts w:ascii="Arial" w:cs="Arial" w:eastAsia="Arial" w:hAnsi="Arial"/>
          <w:sz w:val="22"/>
          <w:szCs w:val="22"/>
        </w:rPr>
        <w:t xml:space="preserve">Long docs: allenai/longformer-base-4096 (fine-tune on clinical data)</w:t>
      </w:r>
    </w:p>
    <w:p>
      <w:pPr>
        <w:spacing w:after="10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5F8A"/>
          <w:sz w:val="26"/>
          <w:szCs w:val="26"/>
        </w:rPr>
        <w:t xml:space="preserve">B. Required Python Packages</w:t>
      </w:r>
    </w:p>
    <w:p>
      <w:pPr>
        <w:pStyle w:val="ListParagraph"/>
        <w:numPr>
          <w:ilvl w:val="0"/>
          <w:numId w:val="2"/>
        </w:numPr>
        <w:spacing w:after="60" w:before="60"/>
      </w:pPr>
      <w:r>
        <w:rPr>
          <w:rFonts w:ascii="Arial" w:cs="Arial" w:eastAsia="Arial" w:hAnsi="Arial"/>
          <w:sz w:val="22"/>
          <w:szCs w:val="22"/>
        </w:rPr>
        <w:t xml:space="preserve">transformers &gt;= 4.35</w:t>
      </w:r>
    </w:p>
    <w:p>
      <w:pPr>
        <w:pStyle w:val="ListParagraph"/>
        <w:numPr>
          <w:ilvl w:val="0"/>
          <w:numId w:val="2"/>
        </w:numPr>
        <w:spacing w:after="60" w:before="60"/>
      </w:pPr>
      <w:r>
        <w:rPr>
          <w:rFonts w:ascii="Arial" w:cs="Arial" w:eastAsia="Arial" w:hAnsi="Arial"/>
          <w:sz w:val="22"/>
          <w:szCs w:val="22"/>
        </w:rPr>
        <w:t xml:space="preserve">torch &gt;= 2.0 (CUDA 11.8+ for GPU)</w:t>
      </w:r>
    </w:p>
    <w:p>
      <w:pPr>
        <w:pStyle w:val="ListParagraph"/>
        <w:numPr>
          <w:ilvl w:val="0"/>
          <w:numId w:val="2"/>
        </w:numPr>
        <w:spacing w:after="60" w:before="60"/>
      </w:pPr>
      <w:r>
        <w:rPr>
          <w:rFonts w:ascii="Arial" w:cs="Arial" w:eastAsia="Arial" w:hAnsi="Arial"/>
          <w:sz w:val="22"/>
          <w:szCs w:val="22"/>
        </w:rPr>
        <w:t xml:space="preserve">dask[dataframe] &gt;= 2023.0</w:t>
      </w:r>
    </w:p>
    <w:p>
      <w:pPr>
        <w:pStyle w:val="ListParagraph"/>
        <w:numPr>
          <w:ilvl w:val="0"/>
          <w:numId w:val="2"/>
        </w:numPr>
        <w:spacing w:after="60" w:before="60"/>
      </w:pPr>
      <w:r>
        <w:rPr>
          <w:rFonts w:ascii="Arial" w:cs="Arial" w:eastAsia="Arial" w:hAnsi="Arial"/>
          <w:sz w:val="22"/>
          <w:szCs w:val="22"/>
        </w:rPr>
        <w:t xml:space="preserve">scikit-learn &gt;= 1.3</w:t>
      </w:r>
    </w:p>
    <w:p>
      <w:pPr>
        <w:pStyle w:val="ListParagraph"/>
        <w:numPr>
          <w:ilvl w:val="0"/>
          <w:numId w:val="2"/>
        </w:numPr>
        <w:spacing w:after="60" w:before="60"/>
      </w:pPr>
      <w:r>
        <w:rPr>
          <w:rFonts w:ascii="Arial" w:cs="Arial" w:eastAsia="Arial" w:hAnsi="Arial"/>
          <w:sz w:val="22"/>
          <w:szCs w:val="22"/>
        </w:rPr>
        <w:t xml:space="preserve">pyarrow &gt;= 13.0</w:t>
      </w:r>
    </w:p>
    <w:p>
      <w:pPr>
        <w:pStyle w:val="ListParagraph"/>
        <w:numPr>
          <w:ilvl w:val="0"/>
          <w:numId w:val="2"/>
        </w:numPr>
        <w:spacing w:after="60" w:before="60"/>
      </w:pPr>
      <w:r>
        <w:rPr>
          <w:rFonts w:ascii="Arial" w:cs="Arial" w:eastAsia="Arial" w:hAnsi="Arial"/>
          <w:sz w:val="22"/>
          <w:szCs w:val="22"/>
        </w:rPr>
        <w:t xml:space="preserve">pandas &gt;= 2.0</w:t>
      </w:r>
    </w:p>
    <w:p>
      <w:pPr>
        <w:pStyle w:val="ListParagraph"/>
        <w:numPr>
          <w:ilvl w:val="0"/>
          <w:numId w:val="2"/>
        </w:numPr>
        <w:spacing w:after="60" w:before="60"/>
      </w:pPr>
      <w:r>
        <w:rPr>
          <w:rFonts w:ascii="Arial" w:cs="Arial" w:eastAsia="Arial" w:hAnsi="Arial"/>
          <w:sz w:val="22"/>
          <w:szCs w:val="22"/>
        </w:rPr>
        <w:t xml:space="preserve">tqdm</w:t>
      </w:r>
    </w:p>
    <w:p>
      <w:pPr>
        <w:spacing w:after="100" w:before="80"/>
      </w:pPr>
      <w:r>
        <w:rPr>
          <w:rFonts w:ascii="Arial" w:cs="Arial" w:eastAsia="Arial" w:hAnsi="Arial"/>
          <w:sz w:val="22"/>
          <w:szCs w:val="22"/>
        </w:rPr>
        <w:t xml:space="preserve"/>
      </w:r>
    </w:p>
    <w:p>
      <w:pPr>
        <w:pStyle w:val="Heading2"/>
        <w:spacing w:after="160" w:before="300"/>
      </w:pPr>
      <w:r>
        <w:rPr>
          <w:rFonts w:ascii="Arial" w:cs="Arial" w:eastAsia="Arial" w:hAnsi="Arial"/>
          <w:b/>
          <w:bCs/>
          <w:color w:val="2E5F8A"/>
          <w:sz w:val="26"/>
          <w:szCs w:val="26"/>
        </w:rPr>
        <w:t xml:space="preserve">C. eICU Diagnosis Keyword Filter</w:t>
      </w:r>
    </w:p>
    <w:p>
      <w:pPr>
        <w:spacing w:after="100" w:before="80"/>
      </w:pPr>
      <w:r>
        <w:rPr>
          <w:rFonts w:ascii="Arial" w:cs="Arial" w:eastAsia="Arial" w:hAnsi="Arial"/>
          <w:sz w:val="22"/>
          <w:szCs w:val="22"/>
        </w:rPr>
        <w:t xml:space="preserve">Because eICU diagnosisstring is free text (not ICD codes), a keyword-based relevance filter is applied. Keywords include both skin-specific terms (melanoma, lesion, dermat, cellulitis, rash, eczema, psoriasis, herpes, burn) and common disease terms (sepsis, pneumonia, diabetes, hypertension, cardiac, renal, stroke, cancer, anemia). This ensures eICU records are as relevant as the ICD-filtered MIMIC records.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5F8A"/>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3A7AB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2026-04-02T03:46:37.184Z</dcterms:created>
  <dcterms:modified xsi:type="dcterms:W3CDTF">2026-04-02T03:46:37.184Z</dcterms:modified>
</cp:coreProperties>
</file>

<file path=docProps/custom.xml><?xml version="1.0" encoding="utf-8"?>
<Properties xmlns="http://schemas.openxmlformats.org/officeDocument/2006/custom-properties" xmlns:vt="http://schemas.openxmlformats.org/officeDocument/2006/docPropsVTypes"/>
</file>