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Montserrat" w:cs="Montserrat" w:eastAsia="Montserrat" w:hAnsi="Montserrat"/>
          <w:b/>
          <w:bCs/>
          <w:color w:val="6B21A8"/>
          <w:sz w:val="80"/>
          <w:szCs w:val="80"/>
        </w:rPr>
        <w:t xml:space="preserve">POLYLANCE ZENITH</w:t>
      </w:r>
    </w:p>
    <w:p>
      <w:pPr>
        <w:spacing w:after="1200"/>
        <w:jc w:val="center"/>
      </w:pPr>
      <w:r>
        <w:rPr>
          <w:rFonts w:ascii="Inter" w:cs="Inter" w:eastAsia="Inter" w:hAnsi="Inter"/>
          <w:color w:val="1E1B4B"/>
          <w:sz w:val="32"/>
          <w:szCs w:val="32"/>
        </w:rPr>
        <w:t xml:space="preserve">Technical White Paper v2.5.0</w:t>
      </w:r>
    </w:p>
    <w:p>
      <w:pPr>
        <w:jc w:val="center"/>
      </w:pPr>
      <w:r>
        <w:rPr>
          <w:rFonts w:ascii="Inter" w:cs="Inter" w:eastAsia="Inter" w:hAnsi="Inter"/>
          <w:i/>
          <w:iCs/>
          <w:color w:val="7C3AED"/>
          <w:sz w:val="28"/>
          <w:szCs w:val="28"/>
        </w:rPr>
        <w:t xml:space="preserve">Decentralized Freelance Protocol on Polygon</w:t>
      </w:r>
    </w:p>
    <w:r>
      <w:br w:type="page"/>
    </w:r>
    <w:p>
      <w:pPr>
        <w:pStyle w:val="Heading1"/>
        <w:pBdr>
          <w:bottom w:val="single" w:color="6B21A8" w:sz="2"/>
        </w:pBdr>
        <w:spacing w:after="200" w:before="400"/>
        <w:jc w:val="left"/>
      </w:pPr>
      <w:r>
        <w:t xml:space="preserve">1. Abstract</w:t>
      </w:r>
    </w:p>
    <w:p>
      <w:pPr>
        <w:spacing w:after="120" w:before="120"/>
        <w:jc w:val="both"/>
      </w:pPr>
      <w:r>
        <w:rPr>
          <w:rFonts w:ascii="Inter" w:cs="Inter" w:eastAsia="Inter" w:hAnsi="Inter"/>
          <w:sz w:val="24"/>
          <w:szCs w:val="24"/>
        </w:rPr>
        <w:t xml:space="preserve">PolyLance Zenith is an institutional-grade decentralized freelance protocol built on Polygon. It leverages Account Abstraction (ERC-4337), yield-aggregating escrow mechanisms, and Real World Asset (RWA) tokenization to eliminate the high fees and trust barriers prevalent in the $5.4T global gig economy. By anchoring identity to Soulbound Tokens (SBT) and utilizing decentralized arbitration, PolyLance achieves Absolute Zero Gravity in value transfer—removing all intermediaries between talent and capital.</w:t>
      </w:r>
    </w:p>
    <w:p>
      <w:pPr>
        <w:pStyle w:val="Heading1"/>
        <w:pBdr>
          <w:bottom w:val="single" w:color="6B21A8" w:sz="2"/>
        </w:pBdr>
        <w:spacing w:after="200" w:before="400"/>
        <w:jc w:val="left"/>
      </w:pPr>
      <w:r>
        <w:t xml:space="preserve">2. Protocol Architecture</w:t>
      </w:r>
    </w:p>
    <w:p>
      <w:pPr>
        <w:pStyle w:val="Heading2"/>
        <w:spacing w:after="150" w:before="300"/>
      </w:pPr>
      <w:r>
        <w:t xml:space="preserve">2.1 Core Smart Contracts</w:t>
      </w:r>
    </w:p>
    <w:p>
      <w:pPr>
        <w:spacing w:after="120" w:before="120"/>
        <w:jc w:val="both"/>
      </w:pPr>
      <w:r>
        <w:rPr>
          <w:rFonts w:ascii="Inter" w:cs="Inter" w:eastAsia="Inter" w:hAnsi="Inter"/>
          <w:sz w:val="24"/>
          <w:szCs w:val="24"/>
        </w:rPr>
        <w:t xml:space="preserve">The protocol is architected using the UUPS (Universal Upgradeable Proxy Standard) pattern to ensure long-term stability and security without disrupting user operations. The core logic is distributed across three primary layers: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Identity Layer: FreelancerReputation.sol manages skills and XP via Soulbound Tokens.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Escrow Layer: FreelanceEscrow.sol handles trustless milestone payments and yield generation.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Governance Layer: ZenithCourt.sol provides decentralized dispute resolution via white-listed adjudicators.</w:t>
      </w:r>
    </w:p>
    <w:p>
      <w:pPr>
        <w:pStyle w:val="Heading2"/>
        <w:spacing w:after="150" w:before="300"/>
      </w:pPr>
      <w:r>
        <w:t xml:space="preserve">2.2 Gasless Onboarding</w:t>
      </w:r>
    </w:p>
    <w:p>
      <w:pPr>
        <w:spacing w:after="120" w:before="120"/>
        <w:jc w:val="both"/>
      </w:pPr>
      <w:r>
        <w:rPr>
          <w:rFonts w:ascii="Inter" w:cs="Inter" w:eastAsia="Inter" w:hAnsi="Inter"/>
          <w:sz w:val="24"/>
          <w:szCs w:val="24"/>
        </w:rPr>
        <w:t xml:space="preserve">Utilizing the Biconomy SDK, PolyLance sponsorships eliminate the need for freelancers to hold native MATIC tokens for initial interactions. Account Abstraction enables social login (Email/Twitter) via Particle Auth, creating a seamless Web2-to-Web3 bridge.</w:t>
      </w:r>
    </w:p>
    <w:p>
      <w:pPr>
        <w:pStyle w:val="Heading1"/>
        <w:pBdr>
          <w:bottom w:val="single" w:color="6B21A8" w:sz="2"/>
        </w:pBdr>
        <w:spacing w:after="200" w:before="400"/>
        <w:jc w:val="left"/>
      </w:pPr>
      <w:r>
        <w:t xml:space="preserve">3. DeFi &amp; RWA Mechanics</w:t>
      </w:r>
    </w:p>
    <w:p>
      <w:pPr>
        <w:pStyle w:val="Heading2"/>
        <w:spacing w:after="150" w:before="300"/>
      </w:pPr>
      <w:r>
        <w:t xml:space="preserve">3.1 Yield-Bearing Escrow</w:t>
      </w:r>
    </w:p>
    <w:p>
      <w:pPr>
        <w:spacing w:after="120" w:before="120"/>
        <w:jc w:val="both"/>
      </w:pPr>
      <w:r>
        <w:rPr>
          <w:rFonts w:ascii="Inter" w:cs="Inter" w:eastAsia="Inter" w:hAnsi="Inter"/>
          <w:sz w:val="24"/>
          <w:szCs w:val="24"/>
        </w:rPr>
        <w:t xml:space="preserve">Unlike centralized platforms that sit on user funds, PolyLance deposits escrowed capital into yield-aggregating vaults. Accrued interest is distributed back to the protocol treasury or used to offset platform fees, effectively creating a 'zero-fee' environment for high-volume users.</w:t>
      </w:r>
    </w:p>
    <w:p>
      <w:pPr>
        <w:pStyle w:val="Heading2"/>
        <w:spacing w:after="150" w:before="300"/>
      </w:pPr>
      <w:r>
        <w:t xml:space="preserve">3.2 Invoice Tokenization (RWA)</w:t>
      </w:r>
    </w:p>
    <w:p>
      <w:pPr>
        <w:spacing w:after="120" w:before="120"/>
        <w:jc w:val="both"/>
      </w:pPr>
      <w:r>
        <w:rPr>
          <w:rFonts w:ascii="Inter" w:cs="Inter" w:eastAsia="Inter" w:hAnsi="Inter"/>
          <w:sz w:val="24"/>
          <w:szCs w:val="24"/>
        </w:rPr>
        <w:t xml:space="preserve">The PolyLance RWA module allows freelancers to tokenized their pending invoices. These tokens represent a legal claim to future contract payments and can be sold on the internal liquidity market for immediate working capital, enabling 'Gig-Fi' (Freelance Finance).</w:t>
      </w:r>
    </w:p>
    <w:p>
      <w:pPr>
        <w:pStyle w:val="Heading1"/>
        <w:pBdr>
          <w:bottom w:val="single" w:color="6B21A8" w:sz="2"/>
        </w:pBdr>
        <w:spacing w:after="200" w:before="400"/>
        <w:jc w:val="left"/>
      </w:pPr>
      <w:r>
        <w:t xml:space="preserve">4. Tokenomics ($POLY)</w:t>
      </w:r>
    </w:p>
    <w:p>
      <w:pPr>
        <w:spacing w:after="120" w:before="120"/>
        <w:jc w:val="both"/>
      </w:pPr>
      <w:r>
        <w:rPr>
          <w:rFonts w:ascii="Inter" w:cs="Inter" w:eastAsia="Inter" w:hAnsi="Inter"/>
          <w:sz w:val="24"/>
          <w:szCs w:val="24"/>
        </w:rPr>
        <w:t xml:space="preserve">The native $POLY token serves three critical functions: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Governance: Quadratic voting for protocol parameters and court adjudicator selection.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Staking: Required for specialists to bid on 'Zenith Tier' institutional contracts.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Incentives: Rewards for high-resonance job completion and successful dispute adjudication.</w:t>
      </w:r>
    </w:p>
    <w:p>
      <w:pPr>
        <w:pStyle w:val="Heading1"/>
        <w:pBdr>
          <w:bottom w:val="single" w:color="6B21A8" w:sz="2"/>
        </w:pBdr>
        <w:spacing w:after="200" w:before="400"/>
        <w:jc w:val="left"/>
      </w:pPr>
      <w:r>
        <w:t xml:space="preserve">5. Roadmap &amp; Security</w:t>
      </w:r>
    </w:p>
    <w:p>
      <w:pPr>
        <w:spacing w:after="120" w:before="120"/>
        <w:jc w:val="both"/>
      </w:pPr>
      <w:r>
        <w:rPr>
          <w:rFonts w:ascii="Inter" w:cs="Inter" w:eastAsia="Inter" w:hAnsi="Inter"/>
          <w:sz w:val="24"/>
          <w:szCs w:val="24"/>
        </w:rPr>
        <w:t xml:space="preserve">PolyLance is currently in Phase 3: Zenith Sovereign. Upcoming milestones include: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Q3 2025: Polygon Mainnet Public Launch.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Q4 2025: Cross-chain expansion via LayerZero (Solana Anchor Integration).</w:t>
      </w:r>
    </w:p>
    <w:p>
      <w:pPr>
        <w:spacing w:after="60" w:before="60"/>
        <w:ind w:left="720"/>
      </w:pPr>
      <w:r>
        <w:rPr>
          <w:rFonts w:ascii="Inter" w:cs="Inter" w:eastAsia="Inter" w:hAnsi="Inter"/>
          <w:sz w:val="24"/>
          <w:szCs w:val="24"/>
        </w:rPr>
        <w:t xml:space="preserve">• Q1 2026: Fully autonomous AI Arbitration (Zenith Oracle).</w:t>
      </w:r>
    </w:p>
    <w:p>
      <w:pPr>
        <w:spacing w:before="2400"/>
        <w:jc w:val="center"/>
      </w:pPr>
      <w:r>
        <w:rPr>
          <w:color w:val="888888"/>
          <w:sz w:val="20"/>
          <w:szCs w:val="20"/>
        </w:rPr>
        <w:t xml:space="preserve">Copyright © 2026 PolyLance Protocol. All Rights Reserved.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2026-05-03T11:45:14.333Z</dcterms:created>
  <dcterms:modified xsi:type="dcterms:W3CDTF">2026-05-03T11:45:14.335Z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