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ontserrat" w:cs="Montserrat" w:eastAsia="Montserrat" w:hAnsi="Montserrat"/>
          <w:b/>
          <w:bCs/>
          <w:color w:val="6B21A8"/>
          <w:sz w:val="80"/>
          <w:szCs w:val="80"/>
        </w:rPr>
        <w:t xml:space="preserve">POLYLANCE ZENITH</w:t>
      </w:r>
    </w:p>
    <w:p>
      <w:pPr>
        <w:spacing w:after="1200"/>
        <w:jc w:val="center"/>
      </w:pPr>
      <w:r>
        <w:rPr>
          <w:rFonts w:ascii="Inter" w:cs="Inter" w:eastAsia="Inter" w:hAnsi="Inter"/>
          <w:color w:val="1E1B4B"/>
          <w:sz w:val="32"/>
          <w:szCs w:val="32"/>
        </w:rPr>
        <w:t xml:space="preserve">Technical White Paper v2.5.0</w:t>
      </w:r>
    </w:p>
    <w:p>
      <w:pPr>
        <w:jc w:val="center"/>
      </w:pPr>
      <w:r>
        <w:rPr>
          <w:rFonts w:ascii="Inter" w:cs="Inter" w:eastAsia="Inter" w:hAnsi="Inter"/>
          <w:i/>
          <w:iCs/>
          <w:color w:val="7C3AED"/>
          <w:sz w:val="28"/>
          <w:szCs w:val="28"/>
        </w:rPr>
        <w:t xml:space="preserve">Decentralized Freelance Protocol on Polygon</w:t>
      </w:r>
    </w:p>
    <w:r>
      <w:br w:type="page"/>
    </w:r>
    <w:p>
      <w:pPr>
        <w:pStyle w:val="Heading1"/>
        <w:pBdr>
          <w:bottom w:val="single" w:color="6B21A8" w:sz="2"/>
        </w:pBdr>
        <w:spacing w:after="200" w:before="400"/>
        <w:jc w:val="left"/>
      </w:pPr>
      <w:r>
        <w:t xml:space="preserve">1. Abstract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PolyLance Zenith is an institutional-grade decentralized freelance protocol built on Polygon. It leverages Account Abstraction (ERC-4337), yield-aggregating escrow mechanisms, and Real World Asset (RWA) tokenization to eliminate the high fees and trust barriers prevalent in the $5.4T global gig economy. By anchoring identity to Soulbound Tokens (SBT) and utilizing decentralized arbitration, PolyLance achieves Absolute Zero Gravity in value transfer—removing all intermediaries between talent and capital.</w:t>
      </w:r>
    </w:p>
    <w:p>
      <w:pPr>
        <w:pStyle w:val="Heading1"/>
        <w:pBdr>
          <w:bottom w:val="single" w:color="6B21A8" w:sz="2"/>
        </w:pBdr>
        <w:spacing w:after="200" w:before="400"/>
        <w:jc w:val="left"/>
      </w:pPr>
      <w:r>
        <w:t xml:space="preserve">2. Protocol Architecture</w:t>
      </w:r>
    </w:p>
    <w:p>
      <w:pPr>
        <w:pStyle w:val="Heading2"/>
        <w:spacing w:after="150" w:before="300"/>
      </w:pPr>
      <w:r>
        <w:t xml:space="preserve">2.1 Core Smart Contracts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The protocol is architected using the UUPS (Universal Upgradeable Proxy Standard) pattern to ensure long-term stability and security without disrupting user operations. The core logic is distributed across three primary layers: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Identity Layer: FreelancerReputation.sol manages skills and XP via Soulbound Tokens.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Escrow Layer: FreelanceEscrow.sol handles trustless milestone payments and yield generation.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Governance Layer: ZenithCourt.sol provides decentralized dispute resolution via white-listed adjudicators.</w:t>
      </w:r>
    </w:p>
    <w:p>
      <w:pPr>
        <w:pStyle w:val="Heading2"/>
        <w:spacing w:after="150" w:before="300"/>
      </w:pPr>
      <w:r>
        <w:t xml:space="preserve">2.2 Gasless Onboarding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Utilizing the Biconomy SDK, PolyLance sponsorships eliminate the need for freelancers to hold native MATIC tokens for initial interactions. Account Abstraction enables social login (Email/Twitter) via Particle Auth, creating a seamless Web2-to-Web3 bridge.</w:t>
      </w:r>
    </w:p>
    <w:p>
      <w:pPr>
        <w:pStyle w:val="Heading1"/>
        <w:pBdr>
          <w:bottom w:val="single" w:color="6B21A8" w:sz="2"/>
        </w:pBdr>
        <w:spacing w:after="200" w:before="400"/>
        <w:jc w:val="left"/>
      </w:pPr>
      <w:r>
        <w:t xml:space="preserve">3. DeFi &amp; RWA Mechanics</w:t>
      </w:r>
    </w:p>
    <w:p>
      <w:pPr>
        <w:pStyle w:val="Heading2"/>
        <w:spacing w:after="150" w:before="300"/>
      </w:pPr>
      <w:r>
        <w:t xml:space="preserve">3.1 Yield-Bearing Escrow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Unlike centralized platforms that sit on user funds, PolyLance deposits escrowed capital into yield-aggregating vaults. Accrued interest is distributed back to the protocol treasury or used to offset platform fees, effectively creating a 'zero-fee' environment for high-volume users.</w:t>
      </w:r>
    </w:p>
    <w:p>
      <w:pPr>
        <w:pStyle w:val="Heading2"/>
        <w:spacing w:after="150" w:before="300"/>
      </w:pPr>
      <w:r>
        <w:t xml:space="preserve">3.2 Invoice Tokenization (RWA)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The PolyLance RWA module allows freelancers to tokenized their pending invoices. These tokens represent a legal claim to future contract payments and can be sold on the internal liquidity market for immediate working capital, enabling 'Gig-Fi' (Freelance Finance).</w:t>
      </w:r>
    </w:p>
    <w:p>
      <w:pPr>
        <w:pStyle w:val="Heading1"/>
        <w:pBdr>
          <w:bottom w:val="single" w:color="6B21A8" w:sz="2"/>
        </w:pBdr>
        <w:spacing w:after="200" w:before="400"/>
        <w:jc w:val="left"/>
      </w:pPr>
      <w:r>
        <w:t xml:space="preserve">4. Tokenomics ($POLY)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The native $POLY token serves three critical functions: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Governance: Quadratic voting for protocol parameters and court adjudicator selection.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Staking: Required for specialists to bid on 'Zenith Tier' institutional contracts.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Incentives: Rewards for high-resonance job completion and successful dispute adjudication.</w:t>
      </w:r>
    </w:p>
    <w:p>
      <w:pPr>
        <w:pStyle w:val="Heading1"/>
        <w:pBdr>
          <w:bottom w:val="single" w:color="6B21A8" w:sz="2"/>
        </w:pBdr>
        <w:spacing w:after="200" w:before="400"/>
        <w:jc w:val="left"/>
      </w:pPr>
      <w:r>
        <w:t xml:space="preserve">5. Roadmap &amp; Security</w:t>
      </w:r>
    </w:p>
    <w:p>
      <w:pPr>
        <w:spacing w:after="120" w:before="120"/>
        <w:jc w:val="both"/>
      </w:pPr>
      <w:r>
        <w:rPr>
          <w:rFonts w:ascii="Inter" w:cs="Inter" w:eastAsia="Inter" w:hAnsi="Inter"/>
          <w:sz w:val="24"/>
          <w:szCs w:val="24"/>
        </w:rPr>
        <w:t xml:space="preserve">PolyLance is currently in Phase 3: Zenith Sovereign. Upcoming milestones include: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Q3 2025: Polygon Mainnet Public Launch.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Q4 2025: Cross-chain expansion via LayerZero (Solana Anchor Integration).</w:t>
      </w:r>
    </w:p>
    <w:p>
      <w:pPr>
        <w:spacing w:after="60" w:before="60"/>
        <w:ind w:left="720"/>
      </w:pPr>
      <w:r>
        <w:rPr>
          <w:rFonts w:ascii="Inter" w:cs="Inter" w:eastAsia="Inter" w:hAnsi="Inter"/>
          <w:sz w:val="24"/>
          <w:szCs w:val="24"/>
        </w:rPr>
        <w:t xml:space="preserve">• Q1 2026: Fully autonomous AI Arbitration (Zenith Oracle).</w:t>
      </w:r>
    </w:p>
    <w:p>
      <w:pPr>
        <w:spacing w:before="2400"/>
        <w:jc w:val="center"/>
      </w:pPr>
      <w:r>
        <w:rPr>
          <w:color w:val="888888"/>
          <w:sz w:val="20"/>
          <w:szCs w:val="20"/>
        </w:rPr>
        <w:t xml:space="preserve">Copyright © 2026 PolyLance Protocol.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2026-05-03T11:54:43.741Z</dcterms:created>
  <dcterms:modified xsi:type="dcterms:W3CDTF">2026-05-03T11:54:43.748Z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