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Model Context Protocol (MCP) Analysis - v00</w:t>
      </w:r>
    </w:p>
    <w:p>
      <w:pPr>
        <w:pStyle w:val="Heading1"/>
        <w:pBdr>
          <w:bottom w:val="single" w:sz="12" w:space="4" w:color="F7A800"/>
        </w:pBdr>
      </w:pPr>
      <w:r>
        <w:t>Executive Summary</w:t>
      </w:r>
    </w:p>
    <w:p>
      <w:r>
        <w:rPr>
          <w:b w:val="0"/>
          <w:i w:val="0"/>
        </w:rPr>
        <w:t>The Model Context Protocol (MCP) provides an open standard for connecting AI assistants to external data sources and tools. It addresses the fragmentation inherent in current agent-tool integration strategies by providing a consistent interface. While it lowers development costs for multi-client integrations, adoption remains early-stage, presenting risks related to API stability and ecosystem coverage.</w:t>
      </w:r>
    </w:p>
    <w:p>
      <w:pPr>
        <w:pStyle w:val="Heading1"/>
        <w:pBdr>
          <w:bottom w:val="single" w:sz="12" w:space="4" w:color="F7A800"/>
        </w:pBdr>
      </w:pPr>
      <w:r>
        <w:t>Pros of MCP</w:t>
      </w:r>
    </w:p>
    <w:p>
      <w:pPr>
        <w:pStyle w:val="ListBullet"/>
      </w:pPr>
      <w:r>
        <w:rPr>
          <w:b/>
          <w:i w:val="0"/>
        </w:rPr>
        <w:t>Reduced Integration Friction:</w:t>
      </w:r>
      <w:r>
        <w:rPr>
          <w:b w:val="0"/>
          <w:i w:val="0"/>
        </w:rPr>
        <w:t xml:space="preserve"> Developers write a single MCP server implementation that functions across multiple AI clients (e.g., Claude, IDEs, terminal tools), eliminating the need for client-specific SDKs.</w:t>
      </w:r>
    </w:p>
    <w:p>
      <w:pPr>
        <w:pStyle w:val="ListBullet"/>
      </w:pPr>
      <w:r>
        <w:rPr>
          <w:b/>
          <w:i w:val="0"/>
        </w:rPr>
        <w:t>Standardized Interoperability:</w:t>
      </w:r>
      <w:r>
        <w:rPr>
          <w:b w:val="0"/>
          <w:i w:val="0"/>
        </w:rPr>
        <w:t xml:space="preserve"> Decouples AI models from backend tool logic. This allows swapping models or tools without re-engineering the interface.</w:t>
      </w:r>
    </w:p>
    <w:p>
      <w:pPr>
        <w:pStyle w:val="ListBullet"/>
      </w:pPr>
      <w:r>
        <w:rPr>
          <w:b/>
          <w:i w:val="0"/>
        </w:rPr>
        <w:t>Improved Security Posture:</w:t>
      </w:r>
      <w:r>
        <w:rPr>
          <w:b w:val="0"/>
          <w:i w:val="0"/>
        </w:rPr>
        <w:t xml:space="preserve"> Standardized transport and permission schemas provide a predictable foundation for access control compared to bespoke custom integrations.</w:t>
      </w:r>
    </w:p>
    <w:p>
      <w:pPr>
        <w:pStyle w:val="ListBullet"/>
      </w:pPr>
      <w:r>
        <w:rPr>
          <w:b/>
          <w:i w:val="0"/>
        </w:rPr>
        <w:t>Lower Maintenance Overhead:</w:t>
      </w:r>
      <w:r>
        <w:rPr>
          <w:b w:val="0"/>
          <w:i w:val="0"/>
        </w:rPr>
        <w:t xml:space="preserve"> Centralizes API updates. A change in the tool backend only requires updating the MCP server, not every client integration.</w:t>
      </w:r>
    </w:p>
    <w:p>
      <w:pPr>
        <w:pStyle w:val="Heading1"/>
        <w:pBdr>
          <w:bottom w:val="single" w:sz="12" w:space="4" w:color="F7A800"/>
        </w:pBdr>
      </w:pPr>
      <w:r>
        <w:t>Cons and Risks</w:t>
      </w:r>
    </w:p>
    <w:p>
      <w:pPr>
        <w:pStyle w:val="ListBullet"/>
      </w:pPr>
      <w:r>
        <w:rPr>
          <w:b/>
          <w:i w:val="0"/>
        </w:rPr>
        <w:t>Early Maturity Phase:</w:t>
      </w:r>
      <w:r>
        <w:rPr>
          <w:b w:val="0"/>
          <w:i w:val="0"/>
        </w:rPr>
        <w:t xml:space="preserve"> The protocol is still evolving. Frequent changes to the specification may lead to breaking changes for early adopters.</w:t>
      </w:r>
    </w:p>
    <w:p>
      <w:pPr>
        <w:pStyle w:val="ListBullet"/>
      </w:pPr>
      <w:r>
        <w:rPr>
          <w:b/>
          <w:i w:val="0"/>
        </w:rPr>
        <w:t>Limited Ecosystem Coverage:</w:t>
      </w:r>
      <w:r>
        <w:rPr>
          <w:b w:val="0"/>
          <w:i w:val="0"/>
        </w:rPr>
        <w:t xml:space="preserve"> While growing, many specialized enterprise tools lack native MCP support, requiring the development of middleware or custom adapters.</w:t>
      </w:r>
    </w:p>
    <w:p>
      <w:pPr>
        <w:pStyle w:val="ListBullet"/>
      </w:pPr>
      <w:r>
        <w:rPr>
          <w:b/>
          <w:i w:val="0"/>
        </w:rPr>
        <w:t>Configuration Complexity:</w:t>
      </w:r>
      <w:r>
        <w:rPr>
          <w:b w:val="0"/>
          <w:i w:val="0"/>
        </w:rPr>
        <w:t xml:space="preserve"> Running and monitoring independent MCP servers adds operational overhead compared to direct SDK usage, particularly in distributed environments.</w:t>
      </w:r>
    </w:p>
    <w:p>
      <w:pPr>
        <w:pStyle w:val="ListBullet"/>
      </w:pPr>
      <w:r>
        <w:rPr>
          <w:b/>
          <w:i w:val="0"/>
        </w:rPr>
        <w:t>Dependency Risk:</w:t>
      </w:r>
      <w:r>
        <w:rPr>
          <w:b w:val="0"/>
          <w:i w:val="0"/>
        </w:rPr>
        <w:t xml:space="preserve"> Heavy reliance on the MCP standard binds the architecture to a single communication protocol. If the standard stalls or loses support, migration costs are non-trivial.</w:t>
      </w:r>
    </w:p>
    <w:p>
      <w:pPr>
        <w:pStyle w:val="Heading1"/>
        <w:pBdr>
          <w:bottom w:val="single" w:sz="12" w:space="4" w:color="F7A800"/>
        </w:pBdr>
      </w:pPr>
      <w:r>
        <w:t>Comparative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F7A8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137"/>
            <w:shd w:fill="F7A8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Custom API Integration</w:t>
            </w:r>
          </w:p>
        </w:tc>
        <w:tc>
          <w:tcPr>
            <w:tcW w:type="dxa" w:w="3137"/>
            <w:shd w:fill="F7A8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MCP Integration</w:t>
            </w:r>
          </w:p>
        </w:tc>
      </w:tr>
      <w:tr>
        <w:tc>
          <w:tcPr>
            <w:tcW w:type="dxa" w:w="3137"/>
            <w:shd w:fill="FFFFFF"/>
          </w:tcPr>
          <w:p>
            <w:r>
              <w:rPr>
                <w:color w:val="2E2E2E"/>
                <w:sz w:val="20"/>
              </w:rPr>
            </w:r>
            <w:r>
              <w:rPr>
                <w:b/>
                <w:i w:val="0"/>
                <w:color w:val="2E2E2E"/>
                <w:sz w:val="20"/>
              </w:rPr>
              <w:t>Development Effort</w:t>
            </w:r>
          </w:p>
        </w:tc>
        <w:tc>
          <w:tcPr>
            <w:tcW w:type="dxa" w:w="3137"/>
            <w:shd w:fill="FFFFFF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High (Client-specific)</w:t>
            </w:r>
          </w:p>
        </w:tc>
        <w:tc>
          <w:tcPr>
            <w:tcW w:type="dxa" w:w="3137"/>
            <w:shd w:fill="FFFFFF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Low (Single standard)</w:t>
            </w:r>
          </w:p>
        </w:tc>
      </w:tr>
      <w:tr>
        <w:tc>
          <w:tcPr>
            <w:tcW w:type="dxa" w:w="3137"/>
            <w:shd w:fill="F4F6F9"/>
          </w:tcPr>
          <w:p>
            <w:r>
              <w:rPr>
                <w:color w:val="2E2E2E"/>
                <w:sz w:val="20"/>
              </w:rPr>
            </w:r>
            <w:r>
              <w:rPr>
                <w:b/>
                <w:i w:val="0"/>
                <w:color w:val="2E2E2E"/>
                <w:sz w:val="20"/>
              </w:rPr>
              <w:t>Maintenance</w:t>
            </w:r>
          </w:p>
        </w:tc>
        <w:tc>
          <w:tcPr>
            <w:tcW w:type="dxa" w:w="3137"/>
            <w:shd w:fill="F4F6F9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High (N integrations)</w:t>
            </w:r>
          </w:p>
        </w:tc>
        <w:tc>
          <w:tcPr>
            <w:tcW w:type="dxa" w:w="3137"/>
            <w:shd w:fill="F4F6F9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Low (1 integration)</w:t>
            </w:r>
          </w:p>
        </w:tc>
      </w:tr>
      <w:tr>
        <w:tc>
          <w:tcPr>
            <w:tcW w:type="dxa" w:w="3137"/>
            <w:shd w:fill="FFFFFF"/>
          </w:tcPr>
          <w:p>
            <w:r>
              <w:rPr>
                <w:color w:val="2E2E2E"/>
                <w:sz w:val="20"/>
              </w:rPr>
            </w:r>
            <w:r>
              <w:rPr>
                <w:b/>
                <w:i w:val="0"/>
                <w:color w:val="2E2E2E"/>
                <w:sz w:val="20"/>
              </w:rPr>
              <w:t>Flexibility</w:t>
            </w:r>
          </w:p>
        </w:tc>
        <w:tc>
          <w:tcPr>
            <w:tcW w:type="dxa" w:w="3137"/>
            <w:shd w:fill="FFFFFF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High (Customizable)</w:t>
            </w:r>
          </w:p>
        </w:tc>
        <w:tc>
          <w:tcPr>
            <w:tcW w:type="dxa" w:w="3137"/>
            <w:shd w:fill="FFFFFF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Moderate (Standard-constrained)</w:t>
            </w:r>
          </w:p>
        </w:tc>
      </w:tr>
      <w:tr>
        <w:tc>
          <w:tcPr>
            <w:tcW w:type="dxa" w:w="3137"/>
            <w:shd w:fill="F4F6F9"/>
          </w:tcPr>
          <w:p>
            <w:r>
              <w:rPr>
                <w:color w:val="2E2E2E"/>
                <w:sz w:val="20"/>
              </w:rPr>
            </w:r>
            <w:r>
              <w:rPr>
                <w:b/>
                <w:i w:val="0"/>
                <w:color w:val="2E2E2E"/>
                <w:sz w:val="20"/>
              </w:rPr>
              <w:t>Maturity</w:t>
            </w:r>
          </w:p>
        </w:tc>
        <w:tc>
          <w:tcPr>
            <w:tcW w:type="dxa" w:w="3137"/>
            <w:shd w:fill="F4F6F9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High</w:t>
            </w:r>
          </w:p>
        </w:tc>
        <w:tc>
          <w:tcPr>
            <w:tcW w:type="dxa" w:w="3137"/>
            <w:shd w:fill="F4F6F9"/>
          </w:tcPr>
          <w:p>
            <w:r>
              <w:rPr>
                <w:color w:val="2E2E2E"/>
                <w:sz w:val="20"/>
              </w:rPr>
            </w:r>
            <w:r>
              <w:rPr>
                <w:b w:val="0"/>
                <w:i w:val="0"/>
                <w:color w:val="2E2E2E"/>
                <w:sz w:val="20"/>
              </w:rPr>
              <w:t>Low</w:t>
            </w:r>
          </w:p>
        </w:tc>
      </w:tr>
    </w:tbl>
    <w:p>
      <w:r>
        <w:rPr>
          <w:b w:val="0"/>
          <w:i/>
        </w:rPr>
        <w:t>Internal Chatter:</w:t>
      </w:r>
    </w:p>
    <w:p>
      <w:r>
        <w:rPr>
          <w:b w:val="0"/>
          <w:i w:val="0"/>
        </w:rPr>
        <w:t>- This draft captures the fundamental trade-offs between custom integrations and protocol-based approaches.</w:t>
      </w:r>
    </w:p>
    <w:p>
      <w:r>
        <w:rPr>
          <w:b w:val="0"/>
          <w:i w:val="0"/>
        </w:rPr>
        <w:t>- The focus is on the developer and operational impact rather than marketing benefits.</w:t>
      </w:r>
    </w:p>
    <w:p>
      <w:r>
        <w:rPr>
          <w:b w:val="0"/>
          <w:i w:val="0"/>
        </w:rPr>
        <w:t>- Ready for review.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47" w:bottom="96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2" w:val="right"/>
      </w:tabs>
    </w:pPr>
    <w:r>
      <w:rPr>
        <w:color w:val="6B7785"/>
        <w:sz w:val="18"/>
      </w:rPr>
      <w:t>Fractal  ·  Confidential</w:t>
    </w:r>
    <w:r>
      <w:tab/>
    </w:r>
    <w:r>
      <w:rPr>
        <w:color w:val="6B77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right"/>
    </w:pPr>
    <w:r>
      <w:drawing>
        <wp:inline xmlns:a="http://schemas.openxmlformats.org/drawingml/2006/main" xmlns:pic="http://schemas.openxmlformats.org/drawingml/2006/picture">
          <wp:extent cx="941137" cy="201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ct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1137" cy="2011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 w:eastAsia="Calibri" w:cs="Calibri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A2B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A2B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A2B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24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A2B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