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C15E6" w14:textId="77777777" w:rsidR="00993459" w:rsidRPr="00E97B5D" w:rsidRDefault="0091212D" w:rsidP="00993459">
      <w:pPr>
        <w:rPr>
          <w:rFonts w:cstheme="minorHAnsi"/>
          <w:b/>
          <w:bCs/>
        </w:rPr>
      </w:pPr>
      <w:bookmarkStart w:id="0" w:name="_Hlk16666905"/>
      <w:proofErr w:type="spellStart"/>
      <w:r>
        <w:rPr>
          <w:rFonts w:cstheme="minorHAnsi"/>
          <w:b/>
          <w:bCs/>
        </w:rPr>
        <w:t>HashRoot</w:t>
      </w:r>
      <w:proofErr w:type="spellEnd"/>
      <w:r>
        <w:rPr>
          <w:rFonts w:cstheme="minorHAnsi"/>
          <w:b/>
          <w:bCs/>
        </w:rPr>
        <w:t xml:space="preserve"> Healthcare Services</w:t>
      </w:r>
      <w:bookmarkStart w:id="1" w:name="_GoBack"/>
      <w:bookmarkEnd w:id="1"/>
    </w:p>
    <w:p w14:paraId="52E0D95E" w14:textId="77777777" w:rsidR="007F74C0" w:rsidRPr="00E97B5D" w:rsidRDefault="007F74C0" w:rsidP="00993459">
      <w:pPr>
        <w:rPr>
          <w:rFonts w:cstheme="minorHAnsi"/>
          <w:b/>
          <w:bCs/>
        </w:rPr>
      </w:pPr>
      <w:r w:rsidRPr="00E97B5D">
        <w:rPr>
          <w:rFonts w:cstheme="minorHAnsi"/>
          <w:b/>
          <w:bCs/>
        </w:rPr>
        <w:t>Differentiation Advantage</w:t>
      </w:r>
      <w:r w:rsidR="00845019">
        <w:rPr>
          <w:rFonts w:cstheme="minorHAnsi"/>
          <w:b/>
          <w:bCs/>
        </w:rPr>
        <w:t>s</w:t>
      </w:r>
      <w:r w:rsidRPr="00E97B5D">
        <w:rPr>
          <w:rFonts w:cstheme="minorHAnsi"/>
          <w:b/>
          <w:bCs/>
        </w:rPr>
        <w:t>:</w:t>
      </w:r>
    </w:p>
    <w:p w14:paraId="16FFC990" w14:textId="77777777" w:rsidR="00632D1B" w:rsidRDefault="007F74C0" w:rsidP="007F74C0">
      <w:pPr>
        <w:pStyle w:val="ListParagraph"/>
        <w:numPr>
          <w:ilvl w:val="0"/>
          <w:numId w:val="5"/>
        </w:numPr>
        <w:rPr>
          <w:rFonts w:cstheme="minorHAnsi"/>
        </w:rPr>
      </w:pPr>
      <w:r w:rsidRPr="00632D1B">
        <w:rPr>
          <w:rFonts w:cstheme="minorHAnsi"/>
        </w:rPr>
        <w:t xml:space="preserve">Uncompromised </w:t>
      </w:r>
      <w:r w:rsidR="00E97B5D" w:rsidRPr="00632D1B">
        <w:rPr>
          <w:rFonts w:cstheme="minorHAnsi"/>
        </w:rPr>
        <w:t>q</w:t>
      </w:r>
      <w:r w:rsidRPr="00632D1B">
        <w:rPr>
          <w:rFonts w:cstheme="minorHAnsi"/>
        </w:rPr>
        <w:t>uality</w:t>
      </w:r>
    </w:p>
    <w:p w14:paraId="6DE447B1" w14:textId="77777777" w:rsidR="00160A41" w:rsidRDefault="00160A41" w:rsidP="00160A41">
      <w:pPr>
        <w:pStyle w:val="ListParagraph"/>
        <w:numPr>
          <w:ilvl w:val="0"/>
          <w:numId w:val="5"/>
        </w:numPr>
        <w:rPr>
          <w:rFonts w:cstheme="minorHAnsi"/>
        </w:rPr>
      </w:pPr>
      <w:r>
        <w:rPr>
          <w:rFonts w:cstheme="minorHAnsi"/>
        </w:rPr>
        <w:t>Scalability</w:t>
      </w:r>
    </w:p>
    <w:p w14:paraId="699F3BD9" w14:textId="77777777" w:rsidR="007F74C0" w:rsidRPr="00632D1B" w:rsidRDefault="007F74C0" w:rsidP="007F74C0">
      <w:pPr>
        <w:pStyle w:val="ListParagraph"/>
        <w:numPr>
          <w:ilvl w:val="0"/>
          <w:numId w:val="5"/>
        </w:numPr>
        <w:rPr>
          <w:rFonts w:cstheme="minorHAnsi"/>
        </w:rPr>
      </w:pPr>
      <w:r w:rsidRPr="00632D1B">
        <w:rPr>
          <w:rFonts w:cstheme="minorHAnsi"/>
        </w:rPr>
        <w:t xml:space="preserve">Stringent Data </w:t>
      </w:r>
      <w:r w:rsidR="00333FC6" w:rsidRPr="00632D1B">
        <w:rPr>
          <w:rFonts w:cstheme="minorHAnsi"/>
        </w:rPr>
        <w:t>Privacy</w:t>
      </w:r>
    </w:p>
    <w:p w14:paraId="1CC7D910" w14:textId="77777777" w:rsidR="007F74C0" w:rsidRPr="00E97B5D" w:rsidRDefault="007F74C0" w:rsidP="007F74C0">
      <w:pPr>
        <w:pStyle w:val="ListParagraph"/>
        <w:numPr>
          <w:ilvl w:val="0"/>
          <w:numId w:val="5"/>
        </w:numPr>
        <w:rPr>
          <w:rFonts w:cstheme="minorHAnsi"/>
        </w:rPr>
      </w:pPr>
      <w:r w:rsidRPr="00E97B5D">
        <w:rPr>
          <w:rFonts w:cstheme="minorHAnsi"/>
        </w:rPr>
        <w:t>Committed Compliance Team</w:t>
      </w:r>
    </w:p>
    <w:p w14:paraId="39DEFD80" w14:textId="77777777" w:rsidR="007F74C0" w:rsidRDefault="00E97B5D" w:rsidP="007F74C0">
      <w:pPr>
        <w:pStyle w:val="ListParagraph"/>
        <w:numPr>
          <w:ilvl w:val="0"/>
          <w:numId w:val="5"/>
        </w:numPr>
        <w:rPr>
          <w:rFonts w:cstheme="minorHAnsi"/>
        </w:rPr>
      </w:pPr>
      <w:r w:rsidRPr="00E97B5D">
        <w:rPr>
          <w:rFonts w:cstheme="minorHAnsi"/>
        </w:rPr>
        <w:t>Time zone advantage</w:t>
      </w:r>
    </w:p>
    <w:p w14:paraId="3AAFE44D" w14:textId="77777777" w:rsidR="007771BF" w:rsidRPr="00E97B5D" w:rsidRDefault="007771BF" w:rsidP="007F74C0">
      <w:pPr>
        <w:pStyle w:val="ListParagraph"/>
        <w:numPr>
          <w:ilvl w:val="0"/>
          <w:numId w:val="5"/>
        </w:numPr>
        <w:rPr>
          <w:rFonts w:cstheme="minorHAnsi"/>
        </w:rPr>
      </w:pPr>
      <w:r>
        <w:rPr>
          <w:rFonts w:cstheme="minorHAnsi"/>
        </w:rPr>
        <w:t>Swift turn around</w:t>
      </w:r>
    </w:p>
    <w:p w14:paraId="08D63EC9" w14:textId="77777777" w:rsidR="00E97B5D" w:rsidRDefault="00E97B5D" w:rsidP="00E202D8">
      <w:pPr>
        <w:rPr>
          <w:rFonts w:cstheme="minorHAnsi"/>
          <w:b/>
          <w:bCs/>
        </w:rPr>
      </w:pPr>
    </w:p>
    <w:p w14:paraId="1E334C36" w14:textId="77777777" w:rsidR="00E202D8" w:rsidRPr="00E97B5D" w:rsidRDefault="002C7C3E" w:rsidP="00E202D8">
      <w:pPr>
        <w:rPr>
          <w:rFonts w:cstheme="minorHAnsi"/>
          <w:b/>
          <w:bCs/>
        </w:rPr>
      </w:pPr>
      <w:r w:rsidRPr="00E97B5D">
        <w:rPr>
          <w:rFonts w:cstheme="minorHAnsi"/>
          <w:b/>
          <w:bCs/>
        </w:rPr>
        <w:t>Services we offer:</w:t>
      </w:r>
    </w:p>
    <w:p w14:paraId="30FF6705" w14:textId="77777777" w:rsidR="00993459" w:rsidRPr="00E97B5D" w:rsidRDefault="00993459" w:rsidP="00993459">
      <w:pPr>
        <w:rPr>
          <w:rFonts w:cstheme="minorHAnsi"/>
          <w:b/>
          <w:bCs/>
        </w:rPr>
      </w:pPr>
      <w:r w:rsidRPr="00E97B5D">
        <w:rPr>
          <w:rFonts w:cstheme="minorHAnsi"/>
          <w:b/>
          <w:bCs/>
        </w:rPr>
        <w:t xml:space="preserve">Revenue Cycle Management </w:t>
      </w:r>
      <w:r w:rsidR="00F160BB" w:rsidRPr="00E97B5D">
        <w:rPr>
          <w:rFonts w:cstheme="minorHAnsi"/>
          <w:b/>
          <w:bCs/>
        </w:rPr>
        <w:t>Services</w:t>
      </w:r>
    </w:p>
    <w:p w14:paraId="511FF585" w14:textId="77777777" w:rsidR="00BE0BAC" w:rsidRDefault="00BE0BAC" w:rsidP="00993459">
      <w:pPr>
        <w:pStyle w:val="ListParagraph"/>
        <w:numPr>
          <w:ilvl w:val="0"/>
          <w:numId w:val="1"/>
        </w:numPr>
        <w:rPr>
          <w:rFonts w:cstheme="minorHAnsi"/>
        </w:rPr>
        <w:sectPr w:rsidR="00BE0BAC" w:rsidSect="00D153A5">
          <w:pgSz w:w="12240" w:h="15840"/>
          <w:pgMar w:top="1440" w:right="1440" w:bottom="1440" w:left="1170" w:header="708" w:footer="708" w:gutter="0"/>
          <w:cols w:space="708"/>
          <w:docGrid w:linePitch="360"/>
        </w:sectPr>
      </w:pPr>
    </w:p>
    <w:p w14:paraId="521ACCD3" w14:textId="77777777" w:rsidR="00993459" w:rsidRPr="00E97B5D" w:rsidRDefault="00993459" w:rsidP="00993459">
      <w:pPr>
        <w:pStyle w:val="ListParagraph"/>
        <w:numPr>
          <w:ilvl w:val="0"/>
          <w:numId w:val="1"/>
        </w:numPr>
        <w:rPr>
          <w:rFonts w:cstheme="minorHAnsi"/>
        </w:rPr>
      </w:pPr>
      <w:r w:rsidRPr="00E97B5D">
        <w:rPr>
          <w:rFonts w:cstheme="minorHAnsi"/>
        </w:rPr>
        <w:lastRenderedPageBreak/>
        <w:t>Patient Registration</w:t>
      </w:r>
      <w:r w:rsidR="00F361F8" w:rsidRPr="00E97B5D">
        <w:rPr>
          <w:rFonts w:cstheme="minorHAnsi"/>
        </w:rPr>
        <w:tab/>
      </w:r>
      <w:r w:rsidR="00F361F8" w:rsidRPr="00E97B5D">
        <w:rPr>
          <w:rFonts w:cstheme="minorHAnsi"/>
        </w:rPr>
        <w:tab/>
      </w:r>
      <w:r w:rsidR="00F361F8" w:rsidRPr="00E97B5D">
        <w:rPr>
          <w:rFonts w:cstheme="minorHAnsi"/>
        </w:rPr>
        <w:tab/>
      </w:r>
    </w:p>
    <w:p w14:paraId="6930AEDD" w14:textId="77777777" w:rsidR="00993459" w:rsidRPr="00E97B5D" w:rsidRDefault="00D153A5" w:rsidP="00993459">
      <w:pPr>
        <w:pStyle w:val="ListParagraph"/>
        <w:numPr>
          <w:ilvl w:val="0"/>
          <w:numId w:val="1"/>
        </w:numPr>
        <w:rPr>
          <w:rFonts w:cstheme="minorHAnsi"/>
        </w:rPr>
      </w:pPr>
      <w:r w:rsidRPr="00E97B5D">
        <w:rPr>
          <w:rFonts w:cstheme="minorHAnsi"/>
        </w:rPr>
        <w:t>Eligibility Verification</w:t>
      </w:r>
    </w:p>
    <w:p w14:paraId="0BB149ED" w14:textId="77777777" w:rsidR="00D153A5" w:rsidRPr="00E97B5D" w:rsidRDefault="00D153A5" w:rsidP="00993459">
      <w:pPr>
        <w:pStyle w:val="ListParagraph"/>
        <w:numPr>
          <w:ilvl w:val="0"/>
          <w:numId w:val="1"/>
        </w:numPr>
        <w:rPr>
          <w:rFonts w:cstheme="minorHAnsi"/>
        </w:rPr>
      </w:pPr>
      <w:r w:rsidRPr="00E97B5D">
        <w:rPr>
          <w:rFonts w:cstheme="minorHAnsi"/>
        </w:rPr>
        <w:t>Coding</w:t>
      </w:r>
    </w:p>
    <w:p w14:paraId="2B6DC352" w14:textId="77777777" w:rsidR="00D153A5" w:rsidRPr="00E97B5D" w:rsidRDefault="00D153A5" w:rsidP="00993459">
      <w:pPr>
        <w:pStyle w:val="ListParagraph"/>
        <w:numPr>
          <w:ilvl w:val="0"/>
          <w:numId w:val="1"/>
        </w:numPr>
        <w:rPr>
          <w:rFonts w:cstheme="minorHAnsi"/>
        </w:rPr>
      </w:pPr>
      <w:r w:rsidRPr="00E97B5D">
        <w:rPr>
          <w:rFonts w:cstheme="minorHAnsi"/>
        </w:rPr>
        <w:t>Charge Entry</w:t>
      </w:r>
    </w:p>
    <w:p w14:paraId="2CEAD970" w14:textId="77777777" w:rsidR="00D153A5" w:rsidRPr="00E97B5D" w:rsidRDefault="00D153A5" w:rsidP="00993459">
      <w:pPr>
        <w:pStyle w:val="ListParagraph"/>
        <w:numPr>
          <w:ilvl w:val="0"/>
          <w:numId w:val="1"/>
        </w:numPr>
        <w:rPr>
          <w:rFonts w:cstheme="minorHAnsi"/>
        </w:rPr>
      </w:pPr>
      <w:r w:rsidRPr="00E97B5D">
        <w:rPr>
          <w:rFonts w:cstheme="minorHAnsi"/>
        </w:rPr>
        <w:t>Claims Submission</w:t>
      </w:r>
    </w:p>
    <w:p w14:paraId="48A45D74" w14:textId="77777777" w:rsidR="00D153A5" w:rsidRPr="00E97B5D" w:rsidRDefault="00D153A5" w:rsidP="00993459">
      <w:pPr>
        <w:pStyle w:val="ListParagraph"/>
        <w:numPr>
          <w:ilvl w:val="0"/>
          <w:numId w:val="1"/>
        </w:numPr>
        <w:rPr>
          <w:rFonts w:cstheme="minorHAnsi"/>
        </w:rPr>
      </w:pPr>
      <w:r w:rsidRPr="00E97B5D">
        <w:rPr>
          <w:rFonts w:cstheme="minorHAnsi"/>
        </w:rPr>
        <w:lastRenderedPageBreak/>
        <w:t>Payment Posting</w:t>
      </w:r>
    </w:p>
    <w:p w14:paraId="64A1F4B8" w14:textId="77777777" w:rsidR="00D153A5" w:rsidRPr="00E97B5D" w:rsidRDefault="00D153A5" w:rsidP="00993459">
      <w:pPr>
        <w:pStyle w:val="ListParagraph"/>
        <w:numPr>
          <w:ilvl w:val="0"/>
          <w:numId w:val="1"/>
        </w:numPr>
        <w:rPr>
          <w:rFonts w:cstheme="minorHAnsi"/>
        </w:rPr>
      </w:pPr>
      <w:r w:rsidRPr="00E97B5D">
        <w:rPr>
          <w:rFonts w:cstheme="minorHAnsi"/>
        </w:rPr>
        <w:t>Account Receivable follow-up</w:t>
      </w:r>
    </w:p>
    <w:p w14:paraId="34361EEC" w14:textId="77777777" w:rsidR="00D153A5" w:rsidRPr="00E97B5D" w:rsidRDefault="00D153A5" w:rsidP="00993459">
      <w:pPr>
        <w:pStyle w:val="ListParagraph"/>
        <w:numPr>
          <w:ilvl w:val="0"/>
          <w:numId w:val="1"/>
        </w:numPr>
        <w:rPr>
          <w:rFonts w:cstheme="minorHAnsi"/>
        </w:rPr>
      </w:pPr>
      <w:r w:rsidRPr="00E97B5D">
        <w:rPr>
          <w:rFonts w:cstheme="minorHAnsi"/>
        </w:rPr>
        <w:t>Denial Management</w:t>
      </w:r>
    </w:p>
    <w:p w14:paraId="1B4D02AD" w14:textId="77777777" w:rsidR="00D153A5" w:rsidRPr="00E97B5D" w:rsidRDefault="00D153A5" w:rsidP="00D153A5">
      <w:pPr>
        <w:pStyle w:val="ListParagraph"/>
        <w:numPr>
          <w:ilvl w:val="0"/>
          <w:numId w:val="1"/>
        </w:numPr>
        <w:tabs>
          <w:tab w:val="left" w:pos="360"/>
        </w:tabs>
        <w:rPr>
          <w:rFonts w:cstheme="minorHAnsi"/>
        </w:rPr>
      </w:pPr>
      <w:r w:rsidRPr="00E97B5D">
        <w:rPr>
          <w:rFonts w:cstheme="minorHAnsi"/>
        </w:rPr>
        <w:t>Credit Balance</w:t>
      </w:r>
      <w:r w:rsidR="00876455" w:rsidRPr="00E97B5D">
        <w:rPr>
          <w:rFonts w:cstheme="minorHAnsi"/>
        </w:rPr>
        <w:t>s</w:t>
      </w:r>
      <w:r w:rsidRPr="00E97B5D">
        <w:rPr>
          <w:rFonts w:cstheme="minorHAnsi"/>
        </w:rPr>
        <w:t xml:space="preserve"> </w:t>
      </w:r>
      <w:r w:rsidR="00876455" w:rsidRPr="00E97B5D">
        <w:rPr>
          <w:rFonts w:cstheme="minorHAnsi"/>
        </w:rPr>
        <w:t xml:space="preserve">and </w:t>
      </w:r>
      <w:r w:rsidRPr="00E97B5D">
        <w:rPr>
          <w:rFonts w:cstheme="minorHAnsi"/>
        </w:rPr>
        <w:t>Refunds</w:t>
      </w:r>
    </w:p>
    <w:p w14:paraId="746C7080" w14:textId="77777777" w:rsidR="00D153A5" w:rsidRPr="00E97B5D" w:rsidRDefault="00F361F8" w:rsidP="00D153A5">
      <w:pPr>
        <w:pStyle w:val="ListParagraph"/>
        <w:numPr>
          <w:ilvl w:val="0"/>
          <w:numId w:val="1"/>
        </w:numPr>
        <w:tabs>
          <w:tab w:val="left" w:pos="360"/>
        </w:tabs>
        <w:rPr>
          <w:rFonts w:cstheme="minorHAnsi"/>
          <w:b/>
          <w:bCs/>
        </w:rPr>
      </w:pPr>
      <w:r w:rsidRPr="00E97B5D">
        <w:rPr>
          <w:rFonts w:cstheme="minorHAnsi"/>
        </w:rPr>
        <w:t>Self-pay review</w:t>
      </w:r>
      <w:r w:rsidR="00EC4215" w:rsidRPr="00E97B5D">
        <w:rPr>
          <w:rFonts w:cstheme="minorHAnsi"/>
        </w:rPr>
        <w:t xml:space="preserve"> / Patient Statements</w:t>
      </w:r>
    </w:p>
    <w:bookmarkEnd w:id="0"/>
    <w:p w14:paraId="7F24CD8A" w14:textId="77777777" w:rsidR="00BE0BAC" w:rsidRDefault="00BE0BAC" w:rsidP="002A3FD9">
      <w:pPr>
        <w:rPr>
          <w:rFonts w:cstheme="minorHAnsi"/>
        </w:rPr>
        <w:sectPr w:rsidR="00BE0BAC" w:rsidSect="00BE0BAC">
          <w:type w:val="continuous"/>
          <w:pgSz w:w="12240" w:h="15840"/>
          <w:pgMar w:top="1440" w:right="1440" w:bottom="1440" w:left="1170" w:header="708" w:footer="708" w:gutter="0"/>
          <w:cols w:num="2" w:space="708"/>
          <w:docGrid w:linePitch="360"/>
        </w:sectPr>
      </w:pPr>
    </w:p>
    <w:p w14:paraId="41EE2ED4" w14:textId="77777777" w:rsidR="002A3FD9" w:rsidRPr="00E97B5D" w:rsidRDefault="002A3FD9" w:rsidP="002A3FD9">
      <w:pPr>
        <w:rPr>
          <w:rFonts w:cstheme="minorHAnsi"/>
        </w:rPr>
      </w:pPr>
    </w:p>
    <w:p w14:paraId="6987530E" w14:textId="77777777" w:rsidR="00416787" w:rsidRPr="00E97B5D" w:rsidRDefault="00416787" w:rsidP="007365BC">
      <w:pPr>
        <w:numPr>
          <w:ilvl w:val="0"/>
          <w:numId w:val="4"/>
        </w:numPr>
        <w:spacing w:before="113" w:after="100" w:afterAutospacing="1" w:line="240" w:lineRule="auto"/>
        <w:ind w:right="-112"/>
        <w:jc w:val="both"/>
        <w:rPr>
          <w:rFonts w:eastAsia="Times New Roman" w:cstheme="minorHAnsi"/>
        </w:rPr>
      </w:pPr>
      <w:r w:rsidRPr="00E97B5D">
        <w:rPr>
          <w:rFonts w:eastAsia="Times New Roman" w:cstheme="minorHAnsi"/>
          <w:b/>
          <w:bCs/>
        </w:rPr>
        <w:t>Patient Registration:</w:t>
      </w:r>
      <w:r w:rsidRPr="00E97B5D">
        <w:rPr>
          <w:rFonts w:eastAsia="Times New Roman" w:cstheme="minorHAnsi"/>
        </w:rPr>
        <w:t> </w:t>
      </w:r>
      <w:r w:rsidR="00D365EE" w:rsidRPr="00E97B5D">
        <w:rPr>
          <w:rFonts w:eastAsia="Times New Roman" w:cstheme="minorHAnsi"/>
        </w:rPr>
        <w:t xml:space="preserve">Before scheduling the appointment, </w:t>
      </w:r>
      <w:r w:rsidR="00BE777A" w:rsidRPr="00E97B5D">
        <w:rPr>
          <w:rFonts w:eastAsia="Times New Roman" w:cstheme="minorHAnsi"/>
        </w:rPr>
        <w:t xml:space="preserve">collecting patient demographic information, </w:t>
      </w:r>
      <w:r w:rsidR="00D365EE" w:rsidRPr="00E97B5D">
        <w:rPr>
          <w:rFonts w:eastAsia="Times New Roman" w:cstheme="minorHAnsi"/>
        </w:rPr>
        <w:t>confirming patient’s insurance cover and getting the financial responsibility acknowledged can make key enhancements through out revenue cycle management process.</w:t>
      </w:r>
    </w:p>
    <w:p w14:paraId="078A2A57" w14:textId="77777777" w:rsidR="00D365EE" w:rsidRPr="00E97B5D" w:rsidRDefault="00D365EE" w:rsidP="00D365EE">
      <w:pPr>
        <w:spacing w:before="113" w:after="100" w:afterAutospacing="1" w:line="240" w:lineRule="auto"/>
        <w:ind w:left="720" w:right="-112"/>
        <w:jc w:val="both"/>
        <w:rPr>
          <w:rFonts w:eastAsia="Times New Roman" w:cstheme="minorHAnsi"/>
        </w:rPr>
      </w:pPr>
      <w:r w:rsidRPr="00E97B5D">
        <w:rPr>
          <w:rFonts w:eastAsia="Times New Roman" w:cstheme="minorHAnsi"/>
        </w:rPr>
        <w:t xml:space="preserve">HashRoot’s Patient Registration team </w:t>
      </w:r>
      <w:r w:rsidR="00BE777A" w:rsidRPr="00E97B5D">
        <w:rPr>
          <w:rFonts w:eastAsia="Times New Roman" w:cstheme="minorHAnsi"/>
        </w:rPr>
        <w:t xml:space="preserve">provides a high standard service which </w:t>
      </w:r>
      <w:r w:rsidRPr="00E97B5D">
        <w:rPr>
          <w:rFonts w:eastAsia="Times New Roman" w:cstheme="minorHAnsi"/>
        </w:rPr>
        <w:t>helps you eliminate registration and billing errors and an improved patient satisfaction. These errors can cause delays in billing and reimbursement</w:t>
      </w:r>
    </w:p>
    <w:p w14:paraId="5A86EE72" w14:textId="77777777" w:rsidR="00416787" w:rsidRPr="00E97B5D" w:rsidRDefault="00416787" w:rsidP="00416787">
      <w:pPr>
        <w:spacing w:before="113" w:after="100" w:afterAutospacing="1" w:line="240" w:lineRule="auto"/>
        <w:ind w:right="-112"/>
        <w:jc w:val="both"/>
        <w:rPr>
          <w:rFonts w:eastAsia="Times New Roman" w:cstheme="minorHAnsi"/>
        </w:rPr>
      </w:pPr>
    </w:p>
    <w:p w14:paraId="05767704" w14:textId="77777777" w:rsidR="00223062" w:rsidRPr="00E97B5D" w:rsidRDefault="004428BF" w:rsidP="007A0AC5">
      <w:pPr>
        <w:numPr>
          <w:ilvl w:val="0"/>
          <w:numId w:val="4"/>
        </w:numPr>
        <w:spacing w:before="113" w:after="100" w:afterAutospacing="1" w:line="240" w:lineRule="auto"/>
        <w:ind w:right="-112"/>
        <w:jc w:val="both"/>
        <w:rPr>
          <w:rFonts w:eastAsia="Times New Roman" w:cstheme="minorHAnsi"/>
        </w:rPr>
      </w:pPr>
      <w:r w:rsidRPr="00E97B5D">
        <w:rPr>
          <w:rFonts w:eastAsia="Times New Roman" w:cstheme="minorHAnsi"/>
          <w:b/>
          <w:bCs/>
        </w:rPr>
        <w:t>Eligibility Verification:</w:t>
      </w:r>
      <w:r w:rsidRPr="00E97B5D">
        <w:rPr>
          <w:rFonts w:eastAsia="Times New Roman" w:cstheme="minorHAnsi"/>
        </w:rPr>
        <w:t xml:space="preserve"> Before the patient's visit to the provider, we perform pre-insurance verification to check eligibility regarding the particular insurance, requirement for any pre-authorization or referral, whether any copayment has to be collected, if the patient has met the deductible, the amount of co-insurance the patient shares, and whether the patient's insurance covers the service sought from the provider. </w:t>
      </w:r>
    </w:p>
    <w:p w14:paraId="2CC081A3" w14:textId="77777777" w:rsidR="004428BF" w:rsidRPr="00E97B5D" w:rsidRDefault="004428BF" w:rsidP="007A0AC5">
      <w:pPr>
        <w:spacing w:before="113" w:after="100" w:afterAutospacing="1" w:line="240" w:lineRule="auto"/>
        <w:ind w:left="720" w:right="-112"/>
        <w:jc w:val="both"/>
        <w:rPr>
          <w:rFonts w:eastAsia="Times New Roman" w:cstheme="minorHAnsi"/>
        </w:rPr>
      </w:pPr>
      <w:r w:rsidRPr="00E97B5D">
        <w:rPr>
          <w:rFonts w:eastAsia="Times New Roman" w:cstheme="minorHAnsi"/>
        </w:rPr>
        <w:t xml:space="preserve">This step is important because many insurance providers do not provide retro authorization. </w:t>
      </w:r>
      <w:r w:rsidR="00B52A47">
        <w:rPr>
          <w:rFonts w:eastAsia="Times New Roman" w:cstheme="minorHAnsi"/>
        </w:rPr>
        <w:t>Eligibility verification</w:t>
      </w:r>
      <w:r w:rsidR="00E31E4A">
        <w:rPr>
          <w:rFonts w:eastAsia="Times New Roman" w:cstheme="minorHAnsi"/>
        </w:rPr>
        <w:t xml:space="preserve"> can speed up payment process and reduced write-offs</w:t>
      </w:r>
      <w:r w:rsidR="00BE0BAC">
        <w:rPr>
          <w:rFonts w:eastAsia="Times New Roman" w:cstheme="minorHAnsi"/>
        </w:rPr>
        <w:t xml:space="preserve"> or bad debts.</w:t>
      </w:r>
    </w:p>
    <w:p w14:paraId="703A11FE" w14:textId="77777777" w:rsidR="00FC5A8A" w:rsidRPr="00E97B5D" w:rsidRDefault="004428BF" w:rsidP="00BE7ED3">
      <w:pPr>
        <w:numPr>
          <w:ilvl w:val="0"/>
          <w:numId w:val="4"/>
        </w:numPr>
        <w:spacing w:before="113" w:after="100" w:afterAutospacing="1" w:line="240" w:lineRule="auto"/>
        <w:ind w:right="-112"/>
        <w:jc w:val="both"/>
        <w:rPr>
          <w:rFonts w:eastAsia="Times New Roman" w:cstheme="minorHAnsi"/>
          <w:b/>
          <w:bCs/>
        </w:rPr>
      </w:pPr>
      <w:r w:rsidRPr="00E97B5D">
        <w:rPr>
          <w:rFonts w:eastAsia="Times New Roman" w:cstheme="minorHAnsi"/>
          <w:b/>
          <w:bCs/>
        </w:rPr>
        <w:t>Medical Coding:</w:t>
      </w:r>
      <w:r w:rsidRPr="00E97B5D">
        <w:rPr>
          <w:rFonts w:eastAsia="Times New Roman" w:cstheme="minorHAnsi"/>
        </w:rPr>
        <w:t> </w:t>
      </w:r>
      <w:r w:rsidR="00223062" w:rsidRPr="00E97B5D">
        <w:rPr>
          <w:rFonts w:eastAsia="Times New Roman" w:cstheme="minorHAnsi"/>
        </w:rPr>
        <w:t>Hash</w:t>
      </w:r>
      <w:r w:rsidR="00FC5A8A" w:rsidRPr="00E97B5D">
        <w:rPr>
          <w:rFonts w:eastAsia="Times New Roman" w:cstheme="minorHAnsi"/>
        </w:rPr>
        <w:t>R</w:t>
      </w:r>
      <w:r w:rsidR="00223062" w:rsidRPr="00E97B5D">
        <w:rPr>
          <w:rFonts w:eastAsia="Times New Roman" w:cstheme="minorHAnsi"/>
        </w:rPr>
        <w:t>oot follow</w:t>
      </w:r>
      <w:r w:rsidR="00FC5A8A" w:rsidRPr="00E97B5D">
        <w:rPr>
          <w:rFonts w:eastAsia="Times New Roman" w:cstheme="minorHAnsi"/>
        </w:rPr>
        <w:t>s</w:t>
      </w:r>
      <w:r w:rsidR="00223062" w:rsidRPr="00E97B5D">
        <w:rPr>
          <w:rFonts w:eastAsia="Times New Roman" w:cstheme="minorHAnsi"/>
        </w:rPr>
        <w:t xml:space="preserve"> a </w:t>
      </w:r>
      <w:r w:rsidR="00FC5A8A" w:rsidRPr="00E97B5D">
        <w:rPr>
          <w:rFonts w:eastAsia="Times New Roman" w:cstheme="minorHAnsi"/>
        </w:rPr>
        <w:t>3-tier coding process (super bill validation, coding &amp; coding validation). Our team of coders are certified experts, who can solve your most persistent coding challenges. With our coding specialists working for your practice, you can benefit from lower denials and an increased revenue</w:t>
      </w:r>
    </w:p>
    <w:p w14:paraId="7ED13DEC" w14:textId="77777777" w:rsidR="00223062" w:rsidRPr="00E97B5D" w:rsidRDefault="00223062" w:rsidP="007A0AC5">
      <w:pPr>
        <w:spacing w:before="113" w:after="100" w:afterAutospacing="1" w:line="240" w:lineRule="auto"/>
        <w:ind w:right="-112"/>
        <w:jc w:val="both"/>
        <w:rPr>
          <w:rFonts w:eastAsia="Times New Roman" w:cstheme="minorHAnsi"/>
        </w:rPr>
      </w:pPr>
    </w:p>
    <w:p w14:paraId="3C41824B" w14:textId="77777777" w:rsidR="00223062" w:rsidRPr="00E97B5D" w:rsidRDefault="004428BF" w:rsidP="007A0AC5">
      <w:pPr>
        <w:numPr>
          <w:ilvl w:val="0"/>
          <w:numId w:val="4"/>
        </w:numPr>
        <w:spacing w:before="113" w:after="100" w:afterAutospacing="1" w:line="240" w:lineRule="auto"/>
        <w:ind w:right="-112"/>
        <w:jc w:val="both"/>
        <w:rPr>
          <w:rFonts w:eastAsia="Times New Roman" w:cstheme="minorHAnsi"/>
        </w:rPr>
      </w:pPr>
      <w:r w:rsidRPr="00E97B5D">
        <w:rPr>
          <w:rFonts w:eastAsia="Times New Roman" w:cstheme="minorHAnsi"/>
          <w:b/>
          <w:bCs/>
        </w:rPr>
        <w:t>Charge Entry:</w:t>
      </w:r>
      <w:r w:rsidRPr="00E97B5D">
        <w:rPr>
          <w:rFonts w:eastAsia="Times New Roman" w:cstheme="minorHAnsi"/>
        </w:rPr>
        <w:t> </w:t>
      </w:r>
      <w:r w:rsidR="00FC5A8A" w:rsidRPr="00E97B5D">
        <w:rPr>
          <w:rFonts w:eastAsia="Times New Roman" w:cstheme="minorHAnsi"/>
        </w:rPr>
        <w:t xml:space="preserve"> HashRoot </w:t>
      </w:r>
      <w:r w:rsidR="00AC680E" w:rsidRPr="00E97B5D">
        <w:rPr>
          <w:rFonts w:eastAsia="Times New Roman" w:cstheme="minorHAnsi"/>
        </w:rPr>
        <w:t>provides charge entry services that allows a superior accuracy and decreased deficits. We perform an audit on the entered charges before submission, to ensure a clean claim is submitted to the insurance</w:t>
      </w:r>
      <w:r w:rsidR="00AC680E" w:rsidRPr="00E97B5D">
        <w:rPr>
          <w:rFonts w:eastAsia="Times New Roman" w:cstheme="minorHAnsi"/>
          <w:b/>
          <w:bCs/>
        </w:rPr>
        <w:t>.</w:t>
      </w:r>
    </w:p>
    <w:p w14:paraId="38303EF4" w14:textId="77777777" w:rsidR="00AC680E" w:rsidRPr="00B63620" w:rsidRDefault="00AC680E" w:rsidP="007A0AC5">
      <w:pPr>
        <w:spacing w:before="113" w:after="100" w:afterAutospacing="1" w:line="240" w:lineRule="auto"/>
        <w:ind w:right="-112"/>
        <w:jc w:val="both"/>
        <w:rPr>
          <w:rFonts w:eastAsia="Times New Roman" w:cstheme="minorHAnsi"/>
          <w:sz w:val="2"/>
          <w:szCs w:val="2"/>
        </w:rPr>
      </w:pPr>
    </w:p>
    <w:p w14:paraId="2DEBE9F6" w14:textId="77777777" w:rsidR="00AC680E" w:rsidRPr="00E97B5D" w:rsidRDefault="004428BF" w:rsidP="007A0AC5">
      <w:pPr>
        <w:numPr>
          <w:ilvl w:val="0"/>
          <w:numId w:val="4"/>
        </w:numPr>
        <w:spacing w:before="113" w:after="100" w:afterAutospacing="1" w:line="240" w:lineRule="auto"/>
        <w:ind w:right="-112"/>
        <w:jc w:val="both"/>
        <w:rPr>
          <w:rFonts w:eastAsia="Times New Roman" w:cstheme="minorHAnsi"/>
        </w:rPr>
      </w:pPr>
      <w:r w:rsidRPr="00E97B5D">
        <w:rPr>
          <w:rFonts w:eastAsia="Times New Roman" w:cstheme="minorHAnsi"/>
          <w:b/>
          <w:bCs/>
        </w:rPr>
        <w:t>Claims Transmission:</w:t>
      </w:r>
      <w:r w:rsidRPr="00E97B5D">
        <w:rPr>
          <w:rFonts w:eastAsia="Times New Roman" w:cstheme="minorHAnsi"/>
        </w:rPr>
        <w:t> </w:t>
      </w:r>
      <w:r w:rsidR="00AC680E" w:rsidRPr="00E97B5D">
        <w:rPr>
          <w:rFonts w:eastAsia="Times New Roman" w:cstheme="minorHAnsi"/>
        </w:rPr>
        <w:t xml:space="preserve">HashRoot provides claim submission services to </w:t>
      </w:r>
      <w:r w:rsidR="008C586E" w:rsidRPr="00E97B5D">
        <w:rPr>
          <w:rFonts w:eastAsia="Times New Roman" w:cstheme="minorHAnsi"/>
        </w:rPr>
        <w:t>help the physicians rationalize their claims management. Our categorized style of passing on claims to specific employee groups based on pro-actively identified measures maximizes efficiency of the claim submission process</w:t>
      </w:r>
      <w:r w:rsidR="00A05641" w:rsidRPr="00E97B5D">
        <w:rPr>
          <w:rFonts w:eastAsia="Times New Roman" w:cstheme="minorHAnsi"/>
        </w:rPr>
        <w:t>.</w:t>
      </w:r>
    </w:p>
    <w:p w14:paraId="4E7B5B9B" w14:textId="77777777" w:rsidR="00A05641" w:rsidRPr="00E97B5D" w:rsidRDefault="00A05641" w:rsidP="007A0AC5">
      <w:pPr>
        <w:pStyle w:val="ListParagraph"/>
        <w:jc w:val="both"/>
        <w:rPr>
          <w:rFonts w:eastAsia="Times New Roman" w:cstheme="minorHAnsi"/>
        </w:rPr>
      </w:pPr>
      <w:r w:rsidRPr="00E97B5D">
        <w:rPr>
          <w:rFonts w:eastAsia="Times New Roman" w:cstheme="minorHAnsi"/>
        </w:rPr>
        <w:t>Generally clearing houses provide</w:t>
      </w:r>
      <w:r w:rsidR="00DF2A8D" w:rsidRPr="00E97B5D">
        <w:rPr>
          <w:rFonts w:eastAsia="Times New Roman" w:cstheme="minorHAnsi"/>
        </w:rPr>
        <w:t>s</w:t>
      </w:r>
      <w:r w:rsidRPr="00E97B5D">
        <w:rPr>
          <w:rFonts w:eastAsia="Times New Roman" w:cstheme="minorHAnsi"/>
        </w:rPr>
        <w:t xml:space="preserve"> a report within 24 hours </w:t>
      </w:r>
      <w:r w:rsidR="00DF2A8D" w:rsidRPr="00E97B5D">
        <w:rPr>
          <w:rFonts w:eastAsia="Times New Roman" w:cstheme="minorHAnsi"/>
        </w:rPr>
        <w:t>which contains accepted &amp; rejected claims on the submitted list</w:t>
      </w:r>
      <w:r w:rsidRPr="00E97B5D">
        <w:rPr>
          <w:rFonts w:eastAsia="Times New Roman" w:cstheme="minorHAnsi"/>
        </w:rPr>
        <w:t xml:space="preserve">, </w:t>
      </w:r>
      <w:r w:rsidR="00DF2A8D" w:rsidRPr="00E97B5D">
        <w:rPr>
          <w:rFonts w:eastAsia="Times New Roman" w:cstheme="minorHAnsi"/>
        </w:rPr>
        <w:t xml:space="preserve">our team will </w:t>
      </w:r>
      <w:r w:rsidRPr="00E97B5D">
        <w:rPr>
          <w:rFonts w:eastAsia="Times New Roman" w:cstheme="minorHAnsi"/>
        </w:rPr>
        <w:t>review the</w:t>
      </w:r>
      <w:r w:rsidR="00DF2A8D" w:rsidRPr="00E97B5D">
        <w:rPr>
          <w:rFonts w:eastAsia="Times New Roman" w:cstheme="minorHAnsi"/>
        </w:rPr>
        <w:t>se</w:t>
      </w:r>
      <w:r w:rsidRPr="00E97B5D">
        <w:rPr>
          <w:rFonts w:eastAsia="Times New Roman" w:cstheme="minorHAnsi"/>
        </w:rPr>
        <w:t xml:space="preserve"> reports on a priority basis. Within 24 hours, we will </w:t>
      </w:r>
      <w:r w:rsidR="00DF2A8D" w:rsidRPr="00E97B5D">
        <w:rPr>
          <w:rFonts w:eastAsia="Times New Roman" w:cstheme="minorHAnsi"/>
        </w:rPr>
        <w:t xml:space="preserve">fix </w:t>
      </w:r>
      <w:r w:rsidRPr="00E97B5D">
        <w:rPr>
          <w:rFonts w:eastAsia="Times New Roman" w:cstheme="minorHAnsi"/>
        </w:rPr>
        <w:t xml:space="preserve">the </w:t>
      </w:r>
      <w:r w:rsidR="00DF2A8D" w:rsidRPr="00E97B5D">
        <w:rPr>
          <w:rFonts w:eastAsia="Times New Roman" w:cstheme="minorHAnsi"/>
        </w:rPr>
        <w:t xml:space="preserve">rejected </w:t>
      </w:r>
      <w:r w:rsidRPr="00E97B5D">
        <w:rPr>
          <w:rFonts w:eastAsia="Times New Roman" w:cstheme="minorHAnsi"/>
        </w:rPr>
        <w:t>claims and resubmit them to the insurance</w:t>
      </w:r>
      <w:r w:rsidR="00DF2A8D" w:rsidRPr="00E97B5D">
        <w:rPr>
          <w:rFonts w:eastAsia="Times New Roman" w:cstheme="minorHAnsi"/>
        </w:rPr>
        <w:t>.</w:t>
      </w:r>
    </w:p>
    <w:p w14:paraId="6D762FF5" w14:textId="77777777" w:rsidR="00A05641" w:rsidRPr="00E97B5D" w:rsidRDefault="00A05641" w:rsidP="00B63620">
      <w:pPr>
        <w:spacing w:before="113" w:after="100" w:afterAutospacing="1" w:line="240" w:lineRule="auto"/>
        <w:ind w:right="-112"/>
        <w:jc w:val="both"/>
        <w:rPr>
          <w:rFonts w:eastAsia="Times New Roman" w:cstheme="minorHAnsi"/>
        </w:rPr>
      </w:pPr>
      <w:r w:rsidRPr="00E97B5D">
        <w:rPr>
          <w:rFonts w:eastAsia="Times New Roman" w:cstheme="minorHAnsi"/>
        </w:rPr>
        <w:tab/>
        <w:t>We also have the ability of processing paper claims.</w:t>
      </w:r>
    </w:p>
    <w:p w14:paraId="6A1AC45C" w14:textId="77777777" w:rsidR="00AC680E" w:rsidRPr="00B63620" w:rsidRDefault="00AC680E" w:rsidP="00DF2A8D">
      <w:pPr>
        <w:rPr>
          <w:rFonts w:eastAsia="Times New Roman" w:cstheme="minorHAnsi"/>
          <w:sz w:val="2"/>
          <w:szCs w:val="2"/>
        </w:rPr>
      </w:pPr>
    </w:p>
    <w:p w14:paraId="1FEBEF17" w14:textId="77777777" w:rsidR="001C5A0F" w:rsidRPr="00E97B5D" w:rsidRDefault="004428BF" w:rsidP="007365BC">
      <w:pPr>
        <w:numPr>
          <w:ilvl w:val="0"/>
          <w:numId w:val="4"/>
        </w:numPr>
        <w:spacing w:before="113" w:after="100" w:afterAutospacing="1" w:line="240" w:lineRule="auto"/>
        <w:ind w:right="-112"/>
        <w:jc w:val="both"/>
        <w:rPr>
          <w:rFonts w:eastAsia="Times New Roman" w:cstheme="minorHAnsi"/>
        </w:rPr>
      </w:pPr>
      <w:r w:rsidRPr="00E97B5D">
        <w:rPr>
          <w:rFonts w:eastAsia="Times New Roman" w:cstheme="minorHAnsi"/>
          <w:b/>
          <w:bCs/>
        </w:rPr>
        <w:t>Payment Posting:</w:t>
      </w:r>
      <w:r w:rsidRPr="00E97B5D">
        <w:rPr>
          <w:rFonts w:eastAsia="Times New Roman" w:cstheme="minorHAnsi"/>
        </w:rPr>
        <w:t> </w:t>
      </w:r>
      <w:r w:rsidR="00DF2A8D" w:rsidRPr="00E97B5D">
        <w:rPr>
          <w:rFonts w:eastAsia="Times New Roman" w:cstheme="minorHAnsi"/>
        </w:rPr>
        <w:t>HashRoot</w:t>
      </w:r>
      <w:r w:rsidR="00DF2A8D" w:rsidRPr="00E97B5D">
        <w:rPr>
          <w:rFonts w:eastAsia="Times New Roman" w:cstheme="minorHAnsi"/>
          <w:b/>
          <w:bCs/>
        </w:rPr>
        <w:t xml:space="preserve"> </w:t>
      </w:r>
      <w:r w:rsidR="001C5A0F" w:rsidRPr="00E97B5D">
        <w:rPr>
          <w:rFonts w:eastAsia="Times New Roman" w:cstheme="minorHAnsi"/>
        </w:rPr>
        <w:t xml:space="preserve">provides a streamlined payment posting workflow </w:t>
      </w:r>
      <w:r w:rsidR="00E52D0A" w:rsidRPr="00E97B5D">
        <w:rPr>
          <w:rFonts w:eastAsia="Times New Roman" w:cstheme="minorHAnsi"/>
        </w:rPr>
        <w:t xml:space="preserve">for insurance and patient payments, </w:t>
      </w:r>
      <w:r w:rsidR="001C5A0F" w:rsidRPr="00E97B5D">
        <w:rPr>
          <w:rFonts w:eastAsia="Times New Roman" w:cstheme="minorHAnsi"/>
        </w:rPr>
        <w:t xml:space="preserve">that enables </w:t>
      </w:r>
      <w:r w:rsidR="00E52D0A" w:rsidRPr="00E97B5D">
        <w:rPr>
          <w:rFonts w:eastAsia="Times New Roman" w:cstheme="minorHAnsi"/>
        </w:rPr>
        <w:t xml:space="preserve">greater </w:t>
      </w:r>
      <w:r w:rsidR="001C5A0F" w:rsidRPr="00E97B5D">
        <w:rPr>
          <w:rFonts w:eastAsia="Times New Roman" w:cstheme="minorHAnsi"/>
        </w:rPr>
        <w:t xml:space="preserve">efficiency. If you have electronic lockboxes, we can interface with them to get </w:t>
      </w:r>
      <w:r w:rsidR="00E52D0A" w:rsidRPr="00E97B5D">
        <w:rPr>
          <w:rFonts w:eastAsia="Times New Roman" w:cstheme="minorHAnsi"/>
        </w:rPr>
        <w:t>EOB’s</w:t>
      </w:r>
      <w:r w:rsidR="001C5A0F" w:rsidRPr="00E97B5D">
        <w:rPr>
          <w:rFonts w:eastAsia="Times New Roman" w:cstheme="minorHAnsi"/>
        </w:rPr>
        <w:t>. If you are receiving paper EOB’s, you only need to scan them to the PMS for us to work with. We will ensure that all the payments are posted and reconciled within 24 hours.</w:t>
      </w:r>
    </w:p>
    <w:p w14:paraId="39400DE3" w14:textId="77777777" w:rsidR="00DF2A8D" w:rsidRPr="00B63620" w:rsidRDefault="00DF2A8D" w:rsidP="001C5A0F">
      <w:pPr>
        <w:spacing w:before="113" w:after="100" w:afterAutospacing="1" w:line="240" w:lineRule="auto"/>
        <w:ind w:right="-112"/>
        <w:rPr>
          <w:rFonts w:eastAsia="Times New Roman" w:cstheme="minorHAnsi"/>
          <w:sz w:val="2"/>
          <w:szCs w:val="2"/>
        </w:rPr>
      </w:pPr>
    </w:p>
    <w:p w14:paraId="696190B5" w14:textId="77777777" w:rsidR="005317E1" w:rsidRPr="00E97B5D" w:rsidRDefault="004428BF" w:rsidP="007A0AC5">
      <w:pPr>
        <w:numPr>
          <w:ilvl w:val="0"/>
          <w:numId w:val="4"/>
        </w:numPr>
        <w:spacing w:before="113" w:after="100" w:afterAutospacing="1" w:line="240" w:lineRule="auto"/>
        <w:ind w:right="-112"/>
        <w:jc w:val="both"/>
        <w:rPr>
          <w:rFonts w:eastAsia="Times New Roman" w:cstheme="minorHAnsi"/>
        </w:rPr>
      </w:pPr>
      <w:r w:rsidRPr="00E97B5D">
        <w:rPr>
          <w:rFonts w:eastAsia="Times New Roman" w:cstheme="minorHAnsi"/>
          <w:b/>
          <w:bCs/>
        </w:rPr>
        <w:t>Accounts Receivable Follow-Up:</w:t>
      </w:r>
      <w:r w:rsidR="00AA27DA" w:rsidRPr="00E97B5D">
        <w:rPr>
          <w:rFonts w:eastAsia="Times New Roman" w:cstheme="minorHAnsi"/>
        </w:rPr>
        <w:t xml:space="preserve"> HashRoot provides custom tailored account receivable solutions for your practice. With our executive leadership team and highly skilled AR specialists, </w:t>
      </w:r>
      <w:r w:rsidR="00177B05" w:rsidRPr="00E97B5D">
        <w:rPr>
          <w:rFonts w:eastAsia="Times New Roman" w:cstheme="minorHAnsi"/>
        </w:rPr>
        <w:t>we proactively strategize the approach of denials received from payers</w:t>
      </w:r>
      <w:r w:rsidR="00541613" w:rsidRPr="00E97B5D">
        <w:rPr>
          <w:rFonts w:eastAsia="Times New Roman" w:cstheme="minorHAnsi"/>
        </w:rPr>
        <w:t>. Our team will work on fixing the clustered denials permanently to avoid delayed payments in future claims.</w:t>
      </w:r>
    </w:p>
    <w:p w14:paraId="5EF96863" w14:textId="77777777" w:rsidR="005317E1" w:rsidRPr="00E97B5D" w:rsidRDefault="005317E1" w:rsidP="005317E1">
      <w:pPr>
        <w:spacing w:before="113" w:after="100" w:afterAutospacing="1" w:line="240" w:lineRule="auto"/>
        <w:ind w:left="720" w:right="-112"/>
        <w:jc w:val="both"/>
        <w:rPr>
          <w:rFonts w:eastAsia="Times New Roman" w:cstheme="minorHAnsi"/>
        </w:rPr>
      </w:pPr>
      <w:r w:rsidRPr="00E97B5D">
        <w:rPr>
          <w:rFonts w:eastAsia="Times New Roman" w:cstheme="minorHAnsi"/>
        </w:rPr>
        <w:t>Partner with us</w:t>
      </w:r>
      <w:r w:rsidR="00177B05" w:rsidRPr="00E97B5D">
        <w:rPr>
          <w:rFonts w:eastAsia="Times New Roman" w:cstheme="minorHAnsi"/>
        </w:rPr>
        <w:t xml:space="preserve">, </w:t>
      </w:r>
      <w:r w:rsidR="00541613" w:rsidRPr="00E97B5D">
        <w:rPr>
          <w:rFonts w:eastAsia="Times New Roman" w:cstheme="minorHAnsi"/>
        </w:rPr>
        <w:t>for an accelerated cash flow and reduced AR days</w:t>
      </w:r>
    </w:p>
    <w:p w14:paraId="212688BD" w14:textId="77777777" w:rsidR="00E52D0A" w:rsidRPr="00B63620" w:rsidRDefault="00E52D0A" w:rsidP="007A0AC5">
      <w:pPr>
        <w:spacing w:before="113" w:after="100" w:afterAutospacing="1" w:line="240" w:lineRule="auto"/>
        <w:ind w:right="-112"/>
        <w:jc w:val="both"/>
        <w:rPr>
          <w:rFonts w:eastAsia="Times New Roman" w:cstheme="minorHAnsi"/>
          <w:sz w:val="2"/>
          <w:szCs w:val="2"/>
        </w:rPr>
      </w:pPr>
    </w:p>
    <w:p w14:paraId="5E588E47" w14:textId="77777777" w:rsidR="00685C2C" w:rsidRPr="00E97B5D" w:rsidRDefault="004428BF" w:rsidP="007A0AC5">
      <w:pPr>
        <w:numPr>
          <w:ilvl w:val="0"/>
          <w:numId w:val="4"/>
        </w:numPr>
        <w:spacing w:before="113" w:after="100" w:afterAutospacing="1" w:line="240" w:lineRule="auto"/>
        <w:ind w:right="-112"/>
        <w:jc w:val="both"/>
        <w:rPr>
          <w:rFonts w:eastAsia="Times New Roman" w:cstheme="minorHAnsi"/>
          <w:b/>
          <w:bCs/>
        </w:rPr>
      </w:pPr>
      <w:r w:rsidRPr="00E97B5D">
        <w:rPr>
          <w:rFonts w:eastAsia="Times New Roman" w:cstheme="minorHAnsi"/>
          <w:b/>
          <w:bCs/>
        </w:rPr>
        <w:t>Denial Management:</w:t>
      </w:r>
      <w:r w:rsidRPr="00E97B5D">
        <w:rPr>
          <w:rFonts w:eastAsia="Times New Roman" w:cstheme="minorHAnsi"/>
        </w:rPr>
        <w:t> </w:t>
      </w:r>
      <w:r w:rsidR="00685C2C" w:rsidRPr="00E97B5D">
        <w:rPr>
          <w:rFonts w:eastAsia="Times New Roman" w:cstheme="minorHAnsi"/>
        </w:rPr>
        <w:t>HashRoot aims at highest possible reimbursement on the claims. we help you maximize the success at collecting payments for denied / underpaid claims.</w:t>
      </w:r>
      <w:r w:rsidR="001421CA" w:rsidRPr="00E97B5D">
        <w:rPr>
          <w:rFonts w:eastAsia="Times New Roman" w:cstheme="minorHAnsi"/>
        </w:rPr>
        <w:t xml:space="preserve"> HashRoot’s systematic appeal process aggressively pursues</w:t>
      </w:r>
      <w:r w:rsidR="00685C2C" w:rsidRPr="00E97B5D">
        <w:rPr>
          <w:rFonts w:eastAsia="Times New Roman" w:cstheme="minorHAnsi"/>
        </w:rPr>
        <w:t xml:space="preserve"> </w:t>
      </w:r>
      <w:r w:rsidR="001421CA" w:rsidRPr="00E97B5D">
        <w:rPr>
          <w:rFonts w:eastAsia="Times New Roman" w:cstheme="minorHAnsi"/>
        </w:rPr>
        <w:t>reimbursements from contracted payers.</w:t>
      </w:r>
    </w:p>
    <w:p w14:paraId="06572EE9" w14:textId="77777777" w:rsidR="001421CA" w:rsidRPr="00E97B5D" w:rsidRDefault="001421CA" w:rsidP="001421CA">
      <w:pPr>
        <w:spacing w:before="113" w:after="100" w:afterAutospacing="1" w:line="240" w:lineRule="auto"/>
        <w:ind w:left="720" w:right="-112"/>
        <w:jc w:val="both"/>
        <w:rPr>
          <w:rFonts w:eastAsia="Times New Roman" w:cstheme="minorHAnsi"/>
        </w:rPr>
      </w:pPr>
      <w:r w:rsidRPr="00E97B5D">
        <w:rPr>
          <w:rFonts w:eastAsia="Times New Roman" w:cstheme="minorHAnsi"/>
        </w:rPr>
        <w:t>Our denial management strategies include:</w:t>
      </w:r>
    </w:p>
    <w:p w14:paraId="59AF5073" w14:textId="77777777" w:rsidR="001421CA" w:rsidRPr="00E97B5D" w:rsidRDefault="001421CA" w:rsidP="001421CA">
      <w:pPr>
        <w:pStyle w:val="ListParagraph"/>
        <w:numPr>
          <w:ilvl w:val="1"/>
          <w:numId w:val="4"/>
        </w:numPr>
        <w:spacing w:before="113" w:after="100" w:afterAutospacing="1" w:line="240" w:lineRule="auto"/>
        <w:ind w:right="-112"/>
        <w:jc w:val="both"/>
        <w:rPr>
          <w:rFonts w:eastAsia="Times New Roman" w:cstheme="minorHAnsi"/>
        </w:rPr>
      </w:pPr>
      <w:r w:rsidRPr="00E97B5D">
        <w:rPr>
          <w:rFonts w:eastAsia="Times New Roman" w:cstheme="minorHAnsi"/>
        </w:rPr>
        <w:t>Stratify, categorize the denials through our denial management system</w:t>
      </w:r>
    </w:p>
    <w:p w14:paraId="35AE2145" w14:textId="77777777" w:rsidR="001421CA" w:rsidRPr="00E97B5D" w:rsidRDefault="00807C64" w:rsidP="001421CA">
      <w:pPr>
        <w:pStyle w:val="ListParagraph"/>
        <w:numPr>
          <w:ilvl w:val="1"/>
          <w:numId w:val="4"/>
        </w:numPr>
        <w:spacing w:before="113" w:after="100" w:afterAutospacing="1" w:line="240" w:lineRule="auto"/>
        <w:ind w:right="-112"/>
        <w:jc w:val="both"/>
        <w:rPr>
          <w:rFonts w:eastAsia="Times New Roman" w:cstheme="minorHAnsi"/>
        </w:rPr>
      </w:pPr>
      <w:r w:rsidRPr="00E97B5D">
        <w:rPr>
          <w:rFonts w:eastAsia="Times New Roman" w:cstheme="minorHAnsi"/>
        </w:rPr>
        <w:t>Categorize the denials by payer, root cause and other unique factors</w:t>
      </w:r>
    </w:p>
    <w:p w14:paraId="743F3791" w14:textId="77777777" w:rsidR="00807C64" w:rsidRPr="00E97B5D" w:rsidRDefault="00807C64" w:rsidP="001421CA">
      <w:pPr>
        <w:pStyle w:val="ListParagraph"/>
        <w:numPr>
          <w:ilvl w:val="1"/>
          <w:numId w:val="4"/>
        </w:numPr>
        <w:spacing w:before="113" w:after="100" w:afterAutospacing="1" w:line="240" w:lineRule="auto"/>
        <w:ind w:right="-112"/>
        <w:jc w:val="both"/>
        <w:rPr>
          <w:rFonts w:eastAsia="Times New Roman" w:cstheme="minorHAnsi"/>
        </w:rPr>
      </w:pPr>
      <w:r w:rsidRPr="00E97B5D">
        <w:rPr>
          <w:rFonts w:eastAsia="Times New Roman" w:cstheme="minorHAnsi"/>
        </w:rPr>
        <w:t>Build denial management tactics customized as per client circumstances / needs</w:t>
      </w:r>
    </w:p>
    <w:p w14:paraId="3843BE45" w14:textId="77777777" w:rsidR="00807C64" w:rsidRPr="00B63620" w:rsidRDefault="00807C64" w:rsidP="00807C64">
      <w:pPr>
        <w:pStyle w:val="ListParagraph"/>
        <w:numPr>
          <w:ilvl w:val="1"/>
          <w:numId w:val="4"/>
        </w:numPr>
        <w:spacing w:before="113" w:after="100" w:afterAutospacing="1" w:line="240" w:lineRule="auto"/>
        <w:ind w:right="-112"/>
        <w:jc w:val="both"/>
        <w:rPr>
          <w:rFonts w:eastAsia="Times New Roman" w:cstheme="minorHAnsi"/>
        </w:rPr>
      </w:pPr>
      <w:r w:rsidRPr="00E97B5D">
        <w:rPr>
          <w:rFonts w:eastAsia="Times New Roman" w:cstheme="minorHAnsi"/>
        </w:rPr>
        <w:t>Execute strategic approaches for optimistic appeals and reversal of denials</w:t>
      </w:r>
    </w:p>
    <w:p w14:paraId="19E73C01" w14:textId="77777777" w:rsidR="006D4B0A" w:rsidRPr="00E97B5D" w:rsidRDefault="00EC4215" w:rsidP="007A0AC5">
      <w:pPr>
        <w:numPr>
          <w:ilvl w:val="0"/>
          <w:numId w:val="4"/>
        </w:numPr>
        <w:spacing w:before="113" w:after="100" w:afterAutospacing="1" w:line="240" w:lineRule="auto"/>
        <w:ind w:right="-112"/>
        <w:jc w:val="both"/>
        <w:rPr>
          <w:rFonts w:eastAsia="Times New Roman" w:cstheme="minorHAnsi"/>
        </w:rPr>
      </w:pPr>
      <w:r w:rsidRPr="00E97B5D">
        <w:rPr>
          <w:rFonts w:eastAsia="Times New Roman" w:cstheme="minorHAnsi"/>
          <w:b/>
          <w:bCs/>
        </w:rPr>
        <w:t>Credit Balances</w:t>
      </w:r>
      <w:r w:rsidR="006D4B0A" w:rsidRPr="00E97B5D">
        <w:rPr>
          <w:rFonts w:eastAsia="Times New Roman" w:cstheme="minorHAnsi"/>
          <w:b/>
          <w:bCs/>
        </w:rPr>
        <w:t xml:space="preserve"> &amp; Refunds</w:t>
      </w:r>
      <w:r w:rsidRPr="00E97B5D">
        <w:rPr>
          <w:rFonts w:eastAsia="Times New Roman" w:cstheme="minorHAnsi"/>
          <w:b/>
          <w:bCs/>
        </w:rPr>
        <w:t>:</w:t>
      </w:r>
      <w:r w:rsidRPr="00E97B5D">
        <w:rPr>
          <w:rFonts w:eastAsia="Times New Roman" w:cstheme="minorHAnsi"/>
        </w:rPr>
        <w:t> </w:t>
      </w:r>
      <w:r w:rsidR="006D4B0A" w:rsidRPr="00E97B5D">
        <w:rPr>
          <w:rFonts w:eastAsia="Times New Roman" w:cstheme="minorHAnsi"/>
        </w:rPr>
        <w:t xml:space="preserve">Hashroot follows a two-tier review system for credit balances and Refunds. Our dedicated credit balance team will begin with reviewing the credit balance reports, identify insurance or patient refunds. </w:t>
      </w:r>
    </w:p>
    <w:p w14:paraId="56F5AB28" w14:textId="77777777" w:rsidR="006D4B0A" w:rsidRPr="00E97B5D" w:rsidRDefault="006D4B0A" w:rsidP="006D4B0A">
      <w:pPr>
        <w:spacing w:before="113" w:after="100" w:afterAutospacing="1" w:line="240" w:lineRule="auto"/>
        <w:ind w:left="720" w:right="-112"/>
        <w:jc w:val="both"/>
        <w:rPr>
          <w:rFonts w:eastAsia="Times New Roman" w:cstheme="minorHAnsi"/>
        </w:rPr>
      </w:pPr>
      <w:r w:rsidRPr="00E97B5D">
        <w:rPr>
          <w:rFonts w:eastAsia="Times New Roman" w:cstheme="minorHAnsi"/>
        </w:rPr>
        <w:lastRenderedPageBreak/>
        <w:t>As a next step, Quality Assurance team will review the identified refunds and initiate refunds with supporting documents involving all the respective parties</w:t>
      </w:r>
      <w:r w:rsidR="00876455" w:rsidRPr="00E97B5D">
        <w:rPr>
          <w:rFonts w:eastAsia="Times New Roman" w:cstheme="minorHAnsi"/>
        </w:rPr>
        <w:t xml:space="preserve"> in a timely manner</w:t>
      </w:r>
      <w:r w:rsidRPr="00E97B5D">
        <w:rPr>
          <w:rFonts w:eastAsia="Times New Roman" w:cstheme="minorHAnsi"/>
        </w:rPr>
        <w:t>. Our Credit balances &amp; Refund services will help you improve patient satisfaction, insights and loyalty.</w:t>
      </w:r>
    </w:p>
    <w:p w14:paraId="29B41199" w14:textId="77777777" w:rsidR="00EC4215" w:rsidRPr="00D13B29" w:rsidRDefault="00876455" w:rsidP="00EC4215">
      <w:pPr>
        <w:spacing w:before="113" w:after="100" w:afterAutospacing="1" w:line="240" w:lineRule="auto"/>
        <w:ind w:right="-112"/>
        <w:jc w:val="both"/>
        <w:rPr>
          <w:rFonts w:eastAsia="Times New Roman" w:cstheme="minorHAnsi"/>
          <w:sz w:val="2"/>
          <w:szCs w:val="2"/>
        </w:rPr>
      </w:pPr>
      <w:r w:rsidRPr="00E97B5D">
        <w:rPr>
          <w:rFonts w:eastAsia="Times New Roman" w:cstheme="minorHAnsi"/>
          <w:b/>
          <w:bCs/>
        </w:rPr>
        <w:t xml:space="preserve"> </w:t>
      </w:r>
    </w:p>
    <w:p w14:paraId="7C13DBEB" w14:textId="77777777" w:rsidR="006E19F7" w:rsidRPr="00E97B5D" w:rsidRDefault="00EC4215" w:rsidP="007A0AC5">
      <w:pPr>
        <w:numPr>
          <w:ilvl w:val="0"/>
          <w:numId w:val="4"/>
        </w:numPr>
        <w:spacing w:before="113" w:after="100" w:afterAutospacing="1" w:line="240" w:lineRule="auto"/>
        <w:ind w:right="-112"/>
        <w:jc w:val="both"/>
        <w:rPr>
          <w:rFonts w:eastAsia="Times New Roman" w:cstheme="minorHAnsi"/>
          <w:b/>
          <w:bCs/>
        </w:rPr>
      </w:pPr>
      <w:r w:rsidRPr="00E97B5D">
        <w:rPr>
          <w:rFonts w:eastAsia="Times New Roman" w:cstheme="minorHAnsi"/>
          <w:b/>
          <w:bCs/>
        </w:rPr>
        <w:t xml:space="preserve">Self-pay review </w:t>
      </w:r>
      <w:r w:rsidR="004428BF" w:rsidRPr="00E97B5D">
        <w:rPr>
          <w:rFonts w:eastAsia="Times New Roman" w:cstheme="minorHAnsi"/>
          <w:b/>
          <w:bCs/>
        </w:rPr>
        <w:t>/</w:t>
      </w:r>
      <w:r w:rsidRPr="00E97B5D">
        <w:rPr>
          <w:rFonts w:eastAsia="Times New Roman" w:cstheme="minorHAnsi"/>
          <w:b/>
          <w:bCs/>
        </w:rPr>
        <w:t xml:space="preserve"> </w:t>
      </w:r>
      <w:r w:rsidR="004428BF" w:rsidRPr="00E97B5D">
        <w:rPr>
          <w:rFonts w:eastAsia="Times New Roman" w:cstheme="minorHAnsi"/>
          <w:b/>
          <w:bCs/>
        </w:rPr>
        <w:t>Patient Statements:</w:t>
      </w:r>
      <w:r w:rsidR="004428BF" w:rsidRPr="00E97B5D">
        <w:rPr>
          <w:rFonts w:eastAsia="Times New Roman" w:cstheme="minorHAnsi"/>
        </w:rPr>
        <w:t> </w:t>
      </w:r>
      <w:r w:rsidR="006E19F7" w:rsidRPr="00E97B5D">
        <w:rPr>
          <w:rFonts w:eastAsia="Times New Roman" w:cstheme="minorHAnsi"/>
        </w:rPr>
        <w:t xml:space="preserve">HashRoot’s self-pay review team </w:t>
      </w:r>
      <w:r w:rsidRPr="00E97B5D">
        <w:rPr>
          <w:rFonts w:eastAsia="Times New Roman" w:cstheme="minorHAnsi"/>
        </w:rPr>
        <w:t>catch up</w:t>
      </w:r>
      <w:r w:rsidR="004428BF" w:rsidRPr="00E97B5D">
        <w:rPr>
          <w:rFonts w:eastAsia="Times New Roman" w:cstheme="minorHAnsi"/>
        </w:rPr>
        <w:t xml:space="preserve"> with patients for any pending </w:t>
      </w:r>
      <w:r w:rsidRPr="00E97B5D">
        <w:rPr>
          <w:rFonts w:eastAsia="Times New Roman" w:cstheme="minorHAnsi"/>
        </w:rPr>
        <w:t>funds receivable</w:t>
      </w:r>
      <w:r w:rsidR="006E19F7" w:rsidRPr="00E97B5D">
        <w:rPr>
          <w:rFonts w:eastAsia="Times New Roman" w:cstheme="minorHAnsi"/>
        </w:rPr>
        <w:t>,</w:t>
      </w:r>
      <w:r w:rsidR="004428BF" w:rsidRPr="00E97B5D">
        <w:rPr>
          <w:rFonts w:eastAsia="Times New Roman" w:cstheme="minorHAnsi"/>
        </w:rPr>
        <w:t xml:space="preserve"> </w:t>
      </w:r>
      <w:r w:rsidRPr="00E97B5D">
        <w:rPr>
          <w:rFonts w:eastAsia="Times New Roman" w:cstheme="minorHAnsi"/>
        </w:rPr>
        <w:t>once insurance claim processing is over</w:t>
      </w:r>
      <w:r w:rsidR="006E19F7" w:rsidRPr="00E97B5D">
        <w:rPr>
          <w:rFonts w:eastAsia="Times New Roman" w:cstheme="minorHAnsi"/>
        </w:rPr>
        <w:t>.</w:t>
      </w:r>
      <w:r w:rsidRPr="00E97B5D">
        <w:rPr>
          <w:rFonts w:eastAsia="Times New Roman" w:cstheme="minorHAnsi"/>
        </w:rPr>
        <w:t xml:space="preserve"> </w:t>
      </w:r>
      <w:r w:rsidR="00BA2213" w:rsidRPr="00E97B5D">
        <w:rPr>
          <w:rFonts w:eastAsia="Times New Roman" w:cstheme="minorHAnsi"/>
        </w:rPr>
        <w:t xml:space="preserve">our self-pay review experts understand how critical it is to bill a patient, we </w:t>
      </w:r>
      <w:r w:rsidR="006E19F7" w:rsidRPr="00E97B5D">
        <w:rPr>
          <w:rFonts w:eastAsia="Times New Roman" w:cstheme="minorHAnsi"/>
        </w:rPr>
        <w:t>ensure that a complete reconciliation of the patient payments before initiating a patient statement as per requirements (weekly / monthly), Further follow-up is performed through patient calling. If we don’t get a proper response from the patient, we recommend collections with a detailed report.</w:t>
      </w:r>
    </w:p>
    <w:p w14:paraId="20E8AF33" w14:textId="77777777" w:rsidR="006E19F7" w:rsidRPr="00E97B5D" w:rsidRDefault="006E19F7" w:rsidP="006E19F7">
      <w:pPr>
        <w:jc w:val="both"/>
        <w:rPr>
          <w:rFonts w:cstheme="minorHAnsi"/>
        </w:rPr>
      </w:pPr>
    </w:p>
    <w:p w14:paraId="1995EF80" w14:textId="77777777" w:rsidR="002F5DCF" w:rsidRPr="00E97B5D" w:rsidRDefault="00EC4215" w:rsidP="00D13B29">
      <w:pPr>
        <w:numPr>
          <w:ilvl w:val="0"/>
          <w:numId w:val="4"/>
        </w:numPr>
        <w:spacing w:before="113" w:after="100" w:afterAutospacing="1" w:line="240" w:lineRule="auto"/>
        <w:ind w:right="-112"/>
        <w:jc w:val="both"/>
        <w:rPr>
          <w:rFonts w:cstheme="minorHAnsi"/>
        </w:rPr>
      </w:pPr>
      <w:r w:rsidRPr="00E97B5D">
        <w:rPr>
          <w:rFonts w:eastAsia="Times New Roman" w:cstheme="minorHAnsi"/>
          <w:b/>
          <w:bCs/>
        </w:rPr>
        <w:t>Reports:</w:t>
      </w:r>
      <w:r w:rsidRPr="00E97B5D">
        <w:rPr>
          <w:rFonts w:eastAsia="Times New Roman" w:cstheme="minorHAnsi"/>
        </w:rPr>
        <w:t> </w:t>
      </w:r>
      <w:r w:rsidR="00EC1F67" w:rsidRPr="00E97B5D">
        <w:rPr>
          <w:rFonts w:eastAsia="Times New Roman" w:cstheme="minorHAnsi"/>
        </w:rPr>
        <w:t xml:space="preserve">As a complement to our clients, HashRoot offers its </w:t>
      </w:r>
      <w:r w:rsidRPr="00E97B5D">
        <w:rPr>
          <w:rFonts w:eastAsia="Times New Roman" w:cstheme="minorHAnsi"/>
        </w:rPr>
        <w:t xml:space="preserve">reporting package </w:t>
      </w:r>
      <w:r w:rsidR="00EC1F67" w:rsidRPr="00E97B5D">
        <w:rPr>
          <w:rFonts w:eastAsia="Times New Roman" w:cstheme="minorHAnsi"/>
        </w:rPr>
        <w:t xml:space="preserve">for free. Our package </w:t>
      </w:r>
      <w:r w:rsidRPr="00E97B5D">
        <w:rPr>
          <w:rFonts w:eastAsia="Times New Roman" w:cstheme="minorHAnsi"/>
        </w:rPr>
        <w:t xml:space="preserve">contains </w:t>
      </w:r>
      <w:r w:rsidR="00EC1F67" w:rsidRPr="00E97B5D">
        <w:rPr>
          <w:rFonts w:eastAsia="Times New Roman" w:cstheme="minorHAnsi"/>
        </w:rPr>
        <w:t xml:space="preserve">detailed dashboards focusing on each sub product we serve you, </w:t>
      </w:r>
      <w:r w:rsidRPr="00E97B5D">
        <w:rPr>
          <w:rFonts w:eastAsia="Times New Roman" w:cstheme="minorHAnsi"/>
        </w:rPr>
        <w:t>customized reports</w:t>
      </w:r>
      <w:r w:rsidR="00EC1F67" w:rsidRPr="00E97B5D">
        <w:rPr>
          <w:rFonts w:eastAsia="Times New Roman" w:cstheme="minorHAnsi"/>
        </w:rPr>
        <w:t xml:space="preserve"> </w:t>
      </w:r>
      <w:r w:rsidRPr="00E97B5D">
        <w:rPr>
          <w:rFonts w:eastAsia="Times New Roman" w:cstheme="minorHAnsi"/>
        </w:rPr>
        <w:t>including insurance aging reports</w:t>
      </w:r>
      <w:r w:rsidR="00EC1F67" w:rsidRPr="00E97B5D">
        <w:rPr>
          <w:rFonts w:eastAsia="Times New Roman" w:cstheme="minorHAnsi"/>
        </w:rPr>
        <w:t xml:space="preserve">, </w:t>
      </w:r>
      <w:r w:rsidRPr="00E97B5D">
        <w:rPr>
          <w:rFonts w:eastAsia="Times New Roman" w:cstheme="minorHAnsi"/>
        </w:rPr>
        <w:t>Key Performance Indicators (KPI) report</w:t>
      </w:r>
      <w:r w:rsidR="00EC1F67" w:rsidRPr="00E97B5D">
        <w:rPr>
          <w:rFonts w:eastAsia="Times New Roman" w:cstheme="minorHAnsi"/>
        </w:rPr>
        <w:t xml:space="preserve"> and payment cycle length report. It offers </w:t>
      </w:r>
      <w:r w:rsidRPr="00E97B5D">
        <w:rPr>
          <w:rFonts w:eastAsia="Times New Roman" w:cstheme="minorHAnsi"/>
        </w:rPr>
        <w:t xml:space="preserve">a detailed </w:t>
      </w:r>
      <w:r w:rsidR="00EC1F67" w:rsidRPr="00E97B5D">
        <w:rPr>
          <w:rFonts w:eastAsia="Times New Roman" w:cstheme="minorHAnsi"/>
        </w:rPr>
        <w:t>view</w:t>
      </w:r>
      <w:r w:rsidRPr="00E97B5D">
        <w:rPr>
          <w:rFonts w:eastAsia="Times New Roman" w:cstheme="minorHAnsi"/>
        </w:rPr>
        <w:t xml:space="preserve"> of your practice's financial health</w:t>
      </w:r>
      <w:r w:rsidR="002F5DCF" w:rsidRPr="00E97B5D">
        <w:rPr>
          <w:rFonts w:eastAsia="Times New Roman" w:cstheme="minorHAnsi"/>
        </w:rPr>
        <w:t xml:space="preserve">. </w:t>
      </w:r>
    </w:p>
    <w:p w14:paraId="2811CF47" w14:textId="77777777" w:rsidR="005118BF" w:rsidRPr="0091212D" w:rsidRDefault="002F5DCF" w:rsidP="0091212D">
      <w:pPr>
        <w:spacing w:before="113" w:after="100" w:afterAutospacing="1" w:line="240" w:lineRule="auto"/>
        <w:ind w:left="720" w:right="-112"/>
        <w:jc w:val="both"/>
        <w:rPr>
          <w:rFonts w:eastAsia="Times New Roman" w:cstheme="minorHAnsi"/>
        </w:rPr>
      </w:pPr>
      <w:r w:rsidRPr="00E97B5D">
        <w:rPr>
          <w:rFonts w:eastAsia="Times New Roman" w:cstheme="minorHAnsi"/>
        </w:rPr>
        <w:t>HashRoot’s reporting capabilities and specialized analytics helps your practice perform most granular level analysis for trend</w:t>
      </w:r>
      <w:r w:rsidR="006D4B0A" w:rsidRPr="00E97B5D">
        <w:rPr>
          <w:rFonts w:eastAsia="Times New Roman" w:cstheme="minorHAnsi"/>
        </w:rPr>
        <w:t>s.</w:t>
      </w:r>
    </w:p>
    <w:sectPr w:rsidR="005118BF" w:rsidRPr="0091212D" w:rsidSect="00BE0BAC">
      <w:type w:val="continuous"/>
      <w:pgSz w:w="12240" w:h="15840"/>
      <w:pgMar w:top="1440" w:right="1440" w:bottom="1440" w:left="1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Tahoma"/>
    <w:charset w:val="00"/>
    <w:family w:val="swiss"/>
    <w:pitch w:val="variable"/>
    <w:sig w:usb0="E0002AFF" w:usb1="C000247B"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B1ABB"/>
    <w:multiLevelType w:val="hybridMultilevel"/>
    <w:tmpl w:val="5E80D004"/>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D94124"/>
    <w:multiLevelType w:val="hybridMultilevel"/>
    <w:tmpl w:val="11C633B6"/>
    <w:lvl w:ilvl="0" w:tplc="78167B06">
      <w:start w:val="1"/>
      <w:numFmt w:val="decimal"/>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25763AA"/>
    <w:multiLevelType w:val="hybridMultilevel"/>
    <w:tmpl w:val="71204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F45A93"/>
    <w:multiLevelType w:val="multilevel"/>
    <w:tmpl w:val="195E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A868F5"/>
    <w:multiLevelType w:val="hybridMultilevel"/>
    <w:tmpl w:val="ABFEB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8533F"/>
    <w:multiLevelType w:val="hybridMultilevel"/>
    <w:tmpl w:val="6D304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459"/>
    <w:rsid w:val="000231F5"/>
    <w:rsid w:val="000F301C"/>
    <w:rsid w:val="001421CA"/>
    <w:rsid w:val="00160A41"/>
    <w:rsid w:val="00177B05"/>
    <w:rsid w:val="001C5A0F"/>
    <w:rsid w:val="001E5F1A"/>
    <w:rsid w:val="00223062"/>
    <w:rsid w:val="002A3FD9"/>
    <w:rsid w:val="002C7C3E"/>
    <w:rsid w:val="002F5DCF"/>
    <w:rsid w:val="00333FC6"/>
    <w:rsid w:val="003E2DA0"/>
    <w:rsid w:val="00416787"/>
    <w:rsid w:val="004428BF"/>
    <w:rsid w:val="0049418B"/>
    <w:rsid w:val="005118BF"/>
    <w:rsid w:val="005317E1"/>
    <w:rsid w:val="00541613"/>
    <w:rsid w:val="005D391F"/>
    <w:rsid w:val="00632D1B"/>
    <w:rsid w:val="00685C2C"/>
    <w:rsid w:val="006D4B0A"/>
    <w:rsid w:val="006E19F7"/>
    <w:rsid w:val="007365BC"/>
    <w:rsid w:val="00770772"/>
    <w:rsid w:val="007771BF"/>
    <w:rsid w:val="007A0AC5"/>
    <w:rsid w:val="007E1811"/>
    <w:rsid w:val="007F74C0"/>
    <w:rsid w:val="00807C64"/>
    <w:rsid w:val="00845019"/>
    <w:rsid w:val="00876455"/>
    <w:rsid w:val="008B057F"/>
    <w:rsid w:val="008C586E"/>
    <w:rsid w:val="008E3F8F"/>
    <w:rsid w:val="0091212D"/>
    <w:rsid w:val="009624BC"/>
    <w:rsid w:val="00975345"/>
    <w:rsid w:val="00993459"/>
    <w:rsid w:val="00A05641"/>
    <w:rsid w:val="00A24D6C"/>
    <w:rsid w:val="00A37392"/>
    <w:rsid w:val="00A46D26"/>
    <w:rsid w:val="00A600BF"/>
    <w:rsid w:val="00AA27DA"/>
    <w:rsid w:val="00AA33EF"/>
    <w:rsid w:val="00AC680E"/>
    <w:rsid w:val="00B01B9D"/>
    <w:rsid w:val="00B52A47"/>
    <w:rsid w:val="00B613E1"/>
    <w:rsid w:val="00B63620"/>
    <w:rsid w:val="00BA2213"/>
    <w:rsid w:val="00BB750A"/>
    <w:rsid w:val="00BE0BAC"/>
    <w:rsid w:val="00BE777A"/>
    <w:rsid w:val="00BE7ED3"/>
    <w:rsid w:val="00CC2600"/>
    <w:rsid w:val="00CD5DF5"/>
    <w:rsid w:val="00D13B29"/>
    <w:rsid w:val="00D153A5"/>
    <w:rsid w:val="00D25D6F"/>
    <w:rsid w:val="00D365EE"/>
    <w:rsid w:val="00DC45B9"/>
    <w:rsid w:val="00DF2A8D"/>
    <w:rsid w:val="00E202D8"/>
    <w:rsid w:val="00E31E4A"/>
    <w:rsid w:val="00E52D0A"/>
    <w:rsid w:val="00E93A10"/>
    <w:rsid w:val="00E97B5D"/>
    <w:rsid w:val="00EC1F67"/>
    <w:rsid w:val="00EC4215"/>
    <w:rsid w:val="00F160BB"/>
    <w:rsid w:val="00F361F8"/>
    <w:rsid w:val="00FC5A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696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45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3</Pages>
  <Words>849</Words>
  <Characters>4841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Macbook Air</cp:lastModifiedBy>
  <cp:revision>46</cp:revision>
  <dcterms:created xsi:type="dcterms:W3CDTF">2019-08-13T23:03:00Z</dcterms:created>
  <dcterms:modified xsi:type="dcterms:W3CDTF">2019-08-16T19:50:00Z</dcterms:modified>
</cp:coreProperties>
</file>