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Crypto.com MCP Connector Capabilities Brief</w:t>
      </w:r>
    </w:p>
    <w:p>
      <w:pPr>
        <w:pStyle w:val="MdParagraph"/>
      </w:pPr>
      <w:r>
        <w:t xml:space="preserve">The Crypto.com MCP connector provides real-time access to cryptocurrency market data from the Crypto.com Exchange. It allows you to fetch a wide range of market information, from current prices and order books to historical candlestick data and recent trades.</w:t>
      </w:r>
    </w:p>
    <w:p>
      <w:pPr>
        <w:pStyle w:val="MdSpace"/>
        <w:spacing w:before="0" w:after="60"/>
      </w:pPr>
    </w:p>
    <w:p>
      <w:pPr>
        <w:pStyle w:val="Heading2"/>
        <w:pStyle w:val="MdHeading2"/>
      </w:pPr>
      <w:r>
        <w:t xml:space="preserve">Available Tools</w:t>
      </w:r>
    </w:p>
    <w:p>
      <w:pPr>
        <w:pStyle w:val="MdParagraph"/>
      </w:pPr>
      <w:r>
        <w:t xml:space="preserve">The connector currently offers 9 tools to interact with the Crypto.com Exchange API: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Tool Name</w:t>
            </w:r>
          </w:p>
        </w:tc>
        <w:tc>
          <w:tcPr>
            <w:tcMar>
              <w:top w:type="dxa" w:w="100"/>
              <w:left w:type="dxa" w:w="120"/>
              <w:bottom w:type="dxa" w:w="100"/>
              <w:right w:type="dxa" w:w="120"/>
            </w:tcMar>
            <w:vAlign w:val="center"/>
          </w:tcPr>
          <w:p>
            <w:pPr>
              <w:pStyle w:val="MdTableHeader"/>
              <w:jc w:val="left"/>
            </w:pPr>
            <w:r>
              <w:t xml:space="preserve">Description</w:t>
            </w:r>
          </w:p>
        </w:tc>
        <w:tc>
          <w:tcPr>
            <w:tcBorders>
              <w:right w:val="none"/>
            </w:tcBorders>
            <w:tcMar>
              <w:top w:type="dxa" w:w="100"/>
              <w:left w:type="dxa" w:w="120"/>
              <w:bottom w:type="dxa" w:w="100"/>
              <w:right w:type="dxa" w:w="120"/>
            </w:tcMar>
            <w:vAlign w:val="center"/>
          </w:tcPr>
          <w:p>
            <w:pPr>
              <w:pStyle w:val="MdTableHeader"/>
              <w:jc w:val="left"/>
            </w:pPr>
            <w:r>
              <w:t xml:space="preserve">Key Inputs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get_instruments</w:t>
            </w:r>
          </w:p>
        </w:tc>
        <w:tc>
          <w:tcPr>
            <w:tcMar>
              <w:top w:type="dxa" w:w="80"/>
              <w:left w:type="dxa" w:w="120"/>
              <w:bottom w:type="dxa" w:w="80"/>
              <w:right w:type="dxa" w:w="120"/>
            </w:tcMar>
            <w:vAlign w:val="center"/>
          </w:tcPr>
          <w:p>
            <w:pPr>
              <w:pStyle w:val="MdTableCell"/>
              <w:jc w:val="left"/>
            </w:pPr>
            <w:r>
              <w:t xml:space="preserve">List all available trading instruments (e.g., BTCUSD, ETHUSDT)</w:t>
            </w:r>
          </w:p>
        </w:tc>
        <w:tc>
          <w:tcPr>
            <w:tcBorders>
              <w:right w:val="none"/>
            </w:tcBorders>
            <w:tcMar>
              <w:top w:type="dxa" w:w="80"/>
              <w:left w:type="dxa" w:w="120"/>
              <w:bottom w:type="dxa" w:w="80"/>
              <w:right w:type="dxa" w:w="120"/>
            </w:tcMar>
            <w:vAlign w:val="center"/>
          </w:tcPr>
          <w:p>
            <w:pPr>
              <w:pStyle w:val="MdTableCell"/>
              <w:jc w:val="left"/>
            </w:pPr>
            <w:r>
              <w:t xml:space="preserve">None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get_instrument</w:t>
            </w:r>
          </w:p>
        </w:tc>
        <w:tc>
          <w:tcPr>
            <w:tcMar>
              <w:top w:type="dxa" w:w="80"/>
              <w:left w:type="dxa" w:w="120"/>
              <w:bottom w:type="dxa" w:w="80"/>
              <w:right w:type="dxa" w:w="120"/>
            </w:tcMar>
            <w:vAlign w:val="center"/>
          </w:tcPr>
          <w:p>
            <w:pPr>
              <w:pStyle w:val="MdTableCell"/>
              <w:jc w:val="left"/>
            </w:pPr>
            <w:r>
              <w:t xml:space="preserve">Get detailed information for a specific instrument</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instrument_name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get_ticker</w:t>
            </w:r>
          </w:p>
        </w:tc>
        <w:tc>
          <w:tcPr>
            <w:tcMar>
              <w:top w:type="dxa" w:w="80"/>
              <w:left w:type="dxa" w:w="120"/>
              <w:bottom w:type="dxa" w:w="80"/>
              <w:right w:type="dxa" w:w="120"/>
            </w:tcMar>
            <w:vAlign w:val="center"/>
          </w:tcPr>
          <w:p>
            <w:pPr>
              <w:pStyle w:val="MdTableCell"/>
              <w:jc w:val="left"/>
            </w:pPr>
            <w:r>
              <w:t xml:space="preserve">Fetch the current ticker data (price, volume, 24h change)</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instrument_name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get_tickers</w:t>
            </w:r>
          </w:p>
        </w:tc>
        <w:tc>
          <w:tcPr>
            <w:tcMar>
              <w:top w:type="dxa" w:w="80"/>
              <w:left w:type="dxa" w:w="120"/>
              <w:bottom w:type="dxa" w:w="80"/>
              <w:right w:type="dxa" w:w="120"/>
            </w:tcMar>
            <w:vAlign w:val="center"/>
          </w:tcPr>
          <w:p>
            <w:pPr>
              <w:pStyle w:val="MdTableCell"/>
              <w:jc w:val="left"/>
            </w:pPr>
            <w:r>
              <w:t xml:space="preserve">Fetch tickers for a specific instrument or all instruments</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instrument_name</w:t>
            </w:r>
            <w:r>
              <w:t xml:space="preserve"> (optional)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get_book</w:t>
            </w:r>
          </w:p>
        </w:tc>
        <w:tc>
          <w:tcPr>
            <w:tcMar>
              <w:top w:type="dxa" w:w="80"/>
              <w:left w:type="dxa" w:w="120"/>
              <w:bottom w:type="dxa" w:w="80"/>
              <w:right w:type="dxa" w:w="120"/>
            </w:tcMar>
            <w:vAlign w:val="center"/>
          </w:tcPr>
          <w:p>
            <w:pPr>
              <w:pStyle w:val="MdTableCell"/>
              <w:jc w:val="left"/>
            </w:pPr>
            <w:r>
              <w:t xml:space="preserve">Retrieve the order book snapshot (bids and asks)</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instrument_name</w:t>
            </w:r>
            <w:r>
              <w:t xml:space="preserve">, </w:t>
            </w:r>
            <w:r>
              <w:rPr>
                <w:rStyle w:val="MdCode"/>
                <w:u w:val="single"/>
              </w:rPr>
              <w:t xml:space="preserve">depth</w:t>
            </w:r>
            <w:r>
              <w:t xml:space="preserve"> (optional)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get_trades</w:t>
            </w:r>
          </w:p>
        </w:tc>
        <w:tc>
          <w:tcPr>
            <w:tcMar>
              <w:top w:type="dxa" w:w="80"/>
              <w:left w:type="dxa" w:w="120"/>
              <w:bottom w:type="dxa" w:w="80"/>
              <w:right w:type="dxa" w:w="120"/>
            </w:tcMar>
            <w:vAlign w:val="center"/>
          </w:tcPr>
          <w:p>
            <w:pPr>
              <w:pStyle w:val="MdTableCell"/>
              <w:jc w:val="left"/>
            </w:pPr>
            <w:r>
              <w:t xml:space="preserve">Get the most recent trades for an instrument</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instrument_name</w:t>
            </w:r>
            <w:r>
              <w:t xml:space="preserve">, </w:t>
            </w:r>
            <w:r>
              <w:rPr>
                <w:rStyle w:val="MdCode"/>
                <w:u w:val="single"/>
              </w:rPr>
              <w:t xml:space="preserve">count</w:t>
            </w:r>
            <w:r>
              <w:t xml:space="preserve"> (optional)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get_candlestick</w:t>
            </w:r>
          </w:p>
        </w:tc>
        <w:tc>
          <w:tcPr>
            <w:tcMar>
              <w:top w:type="dxa" w:w="80"/>
              <w:left w:type="dxa" w:w="120"/>
              <w:bottom w:type="dxa" w:w="80"/>
              <w:right w:type="dxa" w:w="120"/>
            </w:tcMar>
            <w:vAlign w:val="center"/>
          </w:tcPr>
          <w:p>
            <w:pPr>
              <w:pStyle w:val="MdTableCell"/>
              <w:jc w:val="left"/>
            </w:pPr>
            <w:r>
              <w:t xml:space="preserve">Fetch recent candlestick (OHLCV) data for charting</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instrument_name</w:t>
            </w:r>
            <w:r>
              <w:t xml:space="preserve">, </w:t>
            </w:r>
            <w:r>
              <w:rPr>
                <w:rStyle w:val="MdCode"/>
                <w:u w:val="single"/>
              </w:rPr>
              <w:t xml:space="preserve">timeframe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get_mark_price</w:t>
            </w:r>
          </w:p>
        </w:tc>
        <w:tc>
          <w:tcPr>
            <w:tcMar>
              <w:top w:type="dxa" w:w="80"/>
              <w:left w:type="dxa" w:w="120"/>
              <w:bottom w:type="dxa" w:w="80"/>
              <w:right w:type="dxa" w:w="120"/>
            </w:tcMar>
            <w:vAlign w:val="center"/>
          </w:tcPr>
          <w:p>
            <w:pPr>
              <w:pStyle w:val="MdTableCell"/>
              <w:jc w:val="left"/>
            </w:pPr>
            <w:r>
              <w:t xml:space="preserve">Get the mark price for an instrument (useful for derivatives)</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instrument_name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get_index_price</w:t>
            </w:r>
          </w:p>
        </w:tc>
        <w:tc>
          <w:tcPr>
            <w:tcBorders>
              <w:bottom w:val="single" w:color="E1E4E8" w:sz="4"/>
            </w:tcBorders>
            <w:tcMar>
              <w:top w:type="dxa" w:w="80"/>
              <w:left w:type="dxa" w:w="120"/>
              <w:bottom w:type="dxa" w:w="80"/>
              <w:right w:type="dxa" w:w="120"/>
            </w:tcMar>
            <w:vAlign w:val="center"/>
          </w:tcPr>
          <w:p>
            <w:pPr>
              <w:pStyle w:val="MdTableCell"/>
              <w:jc w:val="left"/>
            </w:pPr>
            <w:r>
              <w:t xml:space="preserve">Get the index price for an instrument</w:t>
            </w: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Code"/>
                <w:u w:val="single"/>
              </w:rPr>
              <w:t xml:space="preserve">instrument_name</w:t>
            </w:r>
          </w:p>
        </w:tc>
      </w:tr>
    </w:tbl>
    <w:p>
      <w:pPr>
        <w:pStyle w:val="Heading2"/>
        <w:pStyle w:val="MdHeading2"/>
      </w:pPr>
      <w:r>
        <w:t xml:space="preserve">Live Data Demonstration</w:t>
      </w:r>
    </w:p>
    <w:p>
      <w:pPr>
        <w:pStyle w:val="MdParagraph"/>
      </w:pPr>
      <w:r>
        <w:t xml:space="preserve">To demonstrate the capabilities, I fetched live data for </w:t>
      </w:r>
      <w:r>
        <w:rPr>
          <w:rStyle w:val="MdStrong"/>
          <w:b/>
          <w:bCs/>
        </w:rPr>
        <w:t xml:space="preserve">Bitcoin (BTCUSD)</w:t>
      </w:r>
      <w:r>
        <w:t xml:space="preserve"> using several of the available tools.</w:t>
      </w:r>
    </w:p>
    <w:p>
      <w:pPr>
        <w:pStyle w:val="MdSpace"/>
        <w:spacing w:before="0" w:after="60"/>
      </w:pPr>
    </w:p>
    <w:p>
      <w:pPr>
        <w:pStyle w:val="Heading3"/>
        <w:pStyle w:val="MdHeading3"/>
      </w:pPr>
      <w:r>
        <w:t xml:space="preserve">1. Current Ticker (</w:t>
      </w:r>
      <w:r>
        <w:rPr>
          <w:rStyle w:val="MdCode"/>
          <w:u w:val="single"/>
        </w:rPr>
        <w:t xml:space="preserve">get_ticker</w:t>
      </w:r>
      <w:r>
        <w:t xml:space="preserve">)</w:t>
      </w:r>
    </w:p>
    <w:p>
      <w:pPr>
        <w:pStyle w:val="MdParagraph"/>
      </w:pPr>
      <w:r>
        <w:t xml:space="preserve">The ticker provides a snapshot of the current market state, including the last traded price, 24-hour high/low, and trading volume.</w:t>
      </w:r>
    </w:p>
    <w:p>
      <w:pPr>
        <w:pStyle w:val="MdSpace"/>
        <w:spacing w:before="0" w:after="60"/>
      </w:pPr>
    </w:p>
    <w:p>
      <w:pPr>
        <w:pStyle w:val="MdListItem"/>
        <w:numPr>
          <w:ilvl w:val="0"/>
          <w:numId w:val="2"/>
        </w:numPr>
      </w:pPr>
      <w:r>
        <w:rPr>
          <w:rStyle w:val="MdStrong"/>
          <w:b/>
          <w:bCs/>
        </w:rPr>
        <w:t xml:space="preserve">Instrument:</w:t>
      </w:r>
      <w:r>
        <w:t xml:space="preserve"> BTCUSD</w:t>
      </w:r>
    </w:p>
    <w:p>
      <w:pPr>
        <w:pStyle w:val="MdListItem"/>
        <w:numPr>
          <w:ilvl w:val="0"/>
          <w:numId w:val="2"/>
        </w:numPr>
      </w:pPr>
      <w:r>
        <w:rPr>
          <w:rStyle w:val="MdStrong"/>
          <w:b/>
          <w:bCs/>
        </w:rPr>
        <w:t xml:space="preserve">Last Price:</w:t>
      </w:r>
      <w:r>
        <w:t xml:space="preserve"> $79,612.18</w:t>
      </w:r>
    </w:p>
    <w:p>
      <w:pPr>
        <w:pStyle w:val="MdListItem"/>
        <w:numPr>
          <w:ilvl w:val="0"/>
          <w:numId w:val="2"/>
        </w:numPr>
      </w:pPr>
      <w:r>
        <w:rPr>
          <w:rStyle w:val="MdStrong"/>
          <w:b/>
          <w:bCs/>
        </w:rPr>
        <w:t xml:space="preserve">24h High:</w:t>
      </w:r>
      <w:r>
        <w:t xml:space="preserve"> $80,543.24</w:t>
      </w:r>
    </w:p>
    <w:p>
      <w:pPr>
        <w:pStyle w:val="MdListItem"/>
        <w:numPr>
          <w:ilvl w:val="0"/>
          <w:numId w:val="2"/>
        </w:numPr>
      </w:pPr>
      <w:r>
        <w:rPr>
          <w:rStyle w:val="MdStrong"/>
          <w:b/>
          <w:bCs/>
        </w:rPr>
        <w:t xml:space="preserve">24h Low:</w:t>
      </w:r>
      <w:r>
        <w:t xml:space="preserve"> $79,168.71</w:t>
      </w:r>
    </w:p>
    <w:p>
      <w:pPr>
        <w:pStyle w:val="MdListItem"/>
        <w:numPr>
          <w:ilvl w:val="0"/>
          <w:numId w:val="2"/>
        </w:numPr>
      </w:pPr>
      <w:r>
        <w:rPr>
          <w:rStyle w:val="MdStrong"/>
          <w:b/>
          <w:bCs/>
        </w:rPr>
        <w:t xml:space="preserve">24h Change:</w:t>
      </w:r>
      <w:r>
        <w:t xml:space="preserve"> -0.26%</w:t>
      </w:r>
    </w:p>
    <w:p>
      <w:pPr>
        <w:pStyle w:val="MdListItem"/>
        <w:numPr>
          <w:ilvl w:val="0"/>
          <w:numId w:val="2"/>
        </w:numPr>
      </w:pPr>
      <w:r>
        <w:rPr>
          <w:rStyle w:val="MdStrong"/>
          <w:b/>
          <w:bCs/>
        </w:rPr>
        <w:t xml:space="preserve">24h Volume:</w:t>
      </w:r>
      <w:r>
        <w:t xml:space="preserve"> 7,470.96 BTC ($596.69M)</w:t>
      </w:r>
    </w:p>
    <w:p>
      <w:pPr>
        <w:pStyle w:val="MdListItem"/>
        <w:numPr>
          <w:ilvl w:val="0"/>
          <w:numId w:val="2"/>
        </w:numPr>
      </w:pPr>
      <w:r>
        <w:rPr>
          <w:rStyle w:val="MdStrong"/>
          <w:b/>
          <w:bCs/>
        </w:rPr>
        <w:t xml:space="preserve">Best Bid:</w:t>
      </w:r>
      <w:r>
        <w:t xml:space="preserve"> $79,612.17 (Size: 0.268)</w:t>
      </w:r>
    </w:p>
    <w:p>
      <w:pPr>
        <w:pStyle w:val="MdListItem"/>
        <w:numPr>
          <w:ilvl w:val="0"/>
          <w:numId w:val="2"/>
        </w:numPr>
      </w:pPr>
      <w:r>
        <w:rPr>
          <w:rStyle w:val="MdStrong"/>
          <w:b/>
          <w:bCs/>
        </w:rPr>
        <w:t xml:space="preserve">Best Ask:</w:t>
      </w:r>
      <w:r>
        <w:t xml:space="preserve"> $79,612.18 (Size: 1.203)</w:t>
      </w:r>
    </w:p>
    <w:p>
      <w:pPr>
        <w:pStyle w:val="MdSpace"/>
        <w:spacing w:before="0" w:after="60"/>
      </w:pPr>
    </w:p>
    <w:p>
      <w:pPr>
        <w:pStyle w:val="Heading3"/>
        <w:pStyle w:val="MdHeading3"/>
      </w:pPr>
      <w:r>
        <w:t xml:space="preserve">2. Order Book (</w:t>
      </w:r>
      <w:r>
        <w:rPr>
          <w:rStyle w:val="MdCode"/>
          <w:u w:val="single"/>
        </w:rPr>
        <w:t xml:space="preserve">get_book</w:t>
      </w:r>
      <w:r>
        <w:t xml:space="preserve">)</w:t>
      </w:r>
    </w:p>
    <w:p>
      <w:pPr>
        <w:pStyle w:val="MdParagraph"/>
      </w:pPr>
      <w:r>
        <w:t xml:space="preserve">The order book shows the current resting limit orders on the exchange, providing insight into market depth and liquidity. Here is a snapshot with a depth of 5:</w:t>
      </w:r>
    </w:p>
    <w:p>
      <w:pPr>
        <w:pStyle w:val="MdSpace"/>
        <w:spacing w:before="0" w:after="60"/>
      </w:pPr>
    </w:p>
    <w:p>
      <w:pPr>
        <w:pStyle w:val="MdParagraph"/>
      </w:pPr>
      <w:r>
        <w:rPr>
          <w:rStyle w:val="MdStrong"/>
          <w:b/>
          <w:bCs/>
        </w:rPr>
        <w:t xml:space="preserve">Asks (Sellers)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Price (USD)</w:t>
            </w:r>
          </w:p>
        </w:tc>
        <w:tc>
          <w:tcPr>
            <w:tcBorders>
              <w:right w:val="none"/>
            </w:tcBorders>
            <w:tcMar>
              <w:top w:type="dxa" w:w="100"/>
              <w:left w:type="dxa" w:w="120"/>
              <w:bottom w:type="dxa" w:w="100"/>
              <w:right w:type="dxa" w:w="120"/>
            </w:tcMar>
            <w:vAlign w:val="center"/>
          </w:tcPr>
          <w:p>
            <w:pPr>
              <w:pStyle w:val="MdTableHeader"/>
              <w:jc w:val="left"/>
            </w:pPr>
            <w:r>
              <w:t xml:space="preserve">Quantity (BTC)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$79,615.00</w:t>
            </w:r>
          </w:p>
        </w:tc>
        <w:tc>
          <w:tcPr>
            <w:tcBorders>
              <w:right w:val="none"/>
            </w:tcBorders>
            <w:tcMar>
              <w:top w:type="dxa" w:w="80"/>
              <w:left w:type="dxa" w:w="120"/>
              <w:bottom w:type="dxa" w:w="80"/>
              <w:right w:type="dxa" w:w="120"/>
            </w:tcMar>
            <w:vAlign w:val="center"/>
          </w:tcPr>
          <w:p>
            <w:pPr>
              <w:pStyle w:val="MdTableCell"/>
              <w:jc w:val="left"/>
            </w:pPr>
            <w:r>
              <w:t xml:space="preserve">0.09180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$79,614.05</w:t>
            </w:r>
          </w:p>
        </w:tc>
        <w:tc>
          <w:tcPr>
            <w:tcBorders>
              <w:right w:val="none"/>
            </w:tcBorders>
            <w:tcMar>
              <w:top w:type="dxa" w:w="80"/>
              <w:left w:type="dxa" w:w="120"/>
              <w:bottom w:type="dxa" w:w="80"/>
              <w:right w:type="dxa" w:w="120"/>
            </w:tcMar>
            <w:vAlign w:val="center"/>
          </w:tcPr>
          <w:p>
            <w:pPr>
              <w:pStyle w:val="MdTableCell"/>
              <w:jc w:val="left"/>
            </w:pPr>
            <w:r>
              <w:t xml:space="preserve">0.07490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$79,614.00</w:t>
            </w:r>
          </w:p>
        </w:tc>
        <w:tc>
          <w:tcPr>
            <w:tcBorders>
              <w:right w:val="none"/>
            </w:tcBorders>
            <w:tcMar>
              <w:top w:type="dxa" w:w="80"/>
              <w:left w:type="dxa" w:w="120"/>
              <w:bottom w:type="dxa" w:w="80"/>
              <w:right w:type="dxa" w:w="120"/>
            </w:tcMar>
            <w:vAlign w:val="center"/>
          </w:tcPr>
          <w:p>
            <w:pPr>
              <w:pStyle w:val="MdTableCell"/>
              <w:jc w:val="left"/>
            </w:pPr>
            <w:r>
              <w:t xml:space="preserve">0.09180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$79,613.99</w:t>
            </w:r>
          </w:p>
        </w:tc>
        <w:tc>
          <w:tcPr>
            <w:tcBorders>
              <w:right w:val="none"/>
            </w:tcBorders>
            <w:tcMar>
              <w:top w:type="dxa" w:w="80"/>
              <w:left w:type="dxa" w:w="120"/>
              <w:bottom w:type="dxa" w:w="80"/>
              <w:right w:type="dxa" w:w="120"/>
            </w:tcMar>
            <w:vAlign w:val="center"/>
          </w:tcPr>
          <w:p>
            <w:pPr>
              <w:pStyle w:val="MdTableCell"/>
              <w:jc w:val="left"/>
            </w:pPr>
            <w:r>
              <w:t xml:space="preserve">0.07716</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$79,612.18</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0.88556</w:t>
            </w:r>
          </w:p>
        </w:tc>
      </w:tr>
    </w:tbl>
    <w:p>
      <w:pPr>
        <w:pStyle w:val="MdParagraph"/>
      </w:pPr>
      <w:r>
        <w:rPr>
          <w:rStyle w:val="MdStrong"/>
          <w:b/>
          <w:bCs/>
        </w:rPr>
        <w:t xml:space="preserve">Bids (Buyers)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Price (USD)</w:t>
            </w:r>
          </w:p>
        </w:tc>
        <w:tc>
          <w:tcPr>
            <w:tcBorders>
              <w:right w:val="none"/>
            </w:tcBorders>
            <w:tcMar>
              <w:top w:type="dxa" w:w="100"/>
              <w:left w:type="dxa" w:w="120"/>
              <w:bottom w:type="dxa" w:w="100"/>
              <w:right w:type="dxa" w:w="120"/>
            </w:tcMar>
            <w:vAlign w:val="center"/>
          </w:tcPr>
          <w:p>
            <w:pPr>
              <w:pStyle w:val="MdTableHeader"/>
              <w:jc w:val="left"/>
            </w:pPr>
            <w:r>
              <w:t xml:space="preserve">Quantity (BTC)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$79,612.17</w:t>
            </w:r>
          </w:p>
        </w:tc>
        <w:tc>
          <w:tcPr>
            <w:tcBorders>
              <w:right w:val="none"/>
            </w:tcBorders>
            <w:tcMar>
              <w:top w:type="dxa" w:w="80"/>
              <w:left w:type="dxa" w:w="120"/>
              <w:bottom w:type="dxa" w:w="80"/>
              <w:right w:type="dxa" w:w="120"/>
            </w:tcMar>
            <w:vAlign w:val="center"/>
          </w:tcPr>
          <w:p>
            <w:pPr>
              <w:pStyle w:val="MdTableCell"/>
              <w:jc w:val="left"/>
            </w:pPr>
            <w:r>
              <w:t xml:space="preserve">0.53843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$79,611.01</w:t>
            </w:r>
          </w:p>
        </w:tc>
        <w:tc>
          <w:tcPr>
            <w:tcBorders>
              <w:right w:val="none"/>
            </w:tcBorders>
            <w:tcMar>
              <w:top w:type="dxa" w:w="80"/>
              <w:left w:type="dxa" w:w="120"/>
              <w:bottom w:type="dxa" w:w="80"/>
              <w:right w:type="dxa" w:w="120"/>
            </w:tcMar>
            <w:vAlign w:val="center"/>
          </w:tcPr>
          <w:p>
            <w:pPr>
              <w:pStyle w:val="MdTableCell"/>
              <w:jc w:val="left"/>
            </w:pPr>
            <w:r>
              <w:t xml:space="preserve">0.04705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$79,611.00</w:t>
            </w:r>
          </w:p>
        </w:tc>
        <w:tc>
          <w:tcPr>
            <w:tcBorders>
              <w:right w:val="none"/>
            </w:tcBorders>
            <w:tcMar>
              <w:top w:type="dxa" w:w="80"/>
              <w:left w:type="dxa" w:w="120"/>
              <w:bottom w:type="dxa" w:w="80"/>
              <w:right w:type="dxa" w:w="120"/>
            </w:tcMar>
            <w:vAlign w:val="center"/>
          </w:tcPr>
          <w:p>
            <w:pPr>
              <w:pStyle w:val="MdTableCell"/>
              <w:jc w:val="left"/>
            </w:pPr>
            <w:r>
              <w:t xml:space="preserve">0.02500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$79,610.00</w:t>
            </w:r>
          </w:p>
        </w:tc>
        <w:tc>
          <w:tcPr>
            <w:tcBorders>
              <w:right w:val="none"/>
            </w:tcBorders>
            <w:tcMar>
              <w:top w:type="dxa" w:w="80"/>
              <w:left w:type="dxa" w:w="120"/>
              <w:bottom w:type="dxa" w:w="80"/>
              <w:right w:type="dxa" w:w="120"/>
            </w:tcMar>
            <w:vAlign w:val="center"/>
          </w:tcPr>
          <w:p>
            <w:pPr>
              <w:pStyle w:val="MdTableCell"/>
              <w:jc w:val="left"/>
            </w:pPr>
            <w:r>
              <w:t xml:space="preserve">0.09180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$79,609.00</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0.03082</w:t>
            </w:r>
          </w:p>
        </w:tc>
      </w:tr>
    </w:tbl>
    <w:p>
      <w:pPr>
        <w:pStyle w:val="Heading3"/>
        <w:pStyle w:val="MdHeading3"/>
      </w:pPr>
      <w:r>
        <w:t xml:space="preserve">3. Recent Trades (</w:t>
      </w:r>
      <w:r>
        <w:rPr>
          <w:rStyle w:val="MdCode"/>
          <w:u w:val="single"/>
        </w:rPr>
        <w:t xml:space="preserve">get_trades</w:t>
      </w:r>
      <w:r>
        <w:t xml:space="preserve">)</w:t>
      </w:r>
    </w:p>
    <w:p>
      <w:pPr>
        <w:pStyle w:val="MdParagraph"/>
      </w:pPr>
      <w:r>
        <w:t xml:space="preserve">This tool fetches the most recent executed trades on the exchange. Here are the last 5 trades for BTCUSD:</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Timestamp</w:t>
            </w:r>
          </w:p>
        </w:tc>
        <w:tc>
          <w:tcPr>
            <w:tcMar>
              <w:top w:type="dxa" w:w="100"/>
              <w:left w:type="dxa" w:w="120"/>
              <w:bottom w:type="dxa" w:w="100"/>
              <w:right w:type="dxa" w:w="120"/>
            </w:tcMar>
            <w:vAlign w:val="center"/>
          </w:tcPr>
          <w:p>
            <w:pPr>
              <w:pStyle w:val="MdTableHeader"/>
              <w:jc w:val="left"/>
            </w:pPr>
            <w:r>
              <w:t xml:space="preserve">Side</w:t>
            </w:r>
          </w:p>
        </w:tc>
        <w:tc>
          <w:tcPr>
            <w:tcMar>
              <w:top w:type="dxa" w:w="100"/>
              <w:left w:type="dxa" w:w="120"/>
              <w:bottom w:type="dxa" w:w="100"/>
              <w:right w:type="dxa" w:w="120"/>
            </w:tcMar>
            <w:vAlign w:val="center"/>
          </w:tcPr>
          <w:p>
            <w:pPr>
              <w:pStyle w:val="MdTableHeader"/>
              <w:jc w:val="left"/>
            </w:pPr>
            <w:r>
              <w:t xml:space="preserve">Price (USD)</w:t>
            </w:r>
          </w:p>
        </w:tc>
        <w:tc>
          <w:tcPr>
            <w:tcBorders>
              <w:right w:val="none"/>
            </w:tcBorders>
            <w:tcMar>
              <w:top w:type="dxa" w:w="100"/>
              <w:left w:type="dxa" w:w="120"/>
              <w:bottom w:type="dxa" w:w="100"/>
              <w:right w:type="dxa" w:w="120"/>
            </w:tcMar>
            <w:vAlign w:val="center"/>
          </w:tcPr>
          <w:p>
            <w:pPr>
              <w:pStyle w:val="MdTableHeader"/>
              <w:jc w:val="left"/>
            </w:pPr>
            <w:r>
              <w:t xml:space="preserve">Quantity (BTC)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2026-05-08T15:28:43Z</w:t>
            </w:r>
          </w:p>
        </w:tc>
        <w:tc>
          <w:tcPr>
            <w:tcMar>
              <w:top w:type="dxa" w:w="80"/>
              <w:left w:type="dxa" w:w="120"/>
              <w:bottom w:type="dxa" w:w="80"/>
              <w:right w:type="dxa" w:w="120"/>
            </w:tcMar>
            <w:vAlign w:val="center"/>
          </w:tcPr>
          <w:p>
            <w:pPr>
              <w:pStyle w:val="MdTableCell"/>
              <w:jc w:val="left"/>
            </w:pPr>
            <w:r>
              <w:t xml:space="preserve">Buy</w:t>
            </w:r>
          </w:p>
        </w:tc>
        <w:tc>
          <w:tcPr>
            <w:tcMar>
              <w:top w:type="dxa" w:w="80"/>
              <w:left w:type="dxa" w:w="120"/>
              <w:bottom w:type="dxa" w:w="80"/>
              <w:right w:type="dxa" w:w="120"/>
            </w:tcMar>
            <w:vAlign w:val="center"/>
          </w:tcPr>
          <w:p>
            <w:pPr>
              <w:pStyle w:val="MdTableCell"/>
              <w:jc w:val="left"/>
            </w:pPr>
            <w:r>
              <w:t xml:space="preserve">$79,597.29</w:t>
            </w:r>
          </w:p>
        </w:tc>
        <w:tc>
          <w:tcPr>
            <w:tcBorders>
              <w:right w:val="none"/>
            </w:tcBorders>
            <w:tcMar>
              <w:top w:type="dxa" w:w="80"/>
              <w:left w:type="dxa" w:w="120"/>
              <w:bottom w:type="dxa" w:w="80"/>
              <w:right w:type="dxa" w:w="120"/>
            </w:tcMar>
            <w:vAlign w:val="center"/>
          </w:tcPr>
          <w:p>
            <w:pPr>
              <w:pStyle w:val="MdTableCell"/>
              <w:jc w:val="left"/>
            </w:pPr>
            <w:r>
              <w:t xml:space="preserve">0.00100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2026-05-08T15:28:43Z</w:t>
            </w:r>
          </w:p>
        </w:tc>
        <w:tc>
          <w:tcPr>
            <w:tcMar>
              <w:top w:type="dxa" w:w="80"/>
              <w:left w:type="dxa" w:w="120"/>
              <w:bottom w:type="dxa" w:w="80"/>
              <w:right w:type="dxa" w:w="120"/>
            </w:tcMar>
            <w:vAlign w:val="center"/>
          </w:tcPr>
          <w:p>
            <w:pPr>
              <w:pStyle w:val="MdTableCell"/>
              <w:jc w:val="left"/>
            </w:pPr>
            <w:r>
              <w:t xml:space="preserve">Buy</w:t>
            </w:r>
          </w:p>
        </w:tc>
        <w:tc>
          <w:tcPr>
            <w:tcMar>
              <w:top w:type="dxa" w:w="80"/>
              <w:left w:type="dxa" w:w="120"/>
              <w:bottom w:type="dxa" w:w="80"/>
              <w:right w:type="dxa" w:w="120"/>
            </w:tcMar>
            <w:vAlign w:val="center"/>
          </w:tcPr>
          <w:p>
            <w:pPr>
              <w:pStyle w:val="MdTableCell"/>
              <w:jc w:val="left"/>
            </w:pPr>
            <w:r>
              <w:t xml:space="preserve">$79,597.29</w:t>
            </w:r>
          </w:p>
        </w:tc>
        <w:tc>
          <w:tcPr>
            <w:tcBorders>
              <w:right w:val="none"/>
            </w:tcBorders>
            <w:tcMar>
              <w:top w:type="dxa" w:w="80"/>
              <w:left w:type="dxa" w:w="120"/>
              <w:bottom w:type="dxa" w:w="80"/>
              <w:right w:type="dxa" w:w="120"/>
            </w:tcMar>
            <w:vAlign w:val="center"/>
          </w:tcPr>
          <w:p>
            <w:pPr>
              <w:pStyle w:val="MdTableCell"/>
              <w:jc w:val="left"/>
            </w:pPr>
            <w:r>
              <w:t xml:space="preserve">0.02500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2026-05-08T15:28:43Z</w:t>
            </w:r>
          </w:p>
        </w:tc>
        <w:tc>
          <w:tcPr>
            <w:tcMar>
              <w:top w:type="dxa" w:w="80"/>
              <w:left w:type="dxa" w:w="120"/>
              <w:bottom w:type="dxa" w:w="80"/>
              <w:right w:type="dxa" w:w="120"/>
            </w:tcMar>
            <w:vAlign w:val="center"/>
          </w:tcPr>
          <w:p>
            <w:pPr>
              <w:pStyle w:val="MdTableCell"/>
              <w:jc w:val="left"/>
            </w:pPr>
            <w:r>
              <w:t xml:space="preserve">Buy</w:t>
            </w:r>
          </w:p>
        </w:tc>
        <w:tc>
          <w:tcPr>
            <w:tcMar>
              <w:top w:type="dxa" w:w="80"/>
              <w:left w:type="dxa" w:w="120"/>
              <w:bottom w:type="dxa" w:w="80"/>
              <w:right w:type="dxa" w:w="120"/>
            </w:tcMar>
            <w:vAlign w:val="center"/>
          </w:tcPr>
          <w:p>
            <w:pPr>
              <w:pStyle w:val="MdTableCell"/>
              <w:jc w:val="left"/>
            </w:pPr>
            <w:r>
              <w:t xml:space="preserve">$79,597.29</w:t>
            </w:r>
          </w:p>
        </w:tc>
        <w:tc>
          <w:tcPr>
            <w:tcBorders>
              <w:right w:val="none"/>
            </w:tcBorders>
            <w:tcMar>
              <w:top w:type="dxa" w:w="80"/>
              <w:left w:type="dxa" w:w="120"/>
              <w:bottom w:type="dxa" w:w="80"/>
              <w:right w:type="dxa" w:w="120"/>
            </w:tcMar>
            <w:vAlign w:val="center"/>
          </w:tcPr>
          <w:p>
            <w:pPr>
              <w:pStyle w:val="MdTableCell"/>
              <w:jc w:val="left"/>
            </w:pPr>
            <w:r>
              <w:t xml:space="preserve">0.02500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2026-05-08T15:28:42Z</w:t>
            </w:r>
          </w:p>
        </w:tc>
        <w:tc>
          <w:tcPr>
            <w:tcMar>
              <w:top w:type="dxa" w:w="80"/>
              <w:left w:type="dxa" w:w="120"/>
              <w:bottom w:type="dxa" w:w="80"/>
              <w:right w:type="dxa" w:w="120"/>
            </w:tcMar>
            <w:vAlign w:val="center"/>
          </w:tcPr>
          <w:p>
            <w:pPr>
              <w:pStyle w:val="MdTableCell"/>
              <w:jc w:val="left"/>
            </w:pPr>
            <w:r>
              <w:t xml:space="preserve">Buy</w:t>
            </w:r>
          </w:p>
        </w:tc>
        <w:tc>
          <w:tcPr>
            <w:tcMar>
              <w:top w:type="dxa" w:w="80"/>
              <w:left w:type="dxa" w:w="120"/>
              <w:bottom w:type="dxa" w:w="80"/>
              <w:right w:type="dxa" w:w="120"/>
            </w:tcMar>
            <w:vAlign w:val="center"/>
          </w:tcPr>
          <w:p>
            <w:pPr>
              <w:pStyle w:val="MdTableCell"/>
              <w:jc w:val="left"/>
            </w:pPr>
            <w:r>
              <w:t xml:space="preserve">$79,597.29</w:t>
            </w:r>
          </w:p>
        </w:tc>
        <w:tc>
          <w:tcPr>
            <w:tcBorders>
              <w:right w:val="none"/>
            </w:tcBorders>
            <w:tcMar>
              <w:top w:type="dxa" w:w="80"/>
              <w:left w:type="dxa" w:w="120"/>
              <w:bottom w:type="dxa" w:w="80"/>
              <w:right w:type="dxa" w:w="120"/>
            </w:tcMar>
            <w:vAlign w:val="center"/>
          </w:tcPr>
          <w:p>
            <w:pPr>
              <w:pStyle w:val="MdTableCell"/>
              <w:jc w:val="left"/>
            </w:pPr>
            <w:r>
              <w:t xml:space="preserve">0.00099</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2026-05-08T15:28:42Z</w:t>
            </w:r>
          </w:p>
        </w:tc>
        <w:tc>
          <w:tcPr>
            <w:tcBorders>
              <w:bottom w:val="single" w:color="E1E4E8" w:sz="4"/>
            </w:tcBorders>
            <w:tcMar>
              <w:top w:type="dxa" w:w="80"/>
              <w:left w:type="dxa" w:w="120"/>
              <w:bottom w:type="dxa" w:w="80"/>
              <w:right w:type="dxa" w:w="120"/>
            </w:tcMar>
            <w:vAlign w:val="center"/>
          </w:tcPr>
          <w:p>
            <w:pPr>
              <w:pStyle w:val="MdTableCell"/>
              <w:jc w:val="left"/>
            </w:pPr>
            <w:r>
              <w:t xml:space="preserve">Sell</w:t>
            </w:r>
          </w:p>
        </w:tc>
        <w:tc>
          <w:tcPr>
            <w:tcBorders>
              <w:bottom w:val="single" w:color="E1E4E8" w:sz="4"/>
            </w:tcBorders>
            <w:tcMar>
              <w:top w:type="dxa" w:w="80"/>
              <w:left w:type="dxa" w:w="120"/>
              <w:bottom w:type="dxa" w:w="80"/>
              <w:right w:type="dxa" w:w="120"/>
            </w:tcMar>
            <w:vAlign w:val="center"/>
          </w:tcPr>
          <w:p>
            <w:pPr>
              <w:pStyle w:val="MdTableCell"/>
              <w:jc w:val="left"/>
            </w:pPr>
            <w:r>
              <w:t xml:space="preserve">$79,599.74</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0.03099</w:t>
            </w:r>
          </w:p>
        </w:tc>
      </w:tr>
    </w:tbl>
    <w:p>
      <w:pPr>
        <w:pStyle w:val="Heading3"/>
        <w:pStyle w:val="MdHeading3"/>
      </w:pPr>
      <w:r>
        <w:t xml:space="preserve">4. Candlestick Data (</w:t>
      </w:r>
      <w:r>
        <w:rPr>
          <w:rStyle w:val="MdCode"/>
          <w:u w:val="single"/>
        </w:rPr>
        <w:t xml:space="preserve">get_candlestick</w:t>
      </w:r>
      <w:r>
        <w:t xml:space="preserve">)</w:t>
      </w:r>
    </w:p>
    <w:p>
      <w:pPr>
        <w:pStyle w:val="MdParagraph"/>
      </w:pPr>
      <w:r>
        <w:t xml:space="preserve">The connector can also retrieve historical OHLCV (Open, High, Low, Close, Volume) data for various timeframes (e.g., 1m, 5m, 1h, 1d). This is essential for building charts and performing technical analysis.</w:t>
      </w:r>
    </w:p>
    <w:p>
      <w:pPr>
        <w:pStyle w:val="MdSpace"/>
        <w:spacing w:before="0" w:after="60"/>
      </w:pPr>
    </w:p>
    <w:p>
      <w:pPr>
        <w:pStyle w:val="MdParagraph"/>
      </w:pPr>
      <w:r>
        <w:rPr>
          <w:rStyle w:val="MdEm"/>
          <w:i/>
          <w:iCs/>
        </w:rPr>
        <w:t xml:space="preserve">(Note: I fetched the 1-hour candlestick data, which returned a comprehensive array of recent hourly price movements, including open, high, low, close prices, and volume for each hour.)</w:t>
      </w:r>
    </w:p>
    <w:p>
      <w:pPr>
        <w:pStyle w:val="MdSpace"/>
        <w:spacing w:before="0" w:after="60"/>
      </w:pPr>
    </w:p>
    <w:p>
      <w:pPr>
        <w:pStyle w:val="Heading2"/>
        <w:pStyle w:val="MdHeading2"/>
      </w:pPr>
      <w:r>
        <w:t xml:space="preserve">Summary</w:t>
      </w:r>
    </w:p>
    <w:p>
      <w:pPr>
        <w:pStyle w:val="MdParagraph"/>
      </w:pPr>
      <w:r>
        <w:t xml:space="preserve">The Crypto.com MCP connector is a powerful tool for accessing real-time cryptocurrency market data. It can be used to build trading dashboards, perform market analysis, monitor specific assets, or integrate live crypto prices into other applications.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2026-05-08T15:33:01.418Z</dcterms:created>
  <dcterms:modified xsi:type="dcterms:W3CDTF">2026-05-08T15:33:01.418Z</dcterms:modified>
</cp:coreProperties>
</file>

<file path=docProps/custom.xml><?xml version="1.0" encoding="utf-8"?>
<Properties xmlns="http://schemas.openxmlformats.org/officeDocument/2006/custom-properties" xmlns:vt="http://schemas.openxmlformats.org/officeDocument/2006/docPropsVTypes"/>
</file>