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Calibri" w:cs="Calibri" w:eastAsia="Calibri" w:hAnsi="Calibri"/>
          <w:b/>
          <w:bCs/>
          <w:color w:val="1A202C"/>
          <w:spacing w:val="60"/>
          <w:sz w:val="52"/>
          <w:szCs w:val="52"/>
        </w:rPr>
        <w:t xml:space="preserve">AKHIL YADAV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E47911"/>
          <w:sz w:val="24"/>
          <w:szCs w:val="24"/>
        </w:rPr>
        <w:t xml:space="preserve">Controls Engineer  ·  Automation &amp; Critical Infrastructure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color w:val="718096"/>
          <w:sz w:val="19"/>
          <w:szCs w:val="19"/>
        </w:rPr>
        <w:t xml:space="preserve">Berlin, Germany  ·  +49 176 72678553  ·  akhil20698@gmail.com  ·  </w:t>
      </w:r>
      <w:hyperlink w:history="1" r:id="rId79iakqrgav4ymoshk6ziy">
        <w:r>
          <w:rPr>
            <w:rFonts w:ascii="Calibri" w:cs="Calibri" w:eastAsia="Calibri" w:hAnsi="Calibri"/>
            <w:color w:val="E47911"/>
            <w:sz w:val="19"/>
            <w:szCs w:val="19"/>
            <w:u w:val="single"/>
          </w:rPr>
          <w:t xml:space="preserve">linkedin.com/in/akhilyad</w:t>
        </w:r>
      </w:hyperlink>
    </w:p>
    <w:p>
      <w:pPr>
        <w:spacing w:before="0" w:after="0"/>
        <w:jc w:val="center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Work authorisation: Eligible to work in Germany  ·  Immediate availability</w:t>
      </w:r>
    </w:p>
    <w:p>
      <w:pPr>
        <w:pBdr>
          <w:bottom w:val="single" w:color="E47911" w:sz="14" w:space="1"/>
        </w:pBdr>
        <w:spacing w:before="100" w:after="0"/>
      </w:pPr>
    </w:p>
    <w:p>
      <w:pPr>
        <w:pBdr>
          <w:bottom w:val="single" w:color="E47911" w:sz="10" w:space="3"/>
        </w:pBdr>
        <w:spacing w:before="300" w:after="100"/>
      </w:pPr>
      <w:r>
        <w:rPr>
          <w:rFonts w:ascii="Calibri" w:cs="Calibri" w:eastAsia="Calibri" w:hAnsi="Calibri"/>
          <w:b/>
          <w:bCs/>
          <w:color w:val="1A202C"/>
          <w:spacing w:val="40"/>
          <w:sz w:val="22"/>
          <w:szCs w:val="22"/>
        </w:rPr>
        <w:t xml:space="preserve">PROFESSIONAL SUMMARY</w:t>
      </w:r>
    </w:p>
    <w:p>
      <w:pPr>
        <w:spacing w:before="100"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Controls Engineer with 5+ years delivering automation and control systems for data center-class critical infrastructure — offshore oil &amp; gas platforms (99.7% uptime), power generation facilities (99.9%+ availability, N+1/2N), and utility-scale solar (350+ MW). Deep hands-on expertise across BMS/EPMS architectures, industrial HVAC thermal management (chiller plants, CRAH/CRAC), power distribution monitoring (UPS, diesel generators, switchgear), and redundant PLC/DCS/SCADA control strategies. Proven track record in control panel engineering, ISA instrumentation, FAT/SAT execution, and multi-vendor EPC coordination. Experienced with IEC 61850, IEC 60870-5-101/104, DNP3, Modbus RTU/TCP, and OPC UA/DA across mission-critical environments.</w:t>
      </w:r>
    </w:p>
    <w:p>
      <w:pPr>
        <w:pBdr>
          <w:bottom w:val="single" w:color="E47911" w:sz="10" w:space="3"/>
        </w:pBdr>
        <w:spacing w:before="300" w:after="100"/>
      </w:pPr>
      <w:r>
        <w:rPr>
          <w:rFonts w:ascii="Calibri" w:cs="Calibri" w:eastAsia="Calibri" w:hAnsi="Calibri"/>
          <w:b/>
          <w:bCs/>
          <w:color w:val="1A202C"/>
          <w:spacing w:val="40"/>
          <w:sz w:val="22"/>
          <w:szCs w:val="22"/>
        </w:rPr>
        <w:t xml:space="preserve">TECHNICAL SKILLS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7406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47911"/>
                <w:sz w:val="19"/>
                <w:szCs w:val="19"/>
              </w:rPr>
              <w:t xml:space="preserve">BMS / EPMS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BMS/BAS/EPMS architecture, SCADA, PLC, DCS, RTU — data center-class reliability design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47911"/>
                <w:sz w:val="19"/>
                <w:szCs w:val="19"/>
              </w:rPr>
              <w:t xml:space="preserve">Thermal Mgmt.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Industrial HVAC control, chiller plants, cooling water loops, CRAH/CRAC interfaces, AHU logic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47911"/>
                <w:sz w:val="19"/>
                <w:szCs w:val="19"/>
              </w:rPr>
              <w:t xml:space="preserve">Power Distrib.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UPS integration, diesel generator interfaces, switchgear monitoring, PDU logic, multi-voltage SLDs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47911"/>
                <w:sz w:val="19"/>
                <w:szCs w:val="19"/>
              </w:rPr>
              <w:t xml:space="preserve">Protocols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IEC 61850 · IEC 60870-5-101/104 · DNP3 · Modbus RTU/TCP · OPC UA/DA · Foundation Fieldbus · HART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47911"/>
                <w:sz w:val="19"/>
                <w:szCs w:val="19"/>
              </w:rPr>
              <w:t xml:space="preserve">Redundancy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N+1, 2N, PRP/HSR architectures · fault-tolerant design · alarm rationalization · IEC 61511 SIL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47911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Electrical schematics, SLDs, P&amp;IDs, ISA sheets, control panel BOMs, cable schedules, loop diagrams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47911"/>
                <w:sz w:val="19"/>
                <w:szCs w:val="19"/>
              </w:rPr>
              <w:t xml:space="preserve">FAT / SAT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Factory &amp; Site Acceptance Testing, I/O mapping, loop checks, commissioning, defect resolution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47911"/>
                <w:sz w:val="19"/>
                <w:szCs w:val="19"/>
              </w:rPr>
              <w:t xml:space="preserve">Tools</w:t>
            </w:r>
          </w:p>
        </w:tc>
        <w:tc>
          <w:tcPr>
            <w:tcW w:type="dxa" w:w="7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AutoCAD · MS Project · Excel · Visio · Power BI · Python · SAP Ariba · IEC 61131-3 (FBD, ST)</w:t>
            </w:r>
          </w:p>
        </w:tc>
      </w:tr>
    </w:tbl>
    <w:p>
      <w:pPr>
        <w:pBdr>
          <w:bottom w:val="single" w:color="E47911" w:sz="10" w:space="3"/>
        </w:pBdr>
        <w:spacing w:before="300" w:after="100"/>
      </w:pPr>
      <w:r>
        <w:rPr>
          <w:rFonts w:ascii="Calibri" w:cs="Calibri" w:eastAsia="Calibri" w:hAnsi="Calibri"/>
          <w:b/>
          <w:bCs/>
          <w:color w:val="1A202C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80" w:after="0"/>
      </w:pPr>
      <w:r>
        <w:rPr>
          <w:rFonts w:ascii="Calibri" w:cs="Calibri" w:eastAsia="Calibri" w:hAnsi="Calibri"/>
          <w:b/>
          <w:bCs/>
          <w:color w:val="1A202C"/>
          <w:sz w:val="23"/>
          <w:szCs w:val="23"/>
        </w:rPr>
        <w:t xml:space="preserve">Controls Systems Engineer — Owner Engineering (EPC Solar)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	Apr 2025 – Sep 2025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E47911"/>
          <w:sz w:val="20"/>
          <w:szCs w:val="20"/>
        </w:rPr>
        <w:t xml:space="preserve">ib Vogt GmbH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·  Berlin, Germany</w:t>
      </w:r>
    </w:p>
    <w:p>
      <w:pPr>
        <w:spacing w:before="50" w:after="50"/>
      </w:pPr>
      <w:r>
        <w:rPr>
          <w:rFonts w:ascii="Calibri" w:cs="Calibri" w:eastAsia="Calibri" w:hAnsi="Calibri"/>
          <w:b/>
          <w:bCs/>
          <w:i/>
          <w:iCs/>
          <w:color w:val="E47911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Technical owner engineering for a 350+ MW utility-scale solar PV portfolio (6 sites), validating controls design, procurement, and commissioning readiness for high-availability power distribution systems.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Reviewed and validated electrical SLDs, control schematics, and SCADA/BMS automation architectures ensuring compliance with grid codes (VDE-AR-N 4120) and high-availability power distribution requirements directly analogous to data center monitoring standards.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and IEC 61850/Modbus TCP communication architectures between PPCs, central inverters (3.6 MW), and MV transformers (33 kV) — identifying design gaps that prevented 2-week commissioning delays (18% NCR reduction).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Evaluated control panel BOMs (42 panels, 680+ I/O points)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to align I/O definitions, communication protocols, redundancy expectations, and FAT readiness, improving on-time equipment delivery by 35% through structured vendor milestone tracking.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Coordinated with OEMs (Huawei, SMA, KACO)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Prepared technical RFQs and specifications for SCADA hardware, MV switchgear protection relays, and redundant power supply monitoring systems targeting 99.5%+ availability over 25-year plant life.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Validated commissioning readiness through protocol verification, I/O mapping, cable schedule reviews, and signal interface checks across 24+ inverter stations per site.</w:t>
      </w:r>
    </w:p>
    <w:p>
      <w:pPr>
        <w:tabs>
          <w:tab w:val="right" w:pos="9026"/>
        </w:tabs>
        <w:spacing w:before="180" w:after="0"/>
      </w:pPr>
      <w:r>
        <w:rPr>
          <w:rFonts w:ascii="Calibri" w:cs="Calibri" w:eastAsia="Calibri" w:hAnsi="Calibri"/>
          <w:b/>
          <w:bCs/>
          <w:color w:val="1A202C"/>
          <w:sz w:val="23"/>
          <w:szCs w:val="23"/>
        </w:rPr>
        <w:t xml:space="preserve">Product Engineer — Automation Systems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	Jan 2023 – Sep 2024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E47911"/>
          <w:sz w:val="20"/>
          <w:szCs w:val="20"/>
        </w:rPr>
        <w:t xml:space="preserve">ABB — Energy Industries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·  Bengaluru, India</w:t>
      </w:r>
    </w:p>
    <w:p>
      <w:pPr>
        <w:spacing w:before="50" w:after="50"/>
      </w:pPr>
      <w:r>
        <w:rPr>
          <w:rFonts w:ascii="Calibri" w:cs="Calibri" w:eastAsia="Calibri" w:hAnsi="Calibri"/>
          <w:b/>
          <w:bCs/>
          <w:i/>
          <w:iCs/>
          <w:color w:val="E47911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Automation design and DCS platform migration for power generation facilities operating at 99.9%+ uptime in N+1/2N redundant environments — equivalent to data center reliability standards.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across 45+ control modules (C-based logic to IEC 61131-3 Structured Text), improving system MTBF by 43% through enhanced fault detection, alarm rationalization, and redundancy optimization.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Migrated legacy ProControl P14 DCS to ABB 800xA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(cooling water loops, auxiliary HVAC, chiller interfaces), power distribution subsystems (UPS integration, switchgear monitoring, diesel generator interfaces), and electrical protection — ensuring stable operation under transient and fault conditions.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Engineered control logic for thermal management systems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Developed and reviewed electrical schematics, SLDs, control diagrams, logic narratives, I/O lists (1,200+ signals), ISA instrumentation sheets, and control panel documentation aligned to IEC fail-safe redundancy standards.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— resolving 38 control-level defects and achieving zero critical defects at go-live.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Executed FAT, SAT, inspections, and commissioning across 3 concurrent projects (USD 12M capital value)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Coordinated multidisciplinary engineering teams (electrical, mechanical, I&amp;C) and OEM vendors (Siemens, Schneider Electric) integrating OPC UA/DA and Modbus TCP/RTU utility monitoring interfaces.</w:t>
      </w:r>
    </w:p>
    <w:p>
      <w:pPr>
        <w:tabs>
          <w:tab w:val="right" w:pos="9026"/>
        </w:tabs>
        <w:spacing w:before="180" w:after="0"/>
      </w:pPr>
      <w:r>
        <w:rPr>
          <w:rFonts w:ascii="Calibri" w:cs="Calibri" w:eastAsia="Calibri" w:hAnsi="Calibri"/>
          <w:b/>
          <w:bCs/>
          <w:color w:val="1A202C"/>
          <w:sz w:val="23"/>
          <w:szCs w:val="23"/>
        </w:rPr>
        <w:t xml:space="preserve">Project Engineer — EPC Automation (Offshore Critical Infrastructure)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	Sep 2020 – Dec 2022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E47911"/>
          <w:sz w:val="20"/>
          <w:szCs w:val="20"/>
        </w:rPr>
        <w:t xml:space="preserve">Yokogawa India Ltd.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·  Bangalore, India</w:t>
      </w:r>
    </w:p>
    <w:p>
      <w:pPr>
        <w:spacing w:before="50" w:after="50"/>
      </w:pPr>
      <w:r>
        <w:rPr>
          <w:rFonts w:ascii="Calibri" w:cs="Calibri" w:eastAsia="Calibri" w:hAnsi="Calibri"/>
          <w:b/>
          <w:bCs/>
          <w:i/>
          <w:iCs/>
          <w:color w:val="E47911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End-to-end EPC automation delivery for USD 250M Qatar Energy offshore telemetry upgrade — data center-class availability (99.7% uptime, N+1 redundant architectures) across 4 offshore platforms.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using IEC 61850, DNP3, OPC DA, and Modbus TCP, validating multi-layer communication with &lt;50 ms latency for critical alarms.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Integrated 355 RTUs, 12 PLCs, and centralised Yokogawa CENTUM DCS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interfacing redundant UPS systems and diesel generators for fail-safe operation.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Developed PLC ladder logic and FBDs for power distribution monitoring, ESD, fire &amp; gas detection, and HVAC control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Authored 180+ ISA instrumentation sheets; developed control panel BOMs (65 panels), cable schedules (3,200+ cables), GA drawings, loop diagrams, and interconnection diagrams ensuring regulatory compliance (API, IEC 61511).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— reducing defect density by 35% through rigorous pre-commissioning validation; reviewed multi-voltage SLDs (690V/480V/240V) and HART/Foundation Fieldbus instrumentation schematics.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Executed 14 FATs, 8 SATs, and 1,850+ loop checks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 coordinating technical queries, schedules, and service contracts to maintain critical path milestones.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Managed scope and delivery with 8 OEM vendors (Emerson, Honeywell, ABB, Schneider Electric)</w:t>
      </w:r>
    </w:p>
    <w:p>
      <w:pPr>
        <w:pBdr>
          <w:bottom w:val="single" w:color="E47911" w:sz="10" w:space="3"/>
        </w:pBdr>
        <w:spacing w:before="300" w:after="100"/>
      </w:pPr>
      <w:r>
        <w:rPr>
          <w:rFonts w:ascii="Calibri" w:cs="Calibri" w:eastAsia="Calibri" w:hAnsi="Calibri"/>
          <w:b/>
          <w:bCs/>
          <w:color w:val="1A202C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before="180" w:after="0"/>
      </w:pPr>
      <w:r>
        <w:rPr>
          <w:rFonts w:ascii="Calibri" w:cs="Calibri" w:eastAsia="Calibri" w:hAnsi="Calibri"/>
          <w:b/>
          <w:bCs/>
          <w:color w:val="1A202C"/>
          <w:sz w:val="23"/>
          <w:szCs w:val="23"/>
        </w:rPr>
        <w:t xml:space="preserve">MBA — Energy Management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	Oct 2024 – Mar 2026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E47911"/>
          <w:sz w:val="20"/>
          <w:szCs w:val="20"/>
        </w:rPr>
        <w:t xml:space="preserve">TU Berlin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·  Berlin, Germany</w:t>
      </w:r>
    </w:p>
    <w:p>
      <w:pPr>
        <w:spacing w:before="30" w:after="60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Thesis: Costs of Hydrogen Production Worldwide  ·  Coursework: Project Management, Strategic Management, Business Process Optimisation, Supply Chain Management</w:t>
      </w:r>
    </w:p>
    <w:p>
      <w:pPr>
        <w:tabs>
          <w:tab w:val="right" w:pos="9026"/>
        </w:tabs>
        <w:spacing w:before="180" w:after="0"/>
      </w:pPr>
      <w:r>
        <w:rPr>
          <w:rFonts w:ascii="Calibri" w:cs="Calibri" w:eastAsia="Calibri" w:hAnsi="Calibri"/>
          <w:b/>
          <w:bCs/>
          <w:color w:val="1A202C"/>
          <w:sz w:val="23"/>
          <w:szCs w:val="23"/>
        </w:rPr>
        <w:t xml:space="preserve">B.Tech — Electronics &amp; Instrumentation Engineering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	Jul 2016 – Aug 2020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E47911"/>
          <w:sz w:val="20"/>
          <w:szCs w:val="20"/>
        </w:rPr>
        <w:t xml:space="preserve">Amrita Vishwa Vidyapeetham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·  Coimbatore, India</w:t>
      </w:r>
    </w:p>
    <w:p>
      <w:pPr>
        <w:spacing w:before="30" w:after="60"/>
      </w:pPr>
      <w:r>
        <w:rPr>
          <w:rFonts w:ascii="Calibri" w:cs="Calibri" w:eastAsia="Calibri" w:hAnsi="Calibri"/>
          <w:i/>
          <w:iCs/>
          <w:color w:val="718096"/>
          <w:sz w:val="19"/>
          <w:szCs w:val="19"/>
        </w:rPr>
        <w:t xml:space="preserve">Thesis: A Comparative Study of ML Algorithms for Gas Leak Detection — published Springer Singapore (Sep 2020, DOI: 10.1007/978-981-15-7345-3_7)</w:t>
      </w:r>
    </w:p>
    <w:p>
      <w:pPr>
        <w:pBdr>
          <w:bottom w:val="single" w:color="E47911" w:sz="10" w:space="3"/>
        </w:pBdr>
        <w:spacing w:before="300" w:after="100"/>
      </w:pPr>
      <w:r>
        <w:rPr>
          <w:rFonts w:ascii="Calibri" w:cs="Calibri" w:eastAsia="Calibri" w:hAnsi="Calibri"/>
          <w:b/>
          <w:bCs/>
          <w:color w:val="1A202C"/>
          <w:spacing w:val="40"/>
          <w:sz w:val="22"/>
          <w:szCs w:val="22"/>
        </w:rPr>
        <w:t xml:space="preserve">LANGUAGES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English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(C2 — Business Proficient)     </w:t>
      </w: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German 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(B1 — Intermediate)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9iakqrgav4ymoshk6ziy" Type="http://schemas.openxmlformats.org/officeDocument/2006/relationships/hyperlink" Target="https://linkedin.com/in/akhilyad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2026-03-06T20:22:42.346Z</dcterms:created>
  <dcterms:modified xsi:type="dcterms:W3CDTF">2026-03-06T20:22:42.347Z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