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00000"/>
          <w:sz w:val="28"/>
        </w:rPr>
        <w:t>Akhil Yadav – AWS Controls Engineer</w:t>
      </w:r>
    </w:p>
    <w:p>
      <w:pPr>
        <w:jc w:val="left"/>
      </w:pPr>
      <w:r>
        <w:rPr>
          <w:rFonts w:ascii="Arial" w:hAnsi="Arial"/>
          <w:color w:val="000000"/>
          <w:sz w:val="20"/>
        </w:rPr>
        <w:t xml:space="preserve">+49 176 72678553 | </w:t>
      </w:r>
      <w:hyperlink r:id="rId9">
        <w:r>
          <w:rPr>
            <w:color w:val="0563C1"/>
            <w:u w:val="single"/>
          </w:rPr>
          <w:t>LinkedIn</w:t>
        </w:r>
      </w:hyperlink>
      <w:r>
        <w:rPr>
          <w:rFonts w:ascii="Arial" w:hAnsi="Arial"/>
          <w:color w:val="000000"/>
          <w:sz w:val="20"/>
        </w:rPr>
        <w:t xml:space="preserve"> | akhil20698@gmail.com</w:t>
      </w:r>
    </w:p>
    <w:p>
      <w:r>
        <w:rPr>
          <w:rFonts w:ascii="Arial" w:hAnsi="Arial"/>
          <w:b/>
          <w:color w:val="000000"/>
          <w:sz w:val="22"/>
        </w:rPr>
        <w:t>SUMMARY</w:t>
      </w:r>
    </w:p>
    <w:p>
      <w:pPr>
        <w:jc w:val="both"/>
      </w:pPr>
      <w:r>
        <w:rPr>
          <w:rFonts w:ascii="Arial" w:hAnsi="Arial"/>
          <w:color w:val="000000"/>
          <w:sz w:val="20"/>
        </w:rPr>
        <w:t>Controls Engineer with 5+ years delivering automation systems for data center-class critical infrastructure including offshore platforms (99.7% uptime), power generation facilities (99.9%+ availability), and utility-scale energy projects (350+ MW). Proven expertise in BMS-adjacent control architectures (PLC, DCS, SCADA, RTU, EPMS), industrial HVAC thermal management systems, power distribution monitoring (UPS, diesel generators, switchgear), and redundant control strategies (N+1, 2N). Strong background in electrical/control diagrams, ISA instrumentation sheets, control panel BOMs, cable schedules, FAT/SAT execution, and commissioning across multi-vendor EPC environments. Experienced with IEC 61850, IEC 60870-5-101/104, DNP3, Modbus RTU/TCP, OPC UA/DA, and compliance to international IEC/API standards.</w:t>
      </w:r>
    </w:p>
    <w:p>
      <w:r>
        <w:rPr>
          <w:rFonts w:ascii="Arial" w:hAnsi="Arial"/>
          <w:b/>
          <w:color w:val="000000"/>
          <w:sz w:val="22"/>
        </w:rPr>
        <w:t>TECHNICAL SKILLS</w:t>
      </w:r>
    </w:p>
    <w:p>
      <w:pPr>
        <w:jc w:val="both"/>
      </w:pPr>
      <w:r>
        <w:rPr>
          <w:rFonts w:ascii="Arial" w:hAnsi="Arial"/>
          <w:color w:val="000000"/>
          <w:sz w:val="19"/>
        </w:rPr>
        <w:t>Building Automation Systems (BMS/BAS/EPMS) | SCADA | PLC | DCS | RTU | Industrial HVAC Control | Thermal Management Systems (Chiller Plants, Cooling Water Loops, CRAH/CRAC Interfaces) | Power Distribution Monitoring (UPS, Diesel Generators, Switchgear) | Electrical Schematics &amp; Single-Line Diagrams | Control Diagrams &amp; Logic Narratives | ISA Instrumentation Sheets | Control Panel BOMs &amp; GA Drawings | Cable Routing Plans &amp; Schedules | Loop Diagrams &amp; Interconnection Diagrams | IEC 61131-3 (FBD, ST) | Modbus RTU/TCP | DNP3 | OPC UA/DA | IEC 61850 | IEC 60870-5-101/104 | IEC 61511 | Redundancy Architectures (N+1, 2N, PRP/HSR) | FAT/SAT/Commissioning | Vendor Management | Microsoft Office Suite | AutoCAD</w:t>
      </w:r>
    </w:p>
    <w:p>
      <w:r>
        <w:rPr>
          <w:rFonts w:ascii="Arial" w:hAnsi="Arial"/>
          <w:b/>
          <w:color w:val="000000"/>
          <w:sz w:val="22"/>
        </w:rPr>
        <w:t>PROFESSIONAL EXPERIENCE</w:t>
      </w:r>
    </w:p>
    <w:p>
      <w:r>
        <w:rPr>
          <w:rFonts w:ascii="Arial" w:hAnsi="Arial"/>
          <w:b/>
          <w:color w:val="000000"/>
          <w:sz w:val="20"/>
        </w:rPr>
        <w:t>04/2025 – 09/2025</w:t>
      </w:r>
      <w:r>
        <w:rPr>
          <w:rFonts w:ascii="Arial" w:hAnsi="Arial"/>
          <w:b/>
          <w:color w:val="000000"/>
          <w:sz w:val="20"/>
        </w:rPr>
        <w:t xml:space="preserve">     Controls Systems Engineer – Owner Engineering (EPC Solar)</w:t>
      </w:r>
    </w:p>
    <w:p>
      <w:r>
        <w:rPr>
          <w:rFonts w:ascii="Arial" w:hAnsi="Arial"/>
          <w:i/>
          <w:color w:val="000000"/>
          <w:sz w:val="20"/>
        </w:rPr>
        <w:t>ib Vogt GmbH | Berlin, Germany</w:t>
      </w:r>
    </w:p>
    <w:p>
      <w:pPr>
        <w:spacing w:after="60" w:line="240" w:lineRule="auto"/>
        <w:ind w:left="360" w:hanging="216"/>
      </w:pPr>
      <w:r>
        <w:rPr>
          <w:rFonts w:ascii="Arial" w:hAnsi="Arial"/>
          <w:color w:val="000000"/>
          <w:sz w:val="20"/>
        </w:rPr>
        <w:t xml:space="preserve">● </w:t>
      </w:r>
      <w:r>
        <w:rPr>
          <w:rFonts w:ascii="Arial" w:hAnsi="Arial"/>
          <w:color w:val="000000"/>
          <w:sz w:val="20"/>
        </w:rPr>
        <w:t>Reviewed and validated electrical single-line diagrams, control schematics, and automation architectures for utility-scale solar plants (350+ MW, 6 sites) ensuring compliance with grid codes (VDE-AR-N 4120) and client specifications for high-availability power distribution systems analogous to data center power monitoring requirements.</w:t>
      </w:r>
    </w:p>
    <w:p>
      <w:pPr>
        <w:spacing w:after="60" w:line="240" w:lineRule="auto"/>
        <w:ind w:left="360" w:hanging="216"/>
      </w:pPr>
      <w:r>
        <w:rPr>
          <w:rFonts w:ascii="Arial" w:hAnsi="Arial"/>
          <w:color w:val="000000"/>
          <w:sz w:val="20"/>
        </w:rPr>
        <w:t xml:space="preserve">● </w:t>
      </w:r>
      <w:r>
        <w:rPr>
          <w:rFonts w:ascii="Arial" w:hAnsi="Arial"/>
          <w:color w:val="000000"/>
          <w:sz w:val="20"/>
        </w:rPr>
        <w:t>Evaluated control panel BOMs (42 panels), instrumentation lists (680+ I/O points), IEC 61850/Modbus TCP communication architectures between PPCs, central inverters (3.6 MW), MV transformers (33 kV), and plant SCADA systems, identifying design gaps that prevented 2 weeks commissioning delay (18% NCR reduction).</w:t>
      </w:r>
    </w:p>
    <w:p>
      <w:pPr>
        <w:spacing w:after="60" w:line="240" w:lineRule="auto"/>
        <w:ind w:left="360" w:hanging="216"/>
      </w:pPr>
      <w:r>
        <w:rPr>
          <w:rFonts w:ascii="Arial" w:hAnsi="Arial"/>
          <w:color w:val="000000"/>
          <w:sz w:val="20"/>
        </w:rPr>
        <w:t xml:space="preserve">● </w:t>
      </w:r>
      <w:r>
        <w:rPr>
          <w:rFonts w:ascii="Arial" w:hAnsi="Arial"/>
          <w:color w:val="000000"/>
          <w:sz w:val="20"/>
        </w:rPr>
        <w:t>Coordinated with OEMs (Huawei, SMA, KACO) and EPC contractors to align controls scope, I/O definitions, communication protocols, redundancy expectations, and FAT readiness, improving equipment on-time delivery by 35% through structured vendor milestone tracking.</w:t>
      </w:r>
    </w:p>
    <w:p>
      <w:pPr>
        <w:spacing w:after="60" w:line="240" w:lineRule="auto"/>
        <w:ind w:left="360" w:hanging="216"/>
      </w:pPr>
      <w:r>
        <w:rPr>
          <w:rFonts w:ascii="Arial" w:hAnsi="Arial"/>
          <w:color w:val="000000"/>
          <w:sz w:val="20"/>
        </w:rPr>
        <w:t xml:space="preserve">● </w:t>
      </w:r>
      <w:r>
        <w:rPr>
          <w:rFonts w:ascii="Arial" w:hAnsi="Arial"/>
          <w:color w:val="000000"/>
          <w:sz w:val="20"/>
        </w:rPr>
        <w:t>Prepared technical specifications and RFQs for SCADA hardware, communication equipment, MV switchgear protection relays, and redundant power supply monitoring systems supporting 25-year operational life with 99.5%+ availability targets.</w:t>
      </w:r>
    </w:p>
    <w:p>
      <w:pPr>
        <w:spacing w:after="60" w:line="240" w:lineRule="auto"/>
        <w:ind w:left="360" w:hanging="216"/>
      </w:pPr>
      <w:r>
        <w:rPr>
          <w:rFonts w:ascii="Arial" w:hAnsi="Arial"/>
          <w:color w:val="000000"/>
          <w:sz w:val="20"/>
        </w:rPr>
        <w:t xml:space="preserve">● </w:t>
      </w:r>
      <w:r>
        <w:rPr>
          <w:rFonts w:ascii="Arial" w:hAnsi="Arial"/>
          <w:color w:val="000000"/>
          <w:sz w:val="20"/>
        </w:rPr>
        <w:t>Supported commissioning readiness through protocol validation, I/O mapping verification, cable schedule reviews, and signal interface checks ensuring seamless integration of 24+ inverter stations per site.</w:t>
      </w:r>
    </w:p>
    <w:p/>
    <w:p>
      <w:r>
        <w:rPr>
          <w:rFonts w:ascii="Arial" w:hAnsi="Arial"/>
          <w:b/>
          <w:color w:val="000000"/>
          <w:sz w:val="20"/>
        </w:rPr>
        <w:t>01/2023 – 09/2024</w:t>
      </w:r>
      <w:r>
        <w:rPr>
          <w:rFonts w:ascii="Arial" w:hAnsi="Arial"/>
          <w:b/>
          <w:color w:val="000000"/>
          <w:sz w:val="20"/>
        </w:rPr>
        <w:t xml:space="preserve">     Product Engineer – Automation Systems</w:t>
      </w:r>
    </w:p>
    <w:p>
      <w:r>
        <w:rPr>
          <w:rFonts w:ascii="Arial" w:hAnsi="Arial"/>
          <w:i/>
          <w:color w:val="000000"/>
          <w:sz w:val="20"/>
        </w:rPr>
        <w:t>ABB | Bengaluru, India</w:t>
      </w:r>
    </w:p>
    <w:p>
      <w:pPr>
        <w:spacing w:after="60" w:line="240" w:lineRule="auto"/>
        <w:ind w:left="360" w:hanging="216"/>
      </w:pPr>
      <w:r>
        <w:rPr>
          <w:rFonts w:ascii="Arial" w:hAnsi="Arial"/>
          <w:color w:val="000000"/>
          <w:sz w:val="20"/>
        </w:rPr>
        <w:t xml:space="preserve">● </w:t>
      </w:r>
      <w:r>
        <w:rPr>
          <w:rFonts w:ascii="Arial" w:hAnsi="Arial"/>
          <w:color w:val="000000"/>
          <w:sz w:val="20"/>
        </w:rPr>
        <w:t>Scope: Delivered automation system design and DCS platform migration projects for power generation facilities operating in high-availability environments (99.9%+ uptime, N+1/2N redundancy) requiring data center-level reliability standards.</w:t>
      </w:r>
    </w:p>
    <w:p>
      <w:pPr>
        <w:spacing w:after="60" w:line="240" w:lineRule="auto"/>
        <w:ind w:left="360" w:hanging="216"/>
      </w:pPr>
      <w:r>
        <w:rPr>
          <w:rFonts w:ascii="Arial" w:hAnsi="Arial"/>
          <w:color w:val="000000"/>
          <w:sz w:val="20"/>
        </w:rPr>
        <w:t xml:space="preserve">● </w:t>
      </w:r>
      <w:r>
        <w:rPr>
          <w:rFonts w:ascii="Arial" w:hAnsi="Arial"/>
          <w:color w:val="000000"/>
          <w:sz w:val="20"/>
        </w:rPr>
        <w:t>Migrated legacy ProControl P14 DCS to ABB 800xA platform across 45+ control modules, converting C-based logic to IEC 61131-3 Structured Text and improving system MTBF by 43% through enhanced fault detection, alarm rationalization, and redundancy optimization.</w:t>
      </w:r>
    </w:p>
    <w:p>
      <w:pPr>
        <w:spacing w:after="60" w:line="240" w:lineRule="auto"/>
        <w:ind w:left="360" w:hanging="216"/>
      </w:pPr>
      <w:r>
        <w:rPr>
          <w:rFonts w:ascii="Arial" w:hAnsi="Arial"/>
          <w:color w:val="000000"/>
          <w:sz w:val="20"/>
        </w:rPr>
        <w:t xml:space="preserve">● </w:t>
      </w:r>
      <w:r>
        <w:rPr>
          <w:rFonts w:ascii="Arial" w:hAnsi="Arial"/>
          <w:color w:val="000000"/>
          <w:sz w:val="20"/>
        </w:rPr>
        <w:t>Engineered control logic and alarm strategies for thermal management systems (cooling water loops, auxiliary HVAC control), power distribution subsystems (UPS integration, switchgear monitoring, diesel generator interfaces), and electrical protection systems ensuring stable operation during transient and fault conditions.</w:t>
      </w:r>
    </w:p>
    <w:p>
      <w:pPr>
        <w:spacing w:after="60" w:line="240" w:lineRule="auto"/>
        <w:ind w:left="360" w:hanging="216"/>
      </w:pPr>
      <w:r>
        <w:rPr>
          <w:rFonts w:ascii="Arial" w:hAnsi="Arial"/>
          <w:color w:val="000000"/>
          <w:sz w:val="20"/>
        </w:rPr>
        <w:t xml:space="preserve">● </w:t>
      </w:r>
      <w:r>
        <w:rPr>
          <w:rFonts w:ascii="Arial" w:hAnsi="Arial"/>
          <w:color w:val="000000"/>
          <w:sz w:val="20"/>
        </w:rPr>
        <w:t>Developed and reviewed electrical schematics, single-line diagrams, control diagrams, logic narratives, I/O lists (1,200+ signals), ISA instrumentation sheets, and control panel documentation aligned to IEC standards and fail-safe redundancy principles for mission-critical infrastructure.</w:t>
      </w:r>
    </w:p>
    <w:p>
      <w:pPr>
        <w:spacing w:after="60" w:line="240" w:lineRule="auto"/>
        <w:ind w:left="360" w:hanging="216"/>
      </w:pPr>
      <w:r>
        <w:rPr>
          <w:rFonts w:ascii="Arial" w:hAnsi="Arial"/>
          <w:color w:val="000000"/>
          <w:sz w:val="20"/>
        </w:rPr>
        <w:t xml:space="preserve">● </w:t>
      </w:r>
      <w:r>
        <w:rPr>
          <w:rFonts w:ascii="Arial" w:hAnsi="Arial"/>
          <w:color w:val="000000"/>
          <w:sz w:val="20"/>
        </w:rPr>
        <w:t>Executed Factory Acceptance Tests (FAT), Site Acceptance Tests (SAT), inspections, and commissioning activities across 3 concurrent projects (USD 12M capital value), resolving 38 control-level defects and achieving zero critical defects at go-live.</w:t>
      </w:r>
    </w:p>
    <w:p>
      <w:pPr>
        <w:spacing w:after="60" w:line="240" w:lineRule="auto"/>
        <w:ind w:left="360" w:hanging="216"/>
      </w:pPr>
      <w:r>
        <w:rPr>
          <w:rFonts w:ascii="Arial" w:hAnsi="Arial"/>
          <w:color w:val="000000"/>
          <w:sz w:val="20"/>
        </w:rPr>
        <w:t xml:space="preserve">● </w:t>
      </w:r>
      <w:r>
        <w:rPr>
          <w:rFonts w:ascii="Arial" w:hAnsi="Arial"/>
          <w:color w:val="000000"/>
          <w:sz w:val="20"/>
        </w:rPr>
        <w:t>Coordinated with OEM vendors (Siemens, Schneider Electric) and multidisciplinary engineering teams (electrical, mechanical, I&amp;C) integrating OPC UA/DA, Modbus TCP/RTU communication protocols and utility monitoring interfaces.</w:t>
      </w:r>
    </w:p>
    <w:p/>
    <w:p>
      <w:r>
        <w:rPr>
          <w:rFonts w:ascii="Arial" w:hAnsi="Arial"/>
          <w:b/>
          <w:color w:val="000000"/>
          <w:sz w:val="20"/>
        </w:rPr>
        <w:t>09/2020 – 12/2022</w:t>
      </w:r>
      <w:r>
        <w:rPr>
          <w:rFonts w:ascii="Arial" w:hAnsi="Arial"/>
          <w:b/>
          <w:color w:val="000000"/>
          <w:sz w:val="20"/>
        </w:rPr>
        <w:t xml:space="preserve">     Project Engineer – EPC Automation (Offshore Critical Infrastructure)</w:t>
      </w:r>
    </w:p>
    <w:p>
      <w:r>
        <w:rPr>
          <w:rFonts w:ascii="Arial" w:hAnsi="Arial"/>
          <w:i/>
          <w:color w:val="000000"/>
          <w:sz w:val="20"/>
        </w:rPr>
        <w:t>Yokogawa India Ltd. | Bangalore, India</w:t>
      </w:r>
    </w:p>
    <w:p>
      <w:pPr>
        <w:spacing w:after="60" w:line="240" w:lineRule="auto"/>
        <w:ind w:left="360" w:hanging="216"/>
      </w:pPr>
      <w:r>
        <w:rPr>
          <w:rFonts w:ascii="Arial" w:hAnsi="Arial"/>
          <w:color w:val="000000"/>
          <w:sz w:val="20"/>
        </w:rPr>
        <w:t xml:space="preserve">● </w:t>
      </w:r>
      <w:r>
        <w:rPr>
          <w:rFonts w:ascii="Arial" w:hAnsi="Arial"/>
          <w:color w:val="000000"/>
          <w:sz w:val="20"/>
        </w:rPr>
        <w:t>Delivered USD 250M EPC automation program integrating 355 RTUs, 12 PLCs, and centralized Yokogawa CENTUM DCS for offshore oil &amp; gas platforms requiring data center-class availability (99.7% uptime achieved over 18-month operational period with N+1 redundant architectures).</w:t>
      </w:r>
    </w:p>
    <w:p>
      <w:pPr>
        <w:spacing w:after="60" w:line="240" w:lineRule="auto"/>
        <w:ind w:left="360" w:hanging="216"/>
      </w:pPr>
      <w:r>
        <w:rPr>
          <w:rFonts w:ascii="Arial" w:hAnsi="Arial"/>
          <w:color w:val="000000"/>
          <w:sz w:val="20"/>
        </w:rPr>
        <w:t xml:space="preserve">● </w:t>
      </w:r>
      <w:r>
        <w:rPr>
          <w:rFonts w:ascii="Arial" w:hAnsi="Arial"/>
          <w:color w:val="000000"/>
          <w:sz w:val="20"/>
        </w:rPr>
        <w:t>Designed RTU–SCADA–DCS control architectures using IEC 61850, DNP3, OPC DA, and Modbus TCP for centralized monitoring and control, validating multi-layer communication with &lt;50ms latency for critical alarms across 4 offshore platforms.</w:t>
      </w:r>
    </w:p>
    <w:p>
      <w:pPr>
        <w:spacing w:after="60" w:line="240" w:lineRule="auto"/>
        <w:ind w:left="360" w:hanging="216"/>
      </w:pPr>
      <w:r>
        <w:rPr>
          <w:rFonts w:ascii="Arial" w:hAnsi="Arial"/>
          <w:color w:val="000000"/>
          <w:sz w:val="20"/>
        </w:rPr>
        <w:t xml:space="preserve">● </w:t>
      </w:r>
      <w:r>
        <w:rPr>
          <w:rFonts w:ascii="Arial" w:hAnsi="Arial"/>
          <w:color w:val="000000"/>
          <w:sz w:val="20"/>
        </w:rPr>
        <w:t>Developed PLC ladder logic and function block diagrams for power distribution monitoring, emergency shutdown systems (ESD), fire &amp; gas detection, and HVAC control interfacing with redundant UPS systems and diesel generators ensuring fail-safe operation.</w:t>
      </w:r>
    </w:p>
    <w:p>
      <w:pPr>
        <w:spacing w:after="60" w:line="240" w:lineRule="auto"/>
        <w:ind w:left="360" w:hanging="216"/>
      </w:pPr>
      <w:r>
        <w:rPr>
          <w:rFonts w:ascii="Arial" w:hAnsi="Arial"/>
          <w:color w:val="000000"/>
          <w:sz w:val="20"/>
        </w:rPr>
        <w:t xml:space="preserve">● </w:t>
      </w:r>
      <w:r>
        <w:rPr>
          <w:rFonts w:ascii="Arial" w:hAnsi="Arial"/>
          <w:color w:val="000000"/>
          <w:sz w:val="20"/>
        </w:rPr>
        <w:t>Authored 180+ ISA instrumentation sheets for temperature, pressure, flow, and level transmitters; developed control panel BOMs (65 panels), general arrangement drawings, cable schedules (3,200+ cables), loop diagrams, and interconnection diagrams supporting regulatory compliance (API, IEC 61511).</w:t>
      </w:r>
    </w:p>
    <w:p>
      <w:pPr>
        <w:spacing w:after="60" w:line="240" w:lineRule="auto"/>
        <w:ind w:left="360" w:hanging="216"/>
      </w:pPr>
      <w:r>
        <w:rPr>
          <w:rFonts w:ascii="Arial" w:hAnsi="Arial"/>
          <w:color w:val="000000"/>
          <w:sz w:val="20"/>
        </w:rPr>
        <w:t xml:space="preserve">● </w:t>
      </w:r>
      <w:r>
        <w:rPr>
          <w:rFonts w:ascii="Arial" w:hAnsi="Arial"/>
          <w:color w:val="000000"/>
          <w:sz w:val="20"/>
        </w:rPr>
        <w:t>Executed 14 FATs, 8 SATs, and 1,850+ loop checks across offshore facilities, reducing defect density by 35% through rigorous pre-commissioning validation and systematic inspections.</w:t>
      </w:r>
    </w:p>
    <w:p>
      <w:pPr>
        <w:spacing w:after="60" w:line="240" w:lineRule="auto"/>
        <w:ind w:left="360" w:hanging="216"/>
      </w:pPr>
      <w:r>
        <w:rPr>
          <w:rFonts w:ascii="Arial" w:hAnsi="Arial"/>
          <w:color w:val="000000"/>
          <w:sz w:val="20"/>
        </w:rPr>
        <w:t xml:space="preserve">● </w:t>
      </w:r>
      <w:r>
        <w:rPr>
          <w:rFonts w:ascii="Arial" w:hAnsi="Arial"/>
          <w:color w:val="000000"/>
          <w:sz w:val="20"/>
        </w:rPr>
        <w:t>Reviewed and implemented electrical single-line diagrams and control schematics for multi-voltage power distribution (690V/480V/240V), instrumentation (4-20mA, HART, Foundation Fieldbus), and control panels ensuring compliance with IEC standards.</w:t>
      </w:r>
    </w:p>
    <w:p>
      <w:pPr>
        <w:spacing w:after="60" w:line="240" w:lineRule="auto"/>
        <w:ind w:left="360" w:hanging="216"/>
      </w:pPr>
      <w:r>
        <w:rPr>
          <w:rFonts w:ascii="Arial" w:hAnsi="Arial"/>
          <w:color w:val="000000"/>
          <w:sz w:val="20"/>
        </w:rPr>
        <w:t xml:space="preserve">● </w:t>
      </w:r>
      <w:r>
        <w:rPr>
          <w:rFonts w:ascii="Arial" w:hAnsi="Arial"/>
          <w:color w:val="000000"/>
          <w:sz w:val="20"/>
        </w:rPr>
        <w:t>Managed scope definition and specifications with 8 OEM vendors (Emerson, Honeywell, ABB, Schneider Electric) coordinating delivery schedules, technical queries, and service contracts to support critical path milestones.</w:t>
      </w:r>
    </w:p>
    <w:p/>
    <w:p>
      <w:r>
        <w:rPr>
          <w:rFonts w:ascii="Arial" w:hAnsi="Arial"/>
          <w:b/>
          <w:color w:val="000000"/>
          <w:sz w:val="22"/>
        </w:rPr>
        <w:t>EDUCATION</w:t>
      </w:r>
    </w:p>
    <w:p>
      <w:r>
        <w:rPr>
          <w:rFonts w:ascii="Arial" w:hAnsi="Arial"/>
          <w:b/>
          <w:color w:val="000000"/>
          <w:sz w:val="20"/>
        </w:rPr>
        <w:t>10/2024 – 03/2026</w:t>
      </w:r>
      <w:r>
        <w:rPr>
          <w:rFonts w:ascii="Arial" w:hAnsi="Arial"/>
          <w:b/>
          <w:color w:val="000000"/>
          <w:sz w:val="20"/>
        </w:rPr>
        <w:t xml:space="preserve">     MBA Energy Management</w:t>
      </w:r>
    </w:p>
    <w:p>
      <w:r>
        <w:rPr>
          <w:rFonts w:ascii="Arial" w:hAnsi="Arial"/>
          <w:i/>
          <w:color w:val="000000"/>
          <w:sz w:val="20"/>
        </w:rPr>
        <w:t>TU Berlin | Germany</w:t>
      </w:r>
    </w:p>
    <w:p>
      <w:pPr>
        <w:ind w:left="360" w:hanging="216"/>
      </w:pPr>
      <w:r>
        <w:rPr>
          <w:rFonts w:ascii="Arial" w:hAnsi="Arial"/>
          <w:sz w:val="20"/>
        </w:rPr>
        <w:t xml:space="preserve">● </w:t>
      </w:r>
      <w:r>
        <w:rPr>
          <w:rFonts w:ascii="Arial" w:hAnsi="Arial"/>
          <w:i/>
          <w:color w:val="000000"/>
          <w:sz w:val="18"/>
        </w:rPr>
        <w:t>Relevant Coursework: Project Management, Strategic Management, Business Process Optimization, Supply Chain Management</w:t>
      </w:r>
    </w:p>
    <w:p>
      <w:r>
        <w:rPr>
          <w:rFonts w:ascii="Arial" w:hAnsi="Arial"/>
          <w:b/>
          <w:color w:val="000000"/>
          <w:sz w:val="20"/>
        </w:rPr>
        <w:t>07/2016 – 08/2020</w:t>
      </w:r>
      <w:r>
        <w:rPr>
          <w:rFonts w:ascii="Arial" w:hAnsi="Arial"/>
          <w:b/>
          <w:color w:val="000000"/>
          <w:sz w:val="20"/>
        </w:rPr>
        <w:t xml:space="preserve">     B.Tech in Electronics and Instrumentation Engineering</w:t>
      </w:r>
    </w:p>
    <w:p>
      <w:r>
        <w:rPr>
          <w:rFonts w:ascii="Arial" w:hAnsi="Arial"/>
          <w:i/>
          <w:color w:val="000000"/>
          <w:sz w:val="20"/>
        </w:rPr>
        <w:t>Amrita Vishwa Vidyapeetham | Coimbatore, India</w:t>
      </w:r>
    </w:p>
    <w:p>
      <w:r>
        <w:rPr>
          <w:rFonts w:ascii="Arial" w:hAnsi="Arial"/>
          <w:b/>
          <w:color w:val="000000"/>
          <w:sz w:val="22"/>
        </w:rPr>
        <w:t>LANGUAGES</w:t>
      </w:r>
    </w:p>
    <w:p>
      <w:r>
        <w:rPr>
          <w:rFonts w:ascii="Arial" w:hAnsi="Arial"/>
          <w:color w:val="000000"/>
          <w:sz w:val="20"/>
        </w:rPr>
        <w:t>English (Business Proficient/C2) | German (A2)</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akhily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