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16202" w14:textId="77777777" w:rsidR="00011F94" w:rsidRPr="0008240F" w:rsidRDefault="00011F94" w:rsidP="00B50617">
      <w:pPr>
        <w:pStyle w:val="Heading1"/>
      </w:pPr>
      <w:bookmarkStart w:id="0" w:name="_Toc204782334"/>
      <w:bookmarkStart w:id="1" w:name="_Toc204782537"/>
      <w:bookmarkStart w:id="2" w:name="_Toc204782567"/>
      <w:r w:rsidRPr="0008240F">
        <w:rPr>
          <w:noProof/>
        </w:rPr>
        <mc:AlternateContent>
          <mc:Choice Requires="wps">
            <w:drawing>
              <wp:anchor distT="0" distB="0" distL="114300" distR="114300" simplePos="0" relativeHeight="251663360" behindDoc="0" locked="0" layoutInCell="1" allowOverlap="1" wp14:anchorId="351B02CD" wp14:editId="68473695">
                <wp:simplePos x="0" y="0"/>
                <wp:positionH relativeFrom="margin">
                  <wp:posOffset>-106680</wp:posOffset>
                </wp:positionH>
                <wp:positionV relativeFrom="margin">
                  <wp:posOffset>-260985</wp:posOffset>
                </wp:positionV>
                <wp:extent cx="6479540" cy="1194435"/>
                <wp:effectExtent l="0" t="0" r="0" b="5715"/>
                <wp:wrapSquare wrapText="bothSides"/>
                <wp:docPr id="138" name="Text Box 138"/>
                <wp:cNvGraphicFramePr/>
                <a:graphic xmlns:a="http://schemas.openxmlformats.org/drawingml/2006/main">
                  <a:graphicData uri="http://schemas.microsoft.com/office/word/2010/wordprocessingShape">
                    <wps:wsp>
                      <wps:cNvSpPr txBox="1"/>
                      <wps:spPr>
                        <a:xfrm>
                          <a:off x="0" y="0"/>
                          <a:ext cx="6479540" cy="11944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EAAF04" w14:textId="77777777" w:rsidR="000D0A05" w:rsidRPr="0006764B" w:rsidRDefault="000D0A05" w:rsidP="00011F94">
                            <w:pPr>
                              <w:pStyle w:val="NoSpacing"/>
                              <w:spacing w:before="120" w:after="120"/>
                              <w:jc w:val="center"/>
                              <w:rPr>
                                <w:rFonts w:ascii="Times New Roman" w:eastAsiaTheme="majorEastAsia" w:hAnsi="Times New Roman" w:cs="Times New Roman"/>
                                <w:i/>
                                <w:color w:val="4472C4" w:themeColor="accent1"/>
                                <w:sz w:val="36"/>
                                <w:szCs w:val="40"/>
                                <w:u w:val="single"/>
                              </w:rPr>
                            </w:pPr>
                            <w:r>
                              <w:rPr>
                                <w:rFonts w:ascii="Times New Roman" w:eastAsiaTheme="majorEastAsia" w:hAnsi="Times New Roman" w:cs="Times New Roman"/>
                                <w:b/>
                                <w:color w:val="4472C4" w:themeColor="accent1"/>
                                <w:sz w:val="52"/>
                                <w:szCs w:val="60"/>
                              </w:rPr>
                              <w:t>National Level Development Bank</w:t>
                            </w:r>
                            <w:r w:rsidRPr="0006764B">
                              <w:rPr>
                                <w:rFonts w:ascii="Times New Roman" w:eastAsiaTheme="majorEastAsia" w:hAnsi="Times New Roman" w:cs="Times New Roman"/>
                                <w:b/>
                                <w:color w:val="4472C4" w:themeColor="accent1"/>
                                <w:sz w:val="52"/>
                                <w:szCs w:val="60"/>
                              </w:rPr>
                              <w:t xml:space="preserve"> Industry </w:t>
                            </w:r>
                          </w:p>
                          <w:p w14:paraId="3A48CE52" w14:textId="1DC8C617" w:rsidR="000D0A05" w:rsidRPr="005F5618" w:rsidRDefault="000D0A05" w:rsidP="00011F94">
                            <w:pPr>
                              <w:pStyle w:val="NoSpacing"/>
                              <w:spacing w:before="120" w:after="120"/>
                              <w:jc w:val="center"/>
                              <w:rPr>
                                <w:rFonts w:ascii="Times New Roman" w:eastAsiaTheme="majorEastAsia" w:hAnsi="Times New Roman" w:cs="Times New Roman"/>
                                <w:i/>
                                <w:color w:val="262626" w:themeColor="text1" w:themeTint="D9"/>
                                <w:sz w:val="40"/>
                                <w:szCs w:val="40"/>
                                <w:u w:val="single"/>
                              </w:rPr>
                            </w:pPr>
                            <w:r>
                              <w:rPr>
                                <w:rFonts w:ascii="Times New Roman" w:eastAsiaTheme="majorEastAsia" w:hAnsi="Times New Roman" w:cs="Times New Roman"/>
                                <w:i/>
                                <w:color w:val="262626" w:themeColor="text1" w:themeTint="D9"/>
                                <w:sz w:val="40"/>
                                <w:szCs w:val="40"/>
                                <w:u w:val="single"/>
                              </w:rPr>
                              <w:t>As of Q3 published for FY 2081/82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51B02CD" id="_x0000_t202" coordsize="21600,21600" o:spt="202" path="m,l,21600r21600,l21600,xe">
                <v:stroke joinstyle="miter"/>
                <v:path gradientshapeok="t" o:connecttype="rect"/>
              </v:shapetype>
              <v:shape id="Text Box 138" o:spid="_x0000_s1026" type="#_x0000_t202" style="position:absolute;margin-left:-8.4pt;margin-top:-20.55pt;width:510.2pt;height:94.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" filled="f" stroked="f" strokeweight=".5pt">
                <v:textbox inset="0,0,0,0">
                  <w:txbxContent>
                    <w:p w14:paraId="04EAAF04" w14:textId="77777777" w:rsidR="000D0A05" w:rsidRPr="0006764B" w:rsidRDefault="000D0A05" w:rsidP="00011F94">
                      <w:pPr>
                        <w:pStyle w:val="NoSpacing"/>
                        <w:spacing w:before="120" w:after="120"/>
                        <w:jc w:val="center"/>
                        <w:rPr>
                          <w:rFonts w:ascii="Times New Roman" w:eastAsiaTheme="majorEastAsia" w:hAnsi="Times New Roman" w:cs="Times New Roman"/>
                          <w:i/>
                          <w:color w:val="4472C4" w:themeColor="accent1"/>
                          <w:sz w:val="36"/>
                          <w:szCs w:val="40"/>
                          <w:u w:val="single"/>
                        </w:rPr>
                      </w:pPr>
                      <w:r>
                        <w:rPr>
                          <w:rFonts w:ascii="Times New Roman" w:eastAsiaTheme="majorEastAsia" w:hAnsi="Times New Roman" w:cs="Times New Roman"/>
                          <w:b/>
                          <w:color w:val="4472C4" w:themeColor="accent1"/>
                          <w:sz w:val="52"/>
                          <w:szCs w:val="60"/>
                        </w:rPr>
                        <w:t>National Level Development Bank</w:t>
                      </w:r>
                      <w:r w:rsidRPr="0006764B">
                        <w:rPr>
                          <w:rFonts w:ascii="Times New Roman" w:eastAsiaTheme="majorEastAsia" w:hAnsi="Times New Roman" w:cs="Times New Roman"/>
                          <w:b/>
                          <w:color w:val="4472C4" w:themeColor="accent1"/>
                          <w:sz w:val="52"/>
                          <w:szCs w:val="60"/>
                        </w:rPr>
                        <w:t xml:space="preserve"> Industry </w:t>
                      </w:r>
                    </w:p>
                    <w:p w14:paraId="3A48CE52" w14:textId="1DC8C617" w:rsidR="000D0A05" w:rsidRPr="005F5618" w:rsidRDefault="000D0A05" w:rsidP="00011F94">
                      <w:pPr>
                        <w:pStyle w:val="NoSpacing"/>
                        <w:spacing w:before="120" w:after="120"/>
                        <w:jc w:val="center"/>
                        <w:rPr>
                          <w:rFonts w:ascii="Times New Roman" w:eastAsiaTheme="majorEastAsia" w:hAnsi="Times New Roman" w:cs="Times New Roman"/>
                          <w:i/>
                          <w:color w:val="262626" w:themeColor="text1" w:themeTint="D9"/>
                          <w:sz w:val="40"/>
                          <w:szCs w:val="40"/>
                          <w:u w:val="single"/>
                        </w:rPr>
                      </w:pPr>
                      <w:r>
                        <w:rPr>
                          <w:rFonts w:ascii="Times New Roman" w:eastAsiaTheme="majorEastAsia" w:hAnsi="Times New Roman" w:cs="Times New Roman"/>
                          <w:i/>
                          <w:color w:val="262626" w:themeColor="text1" w:themeTint="D9"/>
                          <w:sz w:val="40"/>
                          <w:szCs w:val="40"/>
                          <w:u w:val="single"/>
                        </w:rPr>
                        <w:t>As of Q3 published for FY 2081/82</w:t>
                      </w:r>
                    </w:p>
                  </w:txbxContent>
                </v:textbox>
                <w10:wrap type="square" anchorx="margin" anchory="margin"/>
              </v:shape>
            </w:pict>
          </mc:Fallback>
        </mc:AlternateContent>
      </w:r>
      <w:bookmarkEnd w:id="0"/>
      <w:bookmarkEnd w:id="1"/>
      <w:bookmarkEnd w:id="2"/>
    </w:p>
    <w:sdt>
      <w:sdtPr>
        <w:rPr>
          <w:rFonts w:ascii="Times New Roman" w:eastAsiaTheme="minorHAnsi" w:hAnsi="Times New Roman" w:cs="Times New Roman"/>
        </w:rPr>
        <w:id w:val="-1368529095"/>
        <w:docPartObj>
          <w:docPartGallery w:val="Cover Pages"/>
          <w:docPartUnique/>
        </w:docPartObj>
      </w:sdtPr>
      <w:sdtEndPr>
        <w:rPr>
          <w:b/>
          <w:sz w:val="28"/>
        </w:rPr>
      </w:sdtEndPr>
      <w:sdtContent>
        <w:p w14:paraId="6A99D9BD" w14:textId="77777777" w:rsidR="00011F94" w:rsidRPr="0008240F" w:rsidRDefault="00011F94" w:rsidP="00EB0778">
          <w:pPr>
            <w:pStyle w:val="NoSpacing"/>
            <w:spacing w:line="360" w:lineRule="auto"/>
            <w:rPr>
              <w:rFonts w:ascii="Times New Roman" w:hAnsi="Times New Roman" w:cs="Times New Roman"/>
            </w:rPr>
          </w:pPr>
          <w:r w:rsidRPr="0008240F">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2A2CD9F5" wp14:editId="15B24FE4">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44DE06F" w14:textId="77777777" w:rsidR="000D0A05" w:rsidRDefault="000D0A05">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 6"/>
                            <wpg:cNvGrpSpPr/>
                            <wpg:grpSpPr>
                              <a:xfrm>
                                <a:off x="76200" y="4210050"/>
                                <a:ext cx="2057400" cy="4910328"/>
                                <a:chOff x="80645" y="4211812"/>
                                <a:chExt cx="1306273" cy="3121026"/>
                              </a:xfrm>
                            </wpg:grpSpPr>
                            <wpg:grpSp>
                              <wpg:cNvPr id="7" name="Group 7"/>
                              <wpg:cNvGrpSpPr>
                                <a:grpSpLocks noChangeAspect="1"/>
                              </wpg:cNvGrpSpPr>
                              <wpg:grpSpPr>
                                <a:xfrm>
                                  <a:off x="141062" y="4211812"/>
                                  <a:ext cx="1047750" cy="3121026"/>
                                  <a:chOff x="141062" y="4211812"/>
                                  <a:chExt cx="1047750" cy="3121026"/>
                                </a:xfrm>
                              </wpg:grpSpPr>
                              <wps:wsp>
                                <wps:cNvPr id="8"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 21"/>
                              <wpg:cNvGrpSpPr>
                                <a:grpSpLocks noChangeAspect="1"/>
                              </wpg:cNvGrpSpPr>
                              <wpg:grpSpPr>
                                <a:xfrm>
                                  <a:off x="80645" y="4826972"/>
                                  <a:ext cx="1306273" cy="2505863"/>
                                  <a:chOff x="80645" y="4649964"/>
                                  <a:chExt cx="874712" cy="1677988"/>
                                </a:xfrm>
                              </wpg:grpSpPr>
                              <wps:wsp>
                                <wps:cNvPr id="22"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A2CD9F5" id="Group 3"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">
                    <v:rect id="Rectangle 4"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ajxAAAANoAAAAPAAAAZHJzL2Rvd25yZXYueG1sRI/dasJA&#10;FITvhb7DcgTv6iaK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E24NqP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44DE06F" w14:textId="77777777" w:rsidR="000D0A05" w:rsidRDefault="000D0A05">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6"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7"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1"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B4320E5" w14:textId="77777777" w:rsidR="00011F94" w:rsidRPr="0008240F" w:rsidRDefault="008D325C" w:rsidP="00EB0778">
          <w:pPr>
            <w:rPr>
              <w:rFonts w:ascii="Times New Roman" w:hAnsi="Times New Roman" w:cs="Times New Roman"/>
              <w:b/>
              <w:sz w:val="28"/>
            </w:rPr>
          </w:pPr>
          <w:r w:rsidRPr="0008240F">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74AFA708" wp14:editId="11A7C982">
                    <wp:simplePos x="0" y="0"/>
                    <wp:positionH relativeFrom="margin">
                      <wp:posOffset>4301490</wp:posOffset>
                    </wp:positionH>
                    <wp:positionV relativeFrom="margin">
                      <wp:posOffset>6602095</wp:posOffset>
                    </wp:positionV>
                    <wp:extent cx="2067560" cy="1371600"/>
                    <wp:effectExtent l="0" t="0" r="8890" b="0"/>
                    <wp:wrapSquare wrapText="bothSides"/>
                    <wp:docPr id="72" name="Text Box 72"/>
                    <wp:cNvGraphicFramePr/>
                    <a:graphic xmlns:a="http://schemas.openxmlformats.org/drawingml/2006/main">
                      <a:graphicData uri="http://schemas.microsoft.com/office/word/2010/wordprocessingShape">
                        <wps:wsp>
                          <wps:cNvSpPr txBox="1"/>
                          <wps:spPr>
                            <a:xfrm>
                              <a:off x="0" y="0"/>
                              <a:ext cx="206756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062E4A" w14:textId="77777777" w:rsidR="000D0A05" w:rsidRPr="006431C4" w:rsidRDefault="000D0A05" w:rsidP="008D325C">
                                <w:pPr>
                                  <w:pStyle w:val="NoSpacing"/>
                                  <w:rPr>
                                    <w:rFonts w:ascii="Times New Roman" w:hAnsi="Times New Roman" w:cs="Times New Roman"/>
                                    <w:color w:val="4472C4" w:themeColor="accent1"/>
                                    <w:sz w:val="28"/>
                                    <w:szCs w:val="28"/>
                                  </w:rPr>
                                </w:pPr>
                                <w:r w:rsidRPr="006431C4">
                                  <w:rPr>
                                    <w:rFonts w:ascii="Times New Roman" w:hAnsi="Times New Roman" w:cs="Times New Roman"/>
                                    <w:color w:val="4472C4" w:themeColor="accent1"/>
                                    <w:sz w:val="28"/>
                                    <w:szCs w:val="28"/>
                                  </w:rPr>
                                  <w:t>Prepared By:</w:t>
                                </w:r>
                              </w:p>
                              <w:p w14:paraId="032AA155" w14:textId="77777777" w:rsidR="000D0A05" w:rsidRPr="006431C4" w:rsidRDefault="000D0A05" w:rsidP="008D325C">
                                <w:pPr>
                                  <w:pStyle w:val="NoSpacing"/>
                                  <w:rPr>
                                    <w:rFonts w:ascii="Times New Roman" w:hAnsi="Times New Roman" w:cs="Times New Roman"/>
                                    <w:color w:val="4472C4" w:themeColor="accent1"/>
                                    <w:sz w:val="28"/>
                                    <w:szCs w:val="28"/>
                                  </w:rPr>
                                </w:pPr>
                                <w:r w:rsidRPr="006431C4">
                                  <w:rPr>
                                    <w:rFonts w:ascii="Times New Roman" w:hAnsi="Times New Roman" w:cs="Times New Roman"/>
                                    <w:color w:val="4472C4" w:themeColor="accent1"/>
                                    <w:sz w:val="28"/>
                                    <w:szCs w:val="28"/>
                                  </w:rPr>
                                  <w:t>Research Department</w:t>
                                </w:r>
                              </w:p>
                              <w:p w14:paraId="157BE231" w14:textId="77777777" w:rsidR="000D0A05" w:rsidRDefault="000D0A05" w:rsidP="008D325C">
                                <w:pPr>
                                  <w:pStyle w:val="NoSpacing"/>
                                  <w:rPr>
                                    <w:rFonts w:ascii="Times New Roman" w:hAnsi="Times New Roman" w:cs="Times New Roman"/>
                                    <w:color w:val="4472C4" w:themeColor="accent1"/>
                                    <w:sz w:val="28"/>
                                    <w:szCs w:val="28"/>
                                  </w:rPr>
                                </w:pPr>
                                <w:r w:rsidRPr="006431C4">
                                  <w:rPr>
                                    <w:rFonts w:ascii="Times New Roman" w:hAnsi="Times New Roman" w:cs="Times New Roman"/>
                                    <w:color w:val="4472C4" w:themeColor="accent1"/>
                                    <w:sz w:val="28"/>
                                    <w:szCs w:val="28"/>
                                  </w:rPr>
                                  <w:t>Sanima Capital Limite</w:t>
                                </w:r>
                                <w:r>
                                  <w:rPr>
                                    <w:rFonts w:ascii="Times New Roman" w:hAnsi="Times New Roman" w:cs="Times New Roman"/>
                                    <w:color w:val="4472C4" w:themeColor="accent1"/>
                                    <w:sz w:val="28"/>
                                    <w:szCs w:val="28"/>
                                  </w:rPr>
                                  <w:t>d</w:t>
                                </w:r>
                              </w:p>
                              <w:sdt>
                                <w:sdtPr>
                                  <w:rPr>
                                    <w:rFonts w:ascii="Times New Roman" w:hAnsi="Times New Roman" w:cs="Times New Roman"/>
                                    <w:i/>
                                    <w:color w:val="4472C4" w:themeColor="accent1"/>
                                    <w:sz w:val="24"/>
                                    <w:szCs w:val="28"/>
                                  </w:rPr>
                                  <w:alias w:val="Company"/>
                                  <w:tag w:val=""/>
                                  <w:id w:val="-1300531558"/>
                                  <w:dataBinding w:prefixMappings="xmlns:ns0='http://schemas.openxmlformats.org/officeDocument/2006/extended-properties' " w:xpath="/ns0:Properties[1]/ns0:Company[1]" w:storeItemID="{6668398D-A668-4E3E-A5EB-62B293D839F1}"/>
                                  <w:text/>
                                </w:sdtPr>
                                <w:sdtEndPr/>
                                <w:sdtContent>
                                  <w:p w14:paraId="4CA14100" w14:textId="77777777" w:rsidR="000D0A05" w:rsidRPr="006431C4" w:rsidRDefault="000D0A05" w:rsidP="008D325C">
                                    <w:pPr>
                                      <w:pStyle w:val="NoSpacing"/>
                                      <w:rPr>
                                        <w:rFonts w:ascii="Times New Roman" w:hAnsi="Times New Roman" w:cs="Times New Roman"/>
                                        <w:color w:val="4472C4" w:themeColor="accent1"/>
                                        <w:sz w:val="28"/>
                                        <w:szCs w:val="28"/>
                                      </w:rPr>
                                    </w:pPr>
                                    <w:r>
                                      <w:rPr>
                                        <w:rFonts w:ascii="Times New Roman" w:hAnsi="Times New Roman" w:cs="Times New Roman"/>
                                        <w:i/>
                                        <w:color w:val="4472C4" w:themeColor="accent1"/>
                                        <w:sz w:val="24"/>
                                        <w:szCs w:val="28"/>
                                      </w:rPr>
                                      <w:t>sanimacapital@sanimabank.com</w:t>
                                    </w:r>
                                  </w:p>
                                </w:sdtContent>
                              </w:sdt>
                              <w:p w14:paraId="61478D9E" w14:textId="77777777" w:rsidR="000D0A05" w:rsidRPr="006431C4" w:rsidRDefault="000D0A05" w:rsidP="008D325C">
                                <w:pPr>
                                  <w:pStyle w:val="NoSpacing"/>
                                  <w:rPr>
                                    <w:rFonts w:ascii="Times New Roman" w:hAnsi="Times New Roman" w:cs="Times New Roman"/>
                                    <w:color w:val="4472C4" w:themeColor="accent1"/>
                                    <w:sz w:val="28"/>
                                    <w:szCs w:val="2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4AFA708" id="Text Box 72" o:spid="_x0000_s1056" type="#_x0000_t202" style="position:absolute;margin-left:338.7pt;margin-top:519.85pt;width:162.8pt;height:10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" filled="f" stroked="f" strokeweight=".5pt">
                    <v:textbox inset="0,0,0,0">
                      <w:txbxContent>
                        <w:p w14:paraId="37062E4A" w14:textId="77777777" w:rsidR="000D0A05" w:rsidRPr="006431C4" w:rsidRDefault="000D0A05" w:rsidP="008D325C">
                          <w:pPr>
                            <w:pStyle w:val="NoSpacing"/>
                            <w:rPr>
                              <w:rFonts w:ascii="Times New Roman" w:hAnsi="Times New Roman" w:cs="Times New Roman"/>
                              <w:color w:val="4472C4" w:themeColor="accent1"/>
                              <w:sz w:val="28"/>
                              <w:szCs w:val="28"/>
                            </w:rPr>
                          </w:pPr>
                          <w:r w:rsidRPr="006431C4">
                            <w:rPr>
                              <w:rFonts w:ascii="Times New Roman" w:hAnsi="Times New Roman" w:cs="Times New Roman"/>
                              <w:color w:val="4472C4" w:themeColor="accent1"/>
                              <w:sz w:val="28"/>
                              <w:szCs w:val="28"/>
                            </w:rPr>
                            <w:t>Prepared By:</w:t>
                          </w:r>
                        </w:p>
                        <w:p w14:paraId="032AA155" w14:textId="77777777" w:rsidR="000D0A05" w:rsidRPr="006431C4" w:rsidRDefault="000D0A05" w:rsidP="008D325C">
                          <w:pPr>
                            <w:pStyle w:val="NoSpacing"/>
                            <w:rPr>
                              <w:rFonts w:ascii="Times New Roman" w:hAnsi="Times New Roman" w:cs="Times New Roman"/>
                              <w:color w:val="4472C4" w:themeColor="accent1"/>
                              <w:sz w:val="28"/>
                              <w:szCs w:val="28"/>
                            </w:rPr>
                          </w:pPr>
                          <w:r w:rsidRPr="006431C4">
                            <w:rPr>
                              <w:rFonts w:ascii="Times New Roman" w:hAnsi="Times New Roman" w:cs="Times New Roman"/>
                              <w:color w:val="4472C4" w:themeColor="accent1"/>
                              <w:sz w:val="28"/>
                              <w:szCs w:val="28"/>
                            </w:rPr>
                            <w:t>Research Department</w:t>
                          </w:r>
                        </w:p>
                        <w:p w14:paraId="157BE231" w14:textId="77777777" w:rsidR="000D0A05" w:rsidRDefault="000D0A05" w:rsidP="008D325C">
                          <w:pPr>
                            <w:pStyle w:val="NoSpacing"/>
                            <w:rPr>
                              <w:rFonts w:ascii="Times New Roman" w:hAnsi="Times New Roman" w:cs="Times New Roman"/>
                              <w:color w:val="4472C4" w:themeColor="accent1"/>
                              <w:sz w:val="28"/>
                              <w:szCs w:val="28"/>
                            </w:rPr>
                          </w:pPr>
                          <w:r w:rsidRPr="006431C4">
                            <w:rPr>
                              <w:rFonts w:ascii="Times New Roman" w:hAnsi="Times New Roman" w:cs="Times New Roman"/>
                              <w:color w:val="4472C4" w:themeColor="accent1"/>
                              <w:sz w:val="28"/>
                              <w:szCs w:val="28"/>
                            </w:rPr>
                            <w:t>Sanima Capital Limite</w:t>
                          </w:r>
                          <w:r>
                            <w:rPr>
                              <w:rFonts w:ascii="Times New Roman" w:hAnsi="Times New Roman" w:cs="Times New Roman"/>
                              <w:color w:val="4472C4" w:themeColor="accent1"/>
                              <w:sz w:val="28"/>
                              <w:szCs w:val="28"/>
                            </w:rPr>
                            <w:t>d</w:t>
                          </w:r>
                        </w:p>
                        <w:sdt>
                          <w:sdtPr>
                            <w:rPr>
                              <w:rFonts w:ascii="Times New Roman" w:hAnsi="Times New Roman" w:cs="Times New Roman"/>
                              <w:i/>
                              <w:color w:val="4472C4" w:themeColor="accent1"/>
                              <w:sz w:val="24"/>
                              <w:szCs w:val="28"/>
                            </w:rPr>
                            <w:alias w:val="Company"/>
                            <w:tag w:val=""/>
                            <w:id w:val="-1300531558"/>
                            <w:dataBinding w:prefixMappings="xmlns:ns0='http://schemas.openxmlformats.org/officeDocument/2006/extended-properties' " w:xpath="/ns0:Properties[1]/ns0:Company[1]" w:storeItemID="{6668398D-A668-4E3E-A5EB-62B293D839F1}"/>
                            <w:text/>
                          </w:sdtPr>
                          <w:sdtEndPr/>
                          <w:sdtContent>
                            <w:p w14:paraId="4CA14100" w14:textId="77777777" w:rsidR="000D0A05" w:rsidRPr="006431C4" w:rsidRDefault="000D0A05" w:rsidP="008D325C">
                              <w:pPr>
                                <w:pStyle w:val="NoSpacing"/>
                                <w:rPr>
                                  <w:rFonts w:ascii="Times New Roman" w:hAnsi="Times New Roman" w:cs="Times New Roman"/>
                                  <w:color w:val="4472C4" w:themeColor="accent1"/>
                                  <w:sz w:val="28"/>
                                  <w:szCs w:val="28"/>
                                </w:rPr>
                              </w:pPr>
                              <w:r>
                                <w:rPr>
                                  <w:rFonts w:ascii="Times New Roman" w:hAnsi="Times New Roman" w:cs="Times New Roman"/>
                                  <w:i/>
                                  <w:color w:val="4472C4" w:themeColor="accent1"/>
                                  <w:sz w:val="24"/>
                                  <w:szCs w:val="28"/>
                                </w:rPr>
                                <w:t>sanimacapital@sanimabank.com</w:t>
                              </w:r>
                            </w:p>
                          </w:sdtContent>
                        </w:sdt>
                        <w:p w14:paraId="61478D9E" w14:textId="77777777" w:rsidR="000D0A05" w:rsidRPr="006431C4" w:rsidRDefault="000D0A05" w:rsidP="008D325C">
                          <w:pPr>
                            <w:pStyle w:val="NoSpacing"/>
                            <w:rPr>
                              <w:rFonts w:ascii="Times New Roman" w:hAnsi="Times New Roman" w:cs="Times New Roman"/>
                              <w:color w:val="4472C4" w:themeColor="accent1"/>
                              <w:sz w:val="28"/>
                              <w:szCs w:val="28"/>
                            </w:rPr>
                          </w:pPr>
                        </w:p>
                      </w:txbxContent>
                    </v:textbox>
                    <w10:wrap type="square" anchorx="margin" anchory="margin"/>
                  </v:shape>
                </w:pict>
              </mc:Fallback>
            </mc:AlternateContent>
          </w:r>
          <w:r w:rsidRPr="0008240F">
            <w:rPr>
              <w:rFonts w:ascii="Times New Roman" w:hAnsi="Times New Roman" w:cs="Times New Roman"/>
              <w:noProof/>
            </w:rPr>
            <w:drawing>
              <wp:anchor distT="0" distB="0" distL="114300" distR="114300" simplePos="0" relativeHeight="251665408" behindDoc="0" locked="0" layoutInCell="1" allowOverlap="1" wp14:anchorId="6CEA2D68" wp14:editId="6EDCDCEC">
                <wp:simplePos x="0" y="0"/>
                <wp:positionH relativeFrom="margin">
                  <wp:posOffset>-106095</wp:posOffset>
                </wp:positionH>
                <wp:positionV relativeFrom="margin">
                  <wp:posOffset>3173036</wp:posOffset>
                </wp:positionV>
                <wp:extent cx="6400800" cy="1378305"/>
                <wp:effectExtent l="0" t="0" r="0" b="0"/>
                <wp:wrapSquare wrapText="bothSides"/>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ima capital high resolution final - Cop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00800" cy="1378305"/>
                        </a:xfrm>
                        <a:prstGeom prst="rect">
                          <a:avLst/>
                        </a:prstGeom>
                      </pic:spPr>
                    </pic:pic>
                  </a:graphicData>
                </a:graphic>
                <wp14:sizeRelH relativeFrom="page">
                  <wp14:pctWidth>0</wp14:pctWidth>
                </wp14:sizeRelH>
                <wp14:sizeRelV relativeFrom="page">
                  <wp14:pctHeight>0</wp14:pctHeight>
                </wp14:sizeRelV>
              </wp:anchor>
            </w:drawing>
          </w:r>
          <w:r w:rsidR="00011F94" w:rsidRPr="0008240F">
            <w:rPr>
              <w:rFonts w:ascii="Times New Roman" w:hAnsi="Times New Roman" w:cs="Times New Roman"/>
              <w:b/>
              <w:sz w:val="28"/>
            </w:rPr>
            <w:br w:type="page"/>
          </w:r>
        </w:p>
      </w:sdtContent>
    </w:sdt>
    <w:p w14:paraId="6E3BE701" w14:textId="57789050" w:rsidR="00EB0778" w:rsidRDefault="00EB0778" w:rsidP="00B50617">
      <w:pPr>
        <w:pStyle w:val="TOCHeading"/>
        <w:spacing w:line="360" w:lineRule="auto"/>
        <w:rPr>
          <w:rFonts w:ascii="Times New Roman" w:hAnsi="Times New Roman"/>
          <w:b/>
          <w:sz w:val="24"/>
        </w:rPr>
      </w:pPr>
      <w:bookmarkStart w:id="3" w:name="_GoBack"/>
      <w:bookmarkEnd w:id="3"/>
    </w:p>
    <w:p w14:paraId="4951C6FC" w14:textId="2966F7C4" w:rsidR="002B276F" w:rsidRPr="00EB0778" w:rsidRDefault="004806EF" w:rsidP="00EB0778">
      <w:pPr>
        <w:pStyle w:val="Heading1"/>
        <w:spacing w:line="360" w:lineRule="auto"/>
      </w:pPr>
      <w:bookmarkStart w:id="4" w:name="_Toc204782568"/>
      <w:r w:rsidRPr="00C35DFA">
        <w:t xml:space="preserve">Industry </w:t>
      </w:r>
      <w:r w:rsidR="005354F1" w:rsidRPr="000B0126">
        <w:t>summery</w:t>
      </w:r>
      <w:r w:rsidRPr="00C35DFA">
        <w:t xml:space="preserve"> of Development Banks (National Level)</w:t>
      </w:r>
      <w:bookmarkEnd w:id="4"/>
    </w:p>
    <w:p w14:paraId="1960C82E" w14:textId="77777777" w:rsidR="00EB0778" w:rsidRPr="000F461B" w:rsidRDefault="00EB0778" w:rsidP="00EB0778">
      <w:pPr>
        <w:rPr>
          <w:rFonts w:ascii="Times New Roman" w:hAnsi="Times New Roman" w:cs="Times New Roman"/>
          <w:highlight w:val="yellow"/>
        </w:rPr>
      </w:pPr>
    </w:p>
    <w:p w14:paraId="30EC43EF" w14:textId="77777777" w:rsidR="00EB0778" w:rsidRPr="000F461B" w:rsidRDefault="00EB0778" w:rsidP="00EB0778">
      <w:pPr>
        <w:pStyle w:val="Heading2"/>
        <w:spacing w:line="360" w:lineRule="auto"/>
        <w:rPr>
          <w:rFonts w:cs="Times New Roman"/>
        </w:rPr>
      </w:pPr>
      <w:bookmarkStart w:id="5" w:name="_Toc204782569"/>
      <w:r w:rsidRPr="000F461B">
        <w:rPr>
          <w:rFonts w:cs="Times New Roman"/>
        </w:rPr>
        <w:t>PE vs PB Scatter Plot as of Q3 Report</w:t>
      </w:r>
      <w:bookmarkEnd w:id="5"/>
    </w:p>
    <w:p w14:paraId="72F6FCA4" w14:textId="77777777" w:rsidR="00EB0778" w:rsidRPr="000F461B" w:rsidRDefault="00EB0778" w:rsidP="00EB0778">
      <w:pPr>
        <w:rPr>
          <w:rFonts w:ascii="Times New Roman" w:hAnsi="Times New Roman" w:cs="Times New Roman"/>
          <w:highlight w:val="yellow"/>
        </w:rPr>
      </w:pPr>
      <w:r w:rsidRPr="000F461B">
        <w:rPr>
          <w:rFonts w:ascii="Times New Roman" w:hAnsi="Times New Roman" w:cs="Times New Roman"/>
          <w:noProof/>
        </w:rPr>
        <w:drawing>
          <wp:inline distT="0" distB="0" distL="0" distR="0" wp14:anchorId="02FB6E91" wp14:editId="02CD644E">
            <wp:extent cx="5943600" cy="4049667"/>
            <wp:effectExtent l="0" t="0" r="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9"/>
                    <a:stretch>
                      <a:fillRect/>
                    </a:stretch>
                  </pic:blipFill>
                  <pic:spPr>
                    <a:xfrm>
                      <a:off x="0" y="0"/>
                      <a:ext cx="5943600" cy="4049667"/>
                    </a:xfrm>
                    <a:prstGeom prst="rect">
                      <a:avLst/>
                    </a:prstGeom>
                  </pic:spPr>
                </pic:pic>
              </a:graphicData>
            </a:graphic>
          </wp:inline>
        </w:drawing>
      </w:r>
    </w:p>
    <w:p w14:paraId="3CD0DEDE" w14:textId="2D9E6B7D" w:rsidR="00EB0778" w:rsidRPr="00EB0778" w:rsidRDefault="00EB0778" w:rsidP="00EB0778">
      <w:pPr>
        <w:jc w:val="both"/>
        <w:rPr>
          <w:rFonts w:ascii="Times New Roman" w:hAnsi="Times New Roman" w:cs="Times New Roman"/>
        </w:rPr>
      </w:pPr>
      <w:r w:rsidRPr="000F461B">
        <w:rPr>
          <w:rFonts w:ascii="Times New Roman" w:hAnsi="Times New Roman" w:cs="Times New Roman"/>
        </w:rPr>
        <w:t>The scatter plot is a useful way to quickly compare development banks in terms of how the market values their earnings and assets. By examining the P/E and P/B ratios together, we can better understand market expectations, identify undervalued opportunities, or confirm strong growth investments. Each quadrant or position in the scatter plot reflects different investment appeals, from growth to value to balanced approaches.</w:t>
      </w:r>
    </w:p>
    <w:p w14:paraId="3402C769" w14:textId="77777777" w:rsidR="00EB0778" w:rsidRPr="000F461B" w:rsidRDefault="00EB0778" w:rsidP="00EB0778">
      <w:pPr>
        <w:jc w:val="both"/>
        <w:rPr>
          <w:rFonts w:ascii="Times New Roman" w:hAnsi="Times New Roman" w:cs="Times New Roman"/>
          <w:b/>
        </w:rPr>
      </w:pPr>
      <w:r w:rsidRPr="000F461B">
        <w:rPr>
          <w:rFonts w:ascii="Times New Roman" w:hAnsi="Times New Roman" w:cs="Times New Roman"/>
          <w:b/>
        </w:rPr>
        <w:t xml:space="preserve">Analysis of NPL </w:t>
      </w:r>
    </w:p>
    <w:tbl>
      <w:tblPr>
        <w:tblW w:w="9270" w:type="dxa"/>
        <w:tblInd w:w="-5" w:type="dxa"/>
        <w:tblLook w:val="04A0" w:firstRow="1" w:lastRow="0" w:firstColumn="1" w:lastColumn="0" w:noHBand="0" w:noVBand="1"/>
      </w:tblPr>
      <w:tblGrid>
        <w:gridCol w:w="1080"/>
        <w:gridCol w:w="3780"/>
        <w:gridCol w:w="4410"/>
      </w:tblGrid>
      <w:tr w:rsidR="00EB0778" w:rsidRPr="000F461B" w14:paraId="3C45D324" w14:textId="77777777" w:rsidTr="00475C6D">
        <w:trPr>
          <w:trHeight w:val="206"/>
        </w:trPr>
        <w:tc>
          <w:tcPr>
            <w:tcW w:w="108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9A8DC09"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ABB</w:t>
            </w:r>
          </w:p>
        </w:tc>
        <w:tc>
          <w:tcPr>
            <w:tcW w:w="3780" w:type="dxa"/>
            <w:tcBorders>
              <w:top w:val="single" w:sz="4" w:space="0" w:color="auto"/>
              <w:left w:val="nil"/>
              <w:bottom w:val="single" w:sz="4" w:space="0" w:color="auto"/>
              <w:right w:val="single" w:sz="4" w:space="0" w:color="auto"/>
            </w:tcBorders>
            <w:shd w:val="clear" w:color="000000" w:fill="F2F2F2"/>
            <w:vAlign w:val="bottom"/>
            <w:hideMark/>
          </w:tcPr>
          <w:p w14:paraId="0E0E3DC2"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Non-Performing Loan (NPL) to Total Loan 2024/25Q3 </w:t>
            </w:r>
          </w:p>
        </w:tc>
        <w:tc>
          <w:tcPr>
            <w:tcW w:w="4410" w:type="dxa"/>
            <w:tcBorders>
              <w:top w:val="single" w:sz="4" w:space="0" w:color="auto"/>
              <w:left w:val="nil"/>
              <w:bottom w:val="single" w:sz="4" w:space="0" w:color="auto"/>
              <w:right w:val="single" w:sz="4" w:space="0" w:color="auto"/>
            </w:tcBorders>
            <w:shd w:val="clear" w:color="000000" w:fill="F2F2F2"/>
            <w:vAlign w:val="bottom"/>
            <w:hideMark/>
          </w:tcPr>
          <w:p w14:paraId="5363F1F3"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Non-Performing Loan (NPL) to Total Loan 2023/24Q3 </w:t>
            </w:r>
          </w:p>
        </w:tc>
      </w:tr>
      <w:tr w:rsidR="00EB0778" w:rsidRPr="000F461B" w14:paraId="222DD13B" w14:textId="77777777" w:rsidTr="00475C6D">
        <w:trPr>
          <w:trHeight w:val="290"/>
        </w:trPr>
        <w:tc>
          <w:tcPr>
            <w:tcW w:w="1080" w:type="dxa"/>
            <w:tcBorders>
              <w:top w:val="nil"/>
              <w:left w:val="single" w:sz="4" w:space="0" w:color="000000"/>
              <w:bottom w:val="single" w:sz="4" w:space="0" w:color="000000"/>
              <w:right w:val="nil"/>
            </w:tcBorders>
            <w:shd w:val="clear" w:color="D0CECE" w:fill="D0CECE"/>
            <w:noWrap/>
            <w:vAlign w:val="bottom"/>
            <w:hideMark/>
          </w:tcPr>
          <w:p w14:paraId="5DC1DA14"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KSBBL </w:t>
            </w:r>
          </w:p>
        </w:tc>
        <w:tc>
          <w:tcPr>
            <w:tcW w:w="3780" w:type="dxa"/>
            <w:tcBorders>
              <w:top w:val="nil"/>
              <w:left w:val="single" w:sz="4" w:space="0" w:color="000000"/>
              <w:bottom w:val="single" w:sz="4" w:space="0" w:color="000000"/>
              <w:right w:val="nil"/>
            </w:tcBorders>
            <w:shd w:val="clear" w:color="D0CECE" w:fill="D0CECE"/>
            <w:noWrap/>
            <w:vAlign w:val="bottom"/>
            <w:hideMark/>
          </w:tcPr>
          <w:p w14:paraId="70D80E79"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4.27%</w:t>
            </w:r>
          </w:p>
        </w:tc>
        <w:tc>
          <w:tcPr>
            <w:tcW w:w="4410" w:type="dxa"/>
            <w:tcBorders>
              <w:top w:val="nil"/>
              <w:left w:val="single" w:sz="4" w:space="0" w:color="auto"/>
              <w:bottom w:val="single" w:sz="4" w:space="0" w:color="auto"/>
              <w:right w:val="single" w:sz="4" w:space="0" w:color="auto"/>
            </w:tcBorders>
            <w:shd w:val="clear" w:color="D0CECE" w:fill="D0CECE"/>
            <w:noWrap/>
            <w:vAlign w:val="bottom"/>
            <w:hideMark/>
          </w:tcPr>
          <w:p w14:paraId="2BB036AA"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3.55%</w:t>
            </w:r>
          </w:p>
        </w:tc>
      </w:tr>
      <w:tr w:rsidR="00EB0778" w:rsidRPr="000F461B" w14:paraId="2C3FAC34" w14:textId="77777777" w:rsidTr="00475C6D">
        <w:trPr>
          <w:trHeight w:val="290"/>
        </w:trPr>
        <w:tc>
          <w:tcPr>
            <w:tcW w:w="1080" w:type="dxa"/>
            <w:tcBorders>
              <w:top w:val="nil"/>
              <w:left w:val="single" w:sz="4" w:space="0" w:color="000000"/>
              <w:bottom w:val="single" w:sz="4" w:space="0" w:color="000000"/>
              <w:right w:val="nil"/>
            </w:tcBorders>
            <w:shd w:val="clear" w:color="000000" w:fill="F2F2F2"/>
            <w:noWrap/>
            <w:vAlign w:val="bottom"/>
            <w:hideMark/>
          </w:tcPr>
          <w:p w14:paraId="52C0841F"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SHINE </w:t>
            </w:r>
          </w:p>
        </w:tc>
        <w:tc>
          <w:tcPr>
            <w:tcW w:w="3780" w:type="dxa"/>
            <w:tcBorders>
              <w:top w:val="nil"/>
              <w:left w:val="single" w:sz="4" w:space="0" w:color="000000"/>
              <w:bottom w:val="single" w:sz="4" w:space="0" w:color="000000"/>
              <w:right w:val="nil"/>
            </w:tcBorders>
            <w:shd w:val="clear" w:color="000000" w:fill="F2F2F2"/>
            <w:noWrap/>
            <w:vAlign w:val="bottom"/>
            <w:hideMark/>
          </w:tcPr>
          <w:p w14:paraId="3E99823D"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4.76%</w:t>
            </w:r>
          </w:p>
        </w:tc>
        <w:tc>
          <w:tcPr>
            <w:tcW w:w="4410" w:type="dxa"/>
            <w:tcBorders>
              <w:top w:val="nil"/>
              <w:left w:val="single" w:sz="4" w:space="0" w:color="auto"/>
              <w:bottom w:val="single" w:sz="4" w:space="0" w:color="auto"/>
              <w:right w:val="single" w:sz="4" w:space="0" w:color="auto"/>
            </w:tcBorders>
            <w:shd w:val="clear" w:color="000000" w:fill="F2F2F2"/>
            <w:noWrap/>
            <w:vAlign w:val="bottom"/>
            <w:hideMark/>
          </w:tcPr>
          <w:p w14:paraId="222623FF"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3.41%</w:t>
            </w:r>
          </w:p>
        </w:tc>
      </w:tr>
      <w:tr w:rsidR="00EB0778" w:rsidRPr="000F461B" w14:paraId="193604FD" w14:textId="77777777" w:rsidTr="00475C6D">
        <w:trPr>
          <w:trHeight w:val="290"/>
        </w:trPr>
        <w:tc>
          <w:tcPr>
            <w:tcW w:w="1080" w:type="dxa"/>
            <w:tcBorders>
              <w:top w:val="nil"/>
              <w:left w:val="single" w:sz="4" w:space="0" w:color="000000"/>
              <w:bottom w:val="single" w:sz="4" w:space="0" w:color="000000"/>
              <w:right w:val="nil"/>
            </w:tcBorders>
            <w:shd w:val="clear" w:color="D0CECE" w:fill="D0CECE"/>
            <w:noWrap/>
            <w:vAlign w:val="bottom"/>
            <w:hideMark/>
          </w:tcPr>
          <w:p w14:paraId="21BE1412"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GBBL </w:t>
            </w:r>
          </w:p>
        </w:tc>
        <w:tc>
          <w:tcPr>
            <w:tcW w:w="3780" w:type="dxa"/>
            <w:tcBorders>
              <w:top w:val="single" w:sz="4" w:space="0" w:color="000000"/>
              <w:left w:val="single" w:sz="4" w:space="0" w:color="000000"/>
              <w:bottom w:val="single" w:sz="4" w:space="0" w:color="000000"/>
              <w:right w:val="nil"/>
            </w:tcBorders>
            <w:shd w:val="clear" w:color="D0CECE" w:fill="D0CECE"/>
            <w:noWrap/>
            <w:vAlign w:val="bottom"/>
            <w:hideMark/>
          </w:tcPr>
          <w:p w14:paraId="1414AD77"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4.78%</w:t>
            </w:r>
          </w:p>
        </w:tc>
        <w:tc>
          <w:tcPr>
            <w:tcW w:w="4410" w:type="dxa"/>
            <w:tcBorders>
              <w:top w:val="single" w:sz="4" w:space="0" w:color="auto"/>
              <w:left w:val="single" w:sz="4" w:space="0" w:color="auto"/>
              <w:bottom w:val="single" w:sz="4" w:space="0" w:color="auto"/>
              <w:right w:val="single" w:sz="4" w:space="0" w:color="auto"/>
            </w:tcBorders>
            <w:shd w:val="clear" w:color="D0CECE" w:fill="D0CECE"/>
            <w:noWrap/>
            <w:vAlign w:val="bottom"/>
            <w:hideMark/>
          </w:tcPr>
          <w:p w14:paraId="784F672C"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2.97%</w:t>
            </w:r>
          </w:p>
        </w:tc>
      </w:tr>
      <w:tr w:rsidR="00EB0778" w:rsidRPr="000F461B" w14:paraId="1115B9F2" w14:textId="77777777" w:rsidTr="00475C6D">
        <w:trPr>
          <w:trHeight w:val="315"/>
        </w:trPr>
        <w:tc>
          <w:tcPr>
            <w:tcW w:w="1080" w:type="dxa"/>
            <w:tcBorders>
              <w:top w:val="nil"/>
              <w:left w:val="single" w:sz="4" w:space="0" w:color="000000"/>
              <w:bottom w:val="single" w:sz="4" w:space="0" w:color="000000"/>
              <w:right w:val="nil"/>
            </w:tcBorders>
            <w:shd w:val="clear" w:color="000000" w:fill="F2F2F2"/>
            <w:noWrap/>
            <w:vAlign w:val="bottom"/>
            <w:hideMark/>
          </w:tcPr>
          <w:p w14:paraId="486A1715"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SADBL </w:t>
            </w:r>
          </w:p>
        </w:tc>
        <w:tc>
          <w:tcPr>
            <w:tcW w:w="3780" w:type="dxa"/>
            <w:tcBorders>
              <w:top w:val="nil"/>
              <w:left w:val="single" w:sz="4" w:space="0" w:color="000000"/>
              <w:bottom w:val="single" w:sz="4" w:space="0" w:color="000000"/>
              <w:right w:val="nil"/>
            </w:tcBorders>
            <w:shd w:val="clear" w:color="000000" w:fill="F2F2F2"/>
            <w:noWrap/>
            <w:vAlign w:val="bottom"/>
            <w:hideMark/>
          </w:tcPr>
          <w:p w14:paraId="29044ACF"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4.97%</w:t>
            </w:r>
          </w:p>
        </w:tc>
        <w:tc>
          <w:tcPr>
            <w:tcW w:w="4410" w:type="dxa"/>
            <w:tcBorders>
              <w:top w:val="nil"/>
              <w:left w:val="single" w:sz="4" w:space="0" w:color="auto"/>
              <w:bottom w:val="single" w:sz="4" w:space="0" w:color="auto"/>
              <w:right w:val="single" w:sz="4" w:space="0" w:color="auto"/>
            </w:tcBorders>
            <w:shd w:val="clear" w:color="000000" w:fill="F2F2F2"/>
            <w:noWrap/>
            <w:vAlign w:val="bottom"/>
            <w:hideMark/>
          </w:tcPr>
          <w:p w14:paraId="24B6BA4C"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3.84%</w:t>
            </w:r>
          </w:p>
        </w:tc>
      </w:tr>
      <w:tr w:rsidR="00EB0778" w:rsidRPr="000F461B" w14:paraId="5B287DAE" w14:textId="77777777" w:rsidTr="00475C6D">
        <w:trPr>
          <w:trHeight w:val="315"/>
        </w:trPr>
        <w:tc>
          <w:tcPr>
            <w:tcW w:w="1080" w:type="dxa"/>
            <w:tcBorders>
              <w:top w:val="nil"/>
              <w:left w:val="single" w:sz="4" w:space="0" w:color="000000"/>
              <w:bottom w:val="single" w:sz="4" w:space="0" w:color="000000"/>
              <w:right w:val="nil"/>
            </w:tcBorders>
            <w:shd w:val="clear" w:color="D0CECE" w:fill="D0CECE"/>
            <w:noWrap/>
            <w:vAlign w:val="bottom"/>
            <w:hideMark/>
          </w:tcPr>
          <w:p w14:paraId="098B4592"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lastRenderedPageBreak/>
              <w:t xml:space="preserve"> LBBL </w:t>
            </w:r>
          </w:p>
        </w:tc>
        <w:tc>
          <w:tcPr>
            <w:tcW w:w="3780" w:type="dxa"/>
            <w:tcBorders>
              <w:top w:val="single" w:sz="4" w:space="0" w:color="000000"/>
              <w:left w:val="single" w:sz="4" w:space="0" w:color="000000"/>
              <w:bottom w:val="single" w:sz="4" w:space="0" w:color="000000"/>
              <w:right w:val="nil"/>
            </w:tcBorders>
            <w:shd w:val="clear" w:color="D0CECE" w:fill="D0CECE"/>
            <w:noWrap/>
            <w:vAlign w:val="bottom"/>
            <w:hideMark/>
          </w:tcPr>
          <w:p w14:paraId="3EF89E8C"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7.18%</w:t>
            </w:r>
          </w:p>
        </w:tc>
        <w:tc>
          <w:tcPr>
            <w:tcW w:w="4410" w:type="dxa"/>
            <w:tcBorders>
              <w:top w:val="single" w:sz="4" w:space="0" w:color="auto"/>
              <w:left w:val="single" w:sz="4" w:space="0" w:color="auto"/>
              <w:bottom w:val="single" w:sz="4" w:space="0" w:color="auto"/>
              <w:right w:val="single" w:sz="4" w:space="0" w:color="auto"/>
            </w:tcBorders>
            <w:shd w:val="clear" w:color="D0CECE" w:fill="D0CECE"/>
            <w:noWrap/>
            <w:vAlign w:val="bottom"/>
            <w:hideMark/>
          </w:tcPr>
          <w:p w14:paraId="62E736A7"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3.69%</w:t>
            </w:r>
          </w:p>
        </w:tc>
      </w:tr>
      <w:tr w:rsidR="00EB0778" w:rsidRPr="000F461B" w14:paraId="4FA0A3D9" w14:textId="77777777" w:rsidTr="00475C6D">
        <w:trPr>
          <w:trHeight w:val="315"/>
        </w:trPr>
        <w:tc>
          <w:tcPr>
            <w:tcW w:w="1080" w:type="dxa"/>
            <w:tcBorders>
              <w:top w:val="nil"/>
              <w:left w:val="single" w:sz="4" w:space="0" w:color="000000"/>
              <w:bottom w:val="single" w:sz="4" w:space="0" w:color="000000"/>
              <w:right w:val="nil"/>
            </w:tcBorders>
            <w:shd w:val="clear" w:color="000000" w:fill="F2F2F2"/>
            <w:noWrap/>
            <w:vAlign w:val="bottom"/>
            <w:hideMark/>
          </w:tcPr>
          <w:p w14:paraId="3B6A7452"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MLBL </w:t>
            </w:r>
          </w:p>
        </w:tc>
        <w:tc>
          <w:tcPr>
            <w:tcW w:w="3780" w:type="dxa"/>
            <w:tcBorders>
              <w:top w:val="nil"/>
              <w:left w:val="single" w:sz="4" w:space="0" w:color="000000"/>
              <w:bottom w:val="single" w:sz="4" w:space="0" w:color="000000"/>
              <w:right w:val="nil"/>
            </w:tcBorders>
            <w:shd w:val="clear" w:color="000000" w:fill="F2F2F2"/>
            <w:noWrap/>
            <w:vAlign w:val="bottom"/>
            <w:hideMark/>
          </w:tcPr>
          <w:p w14:paraId="7DFD4E25"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4.99%</w:t>
            </w:r>
          </w:p>
        </w:tc>
        <w:tc>
          <w:tcPr>
            <w:tcW w:w="4410" w:type="dxa"/>
            <w:tcBorders>
              <w:top w:val="nil"/>
              <w:left w:val="single" w:sz="4" w:space="0" w:color="auto"/>
              <w:bottom w:val="single" w:sz="4" w:space="0" w:color="auto"/>
              <w:right w:val="single" w:sz="4" w:space="0" w:color="auto"/>
            </w:tcBorders>
            <w:shd w:val="clear" w:color="000000" w:fill="F2F2F2"/>
            <w:noWrap/>
            <w:vAlign w:val="bottom"/>
            <w:hideMark/>
          </w:tcPr>
          <w:p w14:paraId="79ABD1E8"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4.16%</w:t>
            </w:r>
          </w:p>
        </w:tc>
      </w:tr>
      <w:tr w:rsidR="00EB0778" w:rsidRPr="000F461B" w14:paraId="24614C0E" w14:textId="77777777" w:rsidTr="00475C6D">
        <w:trPr>
          <w:trHeight w:val="315"/>
        </w:trPr>
        <w:tc>
          <w:tcPr>
            <w:tcW w:w="1080" w:type="dxa"/>
            <w:tcBorders>
              <w:top w:val="nil"/>
              <w:left w:val="single" w:sz="4" w:space="0" w:color="000000"/>
              <w:bottom w:val="single" w:sz="4" w:space="0" w:color="000000"/>
              <w:right w:val="nil"/>
            </w:tcBorders>
            <w:shd w:val="clear" w:color="D0CECE" w:fill="D0CECE"/>
            <w:noWrap/>
            <w:vAlign w:val="bottom"/>
            <w:hideMark/>
          </w:tcPr>
          <w:p w14:paraId="60BA8B54"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MNBBL </w:t>
            </w:r>
          </w:p>
        </w:tc>
        <w:tc>
          <w:tcPr>
            <w:tcW w:w="3780" w:type="dxa"/>
            <w:tcBorders>
              <w:top w:val="single" w:sz="4" w:space="0" w:color="000000"/>
              <w:left w:val="single" w:sz="4" w:space="0" w:color="000000"/>
              <w:bottom w:val="single" w:sz="4" w:space="0" w:color="000000"/>
              <w:right w:val="nil"/>
            </w:tcBorders>
            <w:shd w:val="clear" w:color="D0CECE" w:fill="D0CECE"/>
            <w:noWrap/>
            <w:vAlign w:val="bottom"/>
            <w:hideMark/>
          </w:tcPr>
          <w:p w14:paraId="6F800B00"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4.41%</w:t>
            </w:r>
          </w:p>
        </w:tc>
        <w:tc>
          <w:tcPr>
            <w:tcW w:w="4410" w:type="dxa"/>
            <w:tcBorders>
              <w:top w:val="single" w:sz="4" w:space="0" w:color="auto"/>
              <w:left w:val="single" w:sz="4" w:space="0" w:color="auto"/>
              <w:bottom w:val="single" w:sz="4" w:space="0" w:color="auto"/>
              <w:right w:val="single" w:sz="4" w:space="0" w:color="auto"/>
            </w:tcBorders>
            <w:shd w:val="clear" w:color="D0CECE" w:fill="D0CECE"/>
            <w:noWrap/>
            <w:vAlign w:val="bottom"/>
            <w:hideMark/>
          </w:tcPr>
          <w:p w14:paraId="1E32F803"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2.02%</w:t>
            </w:r>
          </w:p>
        </w:tc>
      </w:tr>
      <w:tr w:rsidR="00EB0778" w:rsidRPr="000F461B" w14:paraId="4F9C287F" w14:textId="77777777" w:rsidTr="00475C6D">
        <w:trPr>
          <w:trHeight w:val="315"/>
        </w:trPr>
        <w:tc>
          <w:tcPr>
            <w:tcW w:w="1080" w:type="dxa"/>
            <w:tcBorders>
              <w:top w:val="nil"/>
              <w:left w:val="single" w:sz="4" w:space="0" w:color="000000"/>
              <w:bottom w:val="single" w:sz="4" w:space="0" w:color="000000"/>
              <w:right w:val="nil"/>
            </w:tcBorders>
            <w:shd w:val="clear" w:color="000000" w:fill="F2F2F2"/>
            <w:noWrap/>
            <w:vAlign w:val="bottom"/>
            <w:hideMark/>
          </w:tcPr>
          <w:p w14:paraId="43AF7B12"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JBBL </w:t>
            </w:r>
          </w:p>
        </w:tc>
        <w:tc>
          <w:tcPr>
            <w:tcW w:w="3780" w:type="dxa"/>
            <w:tcBorders>
              <w:top w:val="nil"/>
              <w:left w:val="single" w:sz="4" w:space="0" w:color="000000"/>
              <w:bottom w:val="single" w:sz="4" w:space="0" w:color="000000"/>
              <w:right w:val="nil"/>
            </w:tcBorders>
            <w:shd w:val="clear" w:color="000000" w:fill="F2F2F2"/>
            <w:noWrap/>
            <w:vAlign w:val="bottom"/>
            <w:hideMark/>
          </w:tcPr>
          <w:p w14:paraId="3E112E0B"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4.98%</w:t>
            </w:r>
          </w:p>
        </w:tc>
        <w:tc>
          <w:tcPr>
            <w:tcW w:w="4410" w:type="dxa"/>
            <w:tcBorders>
              <w:top w:val="nil"/>
              <w:left w:val="single" w:sz="4" w:space="0" w:color="auto"/>
              <w:bottom w:val="single" w:sz="4" w:space="0" w:color="auto"/>
              <w:right w:val="single" w:sz="4" w:space="0" w:color="auto"/>
            </w:tcBorders>
            <w:shd w:val="clear" w:color="000000" w:fill="F2F2F2"/>
            <w:noWrap/>
            <w:vAlign w:val="bottom"/>
            <w:hideMark/>
          </w:tcPr>
          <w:p w14:paraId="342020EE"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4.97%</w:t>
            </w:r>
          </w:p>
        </w:tc>
      </w:tr>
    </w:tbl>
    <w:p w14:paraId="34CA6867" w14:textId="77777777" w:rsidR="00EB0778" w:rsidRPr="000F461B" w:rsidRDefault="00EB0778" w:rsidP="00EB0778">
      <w:pPr>
        <w:jc w:val="both"/>
        <w:rPr>
          <w:rFonts w:ascii="Times New Roman" w:hAnsi="Times New Roman" w:cs="Times New Roman"/>
        </w:rPr>
      </w:pPr>
    </w:p>
    <w:p w14:paraId="54141035" w14:textId="77777777" w:rsidR="00EB0778" w:rsidRPr="000F461B" w:rsidRDefault="00EB0778" w:rsidP="00EB0778">
      <w:pPr>
        <w:jc w:val="both"/>
        <w:rPr>
          <w:rFonts w:ascii="Times New Roman" w:hAnsi="Times New Roman" w:cs="Times New Roman"/>
        </w:rPr>
      </w:pPr>
      <w:r w:rsidRPr="000F461B">
        <w:rPr>
          <w:rFonts w:ascii="Times New Roman" w:hAnsi="Times New Roman" w:cs="Times New Roman"/>
        </w:rPr>
        <w:t xml:space="preserve">As of December 2024, Karnali Development Bank faced significant financial challenges. The Nepal Rastra Bank (NRB) declared it a "crisis-ridden" institution due to several critical issues mostly due to non-performing loan (NPL) ratio of 40.85%. Due to which the report of the KRDBL is not included in the analysis.  </w:t>
      </w:r>
    </w:p>
    <w:p w14:paraId="66199DA2" w14:textId="09A2CA7E" w:rsidR="00EB0778" w:rsidRPr="00EB0778" w:rsidRDefault="00EB0778" w:rsidP="00EB0778">
      <w:pPr>
        <w:jc w:val="both"/>
        <w:rPr>
          <w:rFonts w:ascii="Times New Roman" w:hAnsi="Times New Roman" w:cs="Times New Roman"/>
        </w:rPr>
      </w:pPr>
      <w:r w:rsidRPr="000F461B">
        <w:rPr>
          <w:rFonts w:ascii="Times New Roman" w:hAnsi="Times New Roman" w:cs="Times New Roman"/>
        </w:rPr>
        <w:t>The development banking sector of Nepal is experiencing a concerning deterioration in asset quality, with Non-Performing Loan (NPL) ratios increasing significantly across the board.  Development banks showed NPL ratio increases, with LBBL exhibiting the most severe deterioration (from 3.69% to 7.18%, a 94.58% increase) and now holding the highest NPL ratio in the sector. MNBBL, despite maintaining a below-average NPL ratio of 4.41%, recorded the largest percentage increase at 118.32%. Only JBBL showed relative stability with a negligible 0.20% increase in its NPL ratio</w:t>
      </w:r>
      <w:r>
        <w:rPr>
          <w:rFonts w:ascii="Times New Roman" w:hAnsi="Times New Roman" w:cs="Times New Roman"/>
        </w:rPr>
        <w:t>.</w:t>
      </w:r>
    </w:p>
    <w:p w14:paraId="7FC12D22" w14:textId="77777777" w:rsidR="00EB0778" w:rsidRPr="000F461B" w:rsidRDefault="00EB0778" w:rsidP="00EB0778">
      <w:pPr>
        <w:rPr>
          <w:rFonts w:ascii="Times New Roman" w:hAnsi="Times New Roman" w:cs="Times New Roman"/>
          <w:b/>
        </w:rPr>
      </w:pPr>
    </w:p>
    <w:p w14:paraId="30ED7706" w14:textId="77777777" w:rsidR="00EB0778" w:rsidRPr="000F461B" w:rsidRDefault="00EB0778" w:rsidP="00EB0778">
      <w:pPr>
        <w:rPr>
          <w:rFonts w:ascii="Times New Roman" w:hAnsi="Times New Roman" w:cs="Times New Roman"/>
          <w:b/>
        </w:rPr>
      </w:pPr>
      <w:r w:rsidRPr="000F461B">
        <w:rPr>
          <w:rFonts w:ascii="Times New Roman" w:hAnsi="Times New Roman" w:cs="Times New Roman"/>
          <w:b/>
        </w:rPr>
        <w:t>ROE vs ROA Analysis</w:t>
      </w:r>
    </w:p>
    <w:p w14:paraId="20FBFCD2" w14:textId="77777777" w:rsidR="00EB0778" w:rsidRPr="000F461B" w:rsidRDefault="00EB0778" w:rsidP="00EB0778">
      <w:pPr>
        <w:jc w:val="both"/>
        <w:rPr>
          <w:rFonts w:ascii="Times New Roman" w:hAnsi="Times New Roman" w:cs="Times New Roman"/>
          <w:highlight w:val="yellow"/>
        </w:rPr>
      </w:pPr>
      <w:r w:rsidRPr="000F461B">
        <w:rPr>
          <w:rFonts w:ascii="Times New Roman" w:hAnsi="Times New Roman" w:cs="Times New Roman"/>
          <w:noProof/>
        </w:rPr>
        <w:drawing>
          <wp:inline distT="0" distB="0" distL="0" distR="0" wp14:anchorId="1C8DBD96" wp14:editId="04AEE547">
            <wp:extent cx="5943600" cy="38367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0"/>
                    <a:stretch>
                      <a:fillRect/>
                    </a:stretch>
                  </pic:blipFill>
                  <pic:spPr>
                    <a:xfrm>
                      <a:off x="0" y="0"/>
                      <a:ext cx="5943600" cy="3836741"/>
                    </a:xfrm>
                    <a:prstGeom prst="rect">
                      <a:avLst/>
                    </a:prstGeom>
                  </pic:spPr>
                </pic:pic>
              </a:graphicData>
            </a:graphic>
          </wp:inline>
        </w:drawing>
      </w:r>
    </w:p>
    <w:p w14:paraId="7E1EBD62" w14:textId="77777777" w:rsidR="00EB0778" w:rsidRPr="000F461B" w:rsidRDefault="00EB0778" w:rsidP="00EB0778">
      <w:pPr>
        <w:jc w:val="both"/>
        <w:rPr>
          <w:rFonts w:ascii="Times New Roman" w:hAnsi="Times New Roman" w:cs="Times New Roman"/>
        </w:rPr>
      </w:pPr>
      <w:r w:rsidRPr="000F461B">
        <w:rPr>
          <w:rFonts w:ascii="Times New Roman" w:hAnsi="Times New Roman" w:cs="Times New Roman"/>
        </w:rPr>
        <w:lastRenderedPageBreak/>
        <w:t>This visualization compares banks using three key financial metrics: Return on Assets (ROA)(TTM) on the x-axis shows how well banks use their assets to generate income, Return on Equity (ROE)(TTM) on the y-axis indicates profitability from shareholders' perspective, and bubble size represents each bank's market capitalization. The combination of these metrics provides a comprehensive view of bank performance, where higher ROA indicates better asset utilization, higher ROE suggests stronger returns for shareholders, and bubble size gives context about the bank's relative market value.</w:t>
      </w:r>
    </w:p>
    <w:p w14:paraId="6A425194" w14:textId="453EFD8B" w:rsidR="00EB0778" w:rsidRPr="000F461B" w:rsidRDefault="00EB0778" w:rsidP="00EB0778">
      <w:pPr>
        <w:jc w:val="both"/>
        <w:rPr>
          <w:rFonts w:ascii="Times New Roman" w:hAnsi="Times New Roman" w:cs="Times New Roman"/>
        </w:rPr>
      </w:pPr>
      <w:r w:rsidRPr="000F461B">
        <w:rPr>
          <w:rFonts w:ascii="Times New Roman" w:hAnsi="Times New Roman" w:cs="Times New Roman"/>
        </w:rPr>
        <w:t xml:space="preserve">The analysis reveals a clear distinction in bank performance, with GBBL, KSBBL, and SADBL emerging as top performers due to their strong Return on Assets (ROA) and Return on Equity (ROE), suggesting efficient operations and competitive market positions that make them potentially attractive investment options. </w:t>
      </w:r>
    </w:p>
    <w:p w14:paraId="0D409427" w14:textId="77777777" w:rsidR="00EB0778" w:rsidRPr="000F461B" w:rsidRDefault="00EB0778" w:rsidP="00EB0778">
      <w:pPr>
        <w:jc w:val="both"/>
        <w:rPr>
          <w:rFonts w:ascii="Times New Roman" w:hAnsi="Times New Roman" w:cs="Times New Roman"/>
        </w:rPr>
      </w:pPr>
    </w:p>
    <w:tbl>
      <w:tblPr>
        <w:tblW w:w="10133" w:type="dxa"/>
        <w:tblInd w:w="-567" w:type="dxa"/>
        <w:tblLook w:val="04A0" w:firstRow="1" w:lastRow="0" w:firstColumn="1" w:lastColumn="0" w:noHBand="0" w:noVBand="1"/>
      </w:tblPr>
      <w:tblGrid>
        <w:gridCol w:w="999"/>
        <w:gridCol w:w="858"/>
        <w:gridCol w:w="1231"/>
        <w:gridCol w:w="950"/>
        <w:gridCol w:w="1206"/>
        <w:gridCol w:w="1206"/>
        <w:gridCol w:w="767"/>
        <w:gridCol w:w="821"/>
        <w:gridCol w:w="1512"/>
        <w:gridCol w:w="1231"/>
      </w:tblGrid>
      <w:tr w:rsidR="00EB0778" w:rsidRPr="000F461B" w14:paraId="3DAB48F1" w14:textId="77777777" w:rsidTr="00475C6D">
        <w:trPr>
          <w:trHeight w:val="1242"/>
        </w:trPr>
        <w:tc>
          <w:tcPr>
            <w:tcW w:w="0" w:type="auto"/>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180598A"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ABB</w:t>
            </w:r>
          </w:p>
        </w:tc>
        <w:tc>
          <w:tcPr>
            <w:tcW w:w="0" w:type="auto"/>
            <w:tcBorders>
              <w:top w:val="single" w:sz="4" w:space="0" w:color="auto"/>
              <w:left w:val="nil"/>
              <w:bottom w:val="single" w:sz="4" w:space="0" w:color="auto"/>
              <w:right w:val="single" w:sz="4" w:space="0" w:color="auto"/>
            </w:tcBorders>
            <w:shd w:val="clear" w:color="000000" w:fill="F2F2F2"/>
            <w:vAlign w:val="bottom"/>
            <w:hideMark/>
          </w:tcPr>
          <w:p w14:paraId="33F7AD8B"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DDPS (Q3 Total)</w:t>
            </w:r>
          </w:p>
        </w:tc>
        <w:tc>
          <w:tcPr>
            <w:tcW w:w="0" w:type="auto"/>
            <w:tcBorders>
              <w:top w:val="single" w:sz="4" w:space="0" w:color="auto"/>
              <w:left w:val="nil"/>
              <w:bottom w:val="single" w:sz="4" w:space="0" w:color="auto"/>
              <w:right w:val="single" w:sz="4" w:space="0" w:color="auto"/>
            </w:tcBorders>
            <w:shd w:val="clear" w:color="000000" w:fill="F2F2F2"/>
            <w:vAlign w:val="bottom"/>
            <w:hideMark/>
          </w:tcPr>
          <w:p w14:paraId="3FC97FFE"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DDPS (Q3 as per report Annualized</w:t>
            </w:r>
          </w:p>
        </w:tc>
        <w:tc>
          <w:tcPr>
            <w:tcW w:w="0" w:type="auto"/>
            <w:tcBorders>
              <w:top w:val="single" w:sz="4" w:space="0" w:color="auto"/>
              <w:left w:val="nil"/>
              <w:bottom w:val="single" w:sz="4" w:space="0" w:color="auto"/>
              <w:right w:val="single" w:sz="4" w:space="0" w:color="auto"/>
            </w:tcBorders>
            <w:shd w:val="clear" w:color="000000" w:fill="F2F2F2"/>
            <w:vAlign w:val="bottom"/>
            <w:hideMark/>
          </w:tcPr>
          <w:p w14:paraId="30401817"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ICPS (Q3) adjusted to tax</w:t>
            </w:r>
          </w:p>
        </w:tc>
        <w:tc>
          <w:tcPr>
            <w:tcW w:w="0" w:type="auto"/>
            <w:tcBorders>
              <w:top w:val="single" w:sz="4" w:space="0" w:color="auto"/>
              <w:left w:val="nil"/>
              <w:bottom w:val="single" w:sz="4" w:space="0" w:color="auto"/>
              <w:right w:val="single" w:sz="4" w:space="0" w:color="auto"/>
            </w:tcBorders>
            <w:shd w:val="clear" w:color="000000" w:fill="F2F2F2"/>
            <w:vAlign w:val="bottom"/>
            <w:hideMark/>
          </w:tcPr>
          <w:p w14:paraId="25E9003A"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EPS as of Q32024/25</w:t>
            </w:r>
          </w:p>
        </w:tc>
        <w:tc>
          <w:tcPr>
            <w:tcW w:w="0" w:type="auto"/>
            <w:tcBorders>
              <w:top w:val="single" w:sz="4" w:space="0" w:color="auto"/>
              <w:left w:val="nil"/>
              <w:bottom w:val="single" w:sz="4" w:space="0" w:color="auto"/>
              <w:right w:val="single" w:sz="4" w:space="0" w:color="auto"/>
            </w:tcBorders>
            <w:shd w:val="clear" w:color="000000" w:fill="F2F2F2"/>
            <w:vAlign w:val="bottom"/>
            <w:hideMark/>
          </w:tcPr>
          <w:p w14:paraId="76BA6AB0"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EPS as of Q32023/24</w:t>
            </w:r>
          </w:p>
        </w:tc>
        <w:tc>
          <w:tcPr>
            <w:tcW w:w="0" w:type="auto"/>
            <w:tcBorders>
              <w:top w:val="single" w:sz="4" w:space="0" w:color="auto"/>
              <w:left w:val="nil"/>
              <w:bottom w:val="single" w:sz="4" w:space="0" w:color="auto"/>
              <w:right w:val="single" w:sz="4" w:space="0" w:color="auto"/>
            </w:tcBorders>
            <w:shd w:val="clear" w:color="000000" w:fill="F2F2F2"/>
            <w:vAlign w:val="bottom"/>
            <w:hideMark/>
          </w:tcPr>
          <w:p w14:paraId="689BD5ED"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BVPS</w:t>
            </w:r>
          </w:p>
        </w:tc>
        <w:tc>
          <w:tcPr>
            <w:tcW w:w="0" w:type="auto"/>
            <w:tcBorders>
              <w:top w:val="single" w:sz="4" w:space="0" w:color="auto"/>
              <w:left w:val="nil"/>
              <w:bottom w:val="single" w:sz="4" w:space="0" w:color="auto"/>
              <w:right w:val="single" w:sz="4" w:space="0" w:color="auto"/>
            </w:tcBorders>
            <w:shd w:val="clear" w:color="000000" w:fill="F2F2F2"/>
            <w:vAlign w:val="bottom"/>
            <w:hideMark/>
          </w:tcPr>
          <w:p w14:paraId="3D6AC5D5"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Price</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443442F6"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Price/Earnings</w:t>
            </w:r>
          </w:p>
        </w:tc>
        <w:tc>
          <w:tcPr>
            <w:tcW w:w="0" w:type="auto"/>
            <w:tcBorders>
              <w:top w:val="single" w:sz="4" w:space="0" w:color="auto"/>
              <w:left w:val="nil"/>
              <w:bottom w:val="single" w:sz="4" w:space="0" w:color="auto"/>
              <w:right w:val="single" w:sz="4" w:space="0" w:color="auto"/>
            </w:tcBorders>
            <w:shd w:val="clear" w:color="000000" w:fill="D9D9D9"/>
            <w:noWrap/>
            <w:vAlign w:val="bottom"/>
            <w:hideMark/>
          </w:tcPr>
          <w:p w14:paraId="23F9B541"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Price/BvPS</w:t>
            </w:r>
          </w:p>
        </w:tc>
      </w:tr>
      <w:tr w:rsidR="00EB0778" w:rsidRPr="000F461B" w14:paraId="1A10F6C4" w14:textId="77777777" w:rsidTr="00475C6D">
        <w:trPr>
          <w:trHeight w:val="256"/>
        </w:trPr>
        <w:tc>
          <w:tcPr>
            <w:tcW w:w="0" w:type="auto"/>
            <w:tcBorders>
              <w:top w:val="nil"/>
              <w:left w:val="single" w:sz="4" w:space="0" w:color="auto"/>
              <w:bottom w:val="single" w:sz="4" w:space="0" w:color="auto"/>
              <w:right w:val="single" w:sz="4" w:space="0" w:color="auto"/>
            </w:tcBorders>
            <w:shd w:val="clear" w:color="000000" w:fill="D9D9D9"/>
            <w:noWrap/>
            <w:vAlign w:val="bottom"/>
            <w:hideMark/>
          </w:tcPr>
          <w:p w14:paraId="6F1A2695"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GBBL</w:t>
            </w:r>
          </w:p>
        </w:tc>
        <w:tc>
          <w:tcPr>
            <w:tcW w:w="0" w:type="auto"/>
            <w:tcBorders>
              <w:top w:val="nil"/>
              <w:left w:val="nil"/>
              <w:bottom w:val="single" w:sz="4" w:space="0" w:color="auto"/>
              <w:right w:val="single" w:sz="4" w:space="0" w:color="auto"/>
            </w:tcBorders>
            <w:shd w:val="clear" w:color="000000" w:fill="F2F2F2"/>
            <w:noWrap/>
            <w:vAlign w:val="bottom"/>
            <w:hideMark/>
          </w:tcPr>
          <w:p w14:paraId="59470495"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6.17 </w:t>
            </w:r>
          </w:p>
        </w:tc>
        <w:tc>
          <w:tcPr>
            <w:tcW w:w="0" w:type="auto"/>
            <w:tcBorders>
              <w:top w:val="nil"/>
              <w:left w:val="nil"/>
              <w:bottom w:val="single" w:sz="4" w:space="0" w:color="auto"/>
              <w:right w:val="single" w:sz="4" w:space="0" w:color="auto"/>
            </w:tcBorders>
            <w:shd w:val="clear" w:color="000000" w:fill="F2F2F2"/>
            <w:noWrap/>
            <w:vAlign w:val="bottom"/>
            <w:hideMark/>
          </w:tcPr>
          <w:p w14:paraId="1487BC0C" w14:textId="77777777" w:rsidR="00EB0778" w:rsidRPr="000F461B" w:rsidRDefault="00EB0778" w:rsidP="00EB0778">
            <w:pPr>
              <w:spacing w:after="0"/>
              <w:rPr>
                <w:rFonts w:ascii="Times New Roman" w:eastAsia="Times New Roman" w:hAnsi="Times New Roman" w:cs="Times New Roman"/>
                <w:color w:val="00B0F0"/>
              </w:rPr>
            </w:pPr>
            <w:r w:rsidRPr="000F461B">
              <w:rPr>
                <w:rFonts w:ascii="Times New Roman" w:eastAsia="Times New Roman" w:hAnsi="Times New Roman" w:cs="Times New Roman"/>
                <w:color w:val="00B0F0"/>
              </w:rPr>
              <w:t xml:space="preserve">8.23 </w:t>
            </w:r>
          </w:p>
        </w:tc>
        <w:tc>
          <w:tcPr>
            <w:tcW w:w="0" w:type="auto"/>
            <w:tcBorders>
              <w:top w:val="nil"/>
              <w:left w:val="nil"/>
              <w:bottom w:val="single" w:sz="4" w:space="0" w:color="auto"/>
              <w:right w:val="single" w:sz="4" w:space="0" w:color="auto"/>
            </w:tcBorders>
            <w:shd w:val="clear" w:color="000000" w:fill="F2F2F2"/>
            <w:noWrap/>
            <w:vAlign w:val="bottom"/>
            <w:hideMark/>
          </w:tcPr>
          <w:p w14:paraId="3645CBC3"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7.94 </w:t>
            </w:r>
          </w:p>
        </w:tc>
        <w:tc>
          <w:tcPr>
            <w:tcW w:w="0" w:type="auto"/>
            <w:tcBorders>
              <w:top w:val="nil"/>
              <w:left w:val="nil"/>
              <w:bottom w:val="single" w:sz="4" w:space="0" w:color="auto"/>
              <w:right w:val="single" w:sz="4" w:space="0" w:color="auto"/>
            </w:tcBorders>
            <w:shd w:val="clear" w:color="000000" w:fill="F2F2F2"/>
            <w:noWrap/>
            <w:vAlign w:val="bottom"/>
            <w:hideMark/>
          </w:tcPr>
          <w:p w14:paraId="2EA6C28B"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17.2</w:t>
            </w:r>
          </w:p>
        </w:tc>
        <w:tc>
          <w:tcPr>
            <w:tcW w:w="0" w:type="auto"/>
            <w:tcBorders>
              <w:top w:val="nil"/>
              <w:left w:val="nil"/>
              <w:bottom w:val="single" w:sz="4" w:space="0" w:color="auto"/>
              <w:right w:val="single" w:sz="4" w:space="0" w:color="auto"/>
            </w:tcBorders>
            <w:shd w:val="clear" w:color="000000" w:fill="F2F2F2"/>
            <w:noWrap/>
            <w:vAlign w:val="bottom"/>
            <w:hideMark/>
          </w:tcPr>
          <w:p w14:paraId="4E822C02"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16.0</w:t>
            </w:r>
          </w:p>
        </w:tc>
        <w:tc>
          <w:tcPr>
            <w:tcW w:w="0" w:type="auto"/>
            <w:tcBorders>
              <w:top w:val="nil"/>
              <w:left w:val="nil"/>
              <w:bottom w:val="single" w:sz="4" w:space="0" w:color="auto"/>
              <w:right w:val="single" w:sz="4" w:space="0" w:color="auto"/>
            </w:tcBorders>
            <w:shd w:val="clear" w:color="000000" w:fill="F2F2F2"/>
            <w:noWrap/>
            <w:vAlign w:val="bottom"/>
            <w:hideMark/>
          </w:tcPr>
          <w:p w14:paraId="72DF1693"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153.5</w:t>
            </w:r>
          </w:p>
        </w:tc>
        <w:tc>
          <w:tcPr>
            <w:tcW w:w="0" w:type="auto"/>
            <w:tcBorders>
              <w:top w:val="nil"/>
              <w:left w:val="nil"/>
              <w:bottom w:val="single" w:sz="4" w:space="0" w:color="auto"/>
              <w:right w:val="single" w:sz="4" w:space="0" w:color="auto"/>
            </w:tcBorders>
            <w:shd w:val="clear" w:color="000000" w:fill="F2F2F2"/>
            <w:noWrap/>
            <w:vAlign w:val="bottom"/>
            <w:hideMark/>
          </w:tcPr>
          <w:p w14:paraId="7371FB09"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408.13</w:t>
            </w:r>
          </w:p>
        </w:tc>
        <w:tc>
          <w:tcPr>
            <w:tcW w:w="0" w:type="auto"/>
            <w:tcBorders>
              <w:top w:val="nil"/>
              <w:left w:val="nil"/>
              <w:bottom w:val="single" w:sz="4" w:space="0" w:color="auto"/>
              <w:right w:val="single" w:sz="4" w:space="0" w:color="auto"/>
            </w:tcBorders>
            <w:shd w:val="clear" w:color="000000" w:fill="D9D9D9"/>
            <w:noWrap/>
            <w:vAlign w:val="bottom"/>
            <w:hideMark/>
          </w:tcPr>
          <w:p w14:paraId="76B88F5D"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23.71</w:t>
            </w:r>
          </w:p>
        </w:tc>
        <w:tc>
          <w:tcPr>
            <w:tcW w:w="0" w:type="auto"/>
            <w:tcBorders>
              <w:top w:val="nil"/>
              <w:left w:val="nil"/>
              <w:bottom w:val="single" w:sz="4" w:space="0" w:color="auto"/>
              <w:right w:val="single" w:sz="4" w:space="0" w:color="auto"/>
            </w:tcBorders>
            <w:shd w:val="clear" w:color="000000" w:fill="D9D9D9"/>
            <w:noWrap/>
            <w:vAlign w:val="bottom"/>
            <w:hideMark/>
          </w:tcPr>
          <w:p w14:paraId="2160CFCF"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2.66 </w:t>
            </w:r>
          </w:p>
        </w:tc>
      </w:tr>
      <w:tr w:rsidR="00EB0778" w:rsidRPr="000F461B" w14:paraId="7311ED4F" w14:textId="77777777" w:rsidTr="00475C6D">
        <w:trPr>
          <w:trHeight w:val="256"/>
        </w:trPr>
        <w:tc>
          <w:tcPr>
            <w:tcW w:w="0" w:type="auto"/>
            <w:tcBorders>
              <w:top w:val="nil"/>
              <w:left w:val="single" w:sz="4" w:space="0" w:color="auto"/>
              <w:bottom w:val="single" w:sz="4" w:space="0" w:color="auto"/>
              <w:right w:val="single" w:sz="4" w:space="0" w:color="auto"/>
            </w:tcBorders>
            <w:shd w:val="clear" w:color="000000" w:fill="D9D9D9"/>
            <w:noWrap/>
            <w:vAlign w:val="bottom"/>
            <w:hideMark/>
          </w:tcPr>
          <w:p w14:paraId="17D78A62"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KSBBL</w:t>
            </w:r>
          </w:p>
        </w:tc>
        <w:tc>
          <w:tcPr>
            <w:tcW w:w="0" w:type="auto"/>
            <w:tcBorders>
              <w:top w:val="nil"/>
              <w:left w:val="nil"/>
              <w:bottom w:val="single" w:sz="4" w:space="0" w:color="auto"/>
              <w:right w:val="single" w:sz="4" w:space="0" w:color="auto"/>
            </w:tcBorders>
            <w:shd w:val="clear" w:color="000000" w:fill="F2F2F2"/>
            <w:noWrap/>
            <w:vAlign w:val="bottom"/>
            <w:hideMark/>
          </w:tcPr>
          <w:p w14:paraId="42E48886"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14.24 </w:t>
            </w:r>
          </w:p>
        </w:tc>
        <w:tc>
          <w:tcPr>
            <w:tcW w:w="0" w:type="auto"/>
            <w:tcBorders>
              <w:top w:val="nil"/>
              <w:left w:val="nil"/>
              <w:bottom w:val="single" w:sz="4" w:space="0" w:color="auto"/>
              <w:right w:val="single" w:sz="4" w:space="0" w:color="auto"/>
            </w:tcBorders>
            <w:shd w:val="clear" w:color="000000" w:fill="F2F2F2"/>
            <w:noWrap/>
            <w:vAlign w:val="bottom"/>
            <w:hideMark/>
          </w:tcPr>
          <w:p w14:paraId="54565BFD" w14:textId="77777777" w:rsidR="00EB0778" w:rsidRPr="000F461B" w:rsidRDefault="00EB0778" w:rsidP="00EB0778">
            <w:pPr>
              <w:spacing w:after="0"/>
              <w:rPr>
                <w:rFonts w:ascii="Times New Roman" w:eastAsia="Times New Roman" w:hAnsi="Times New Roman" w:cs="Times New Roman"/>
                <w:color w:val="00B0F0"/>
              </w:rPr>
            </w:pPr>
            <w:r w:rsidRPr="000F461B">
              <w:rPr>
                <w:rFonts w:ascii="Times New Roman" w:eastAsia="Times New Roman" w:hAnsi="Times New Roman" w:cs="Times New Roman"/>
                <w:color w:val="00B0F0"/>
              </w:rPr>
              <w:t xml:space="preserve">18.98 </w:t>
            </w:r>
          </w:p>
        </w:tc>
        <w:tc>
          <w:tcPr>
            <w:tcW w:w="0" w:type="auto"/>
            <w:tcBorders>
              <w:top w:val="nil"/>
              <w:left w:val="nil"/>
              <w:bottom w:val="single" w:sz="4" w:space="0" w:color="auto"/>
              <w:right w:val="single" w:sz="4" w:space="0" w:color="auto"/>
            </w:tcBorders>
            <w:shd w:val="clear" w:color="000000" w:fill="F2F2F2"/>
            <w:noWrap/>
            <w:vAlign w:val="bottom"/>
            <w:hideMark/>
          </w:tcPr>
          <w:p w14:paraId="1013D48D"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5.69 </w:t>
            </w:r>
          </w:p>
        </w:tc>
        <w:tc>
          <w:tcPr>
            <w:tcW w:w="0" w:type="auto"/>
            <w:tcBorders>
              <w:top w:val="nil"/>
              <w:left w:val="nil"/>
              <w:bottom w:val="single" w:sz="4" w:space="0" w:color="auto"/>
              <w:right w:val="single" w:sz="4" w:space="0" w:color="auto"/>
            </w:tcBorders>
            <w:shd w:val="clear" w:color="000000" w:fill="F2F2F2"/>
            <w:noWrap/>
            <w:vAlign w:val="bottom"/>
            <w:hideMark/>
          </w:tcPr>
          <w:p w14:paraId="63CDDE51"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18.7</w:t>
            </w:r>
          </w:p>
        </w:tc>
        <w:tc>
          <w:tcPr>
            <w:tcW w:w="0" w:type="auto"/>
            <w:tcBorders>
              <w:top w:val="nil"/>
              <w:left w:val="nil"/>
              <w:bottom w:val="single" w:sz="4" w:space="0" w:color="auto"/>
              <w:right w:val="single" w:sz="4" w:space="0" w:color="auto"/>
            </w:tcBorders>
            <w:shd w:val="clear" w:color="000000" w:fill="F2F2F2"/>
            <w:noWrap/>
            <w:vAlign w:val="bottom"/>
            <w:hideMark/>
          </w:tcPr>
          <w:p w14:paraId="6BD6B2FF"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12.6</w:t>
            </w:r>
          </w:p>
        </w:tc>
        <w:tc>
          <w:tcPr>
            <w:tcW w:w="0" w:type="auto"/>
            <w:tcBorders>
              <w:top w:val="nil"/>
              <w:left w:val="nil"/>
              <w:bottom w:val="single" w:sz="4" w:space="0" w:color="auto"/>
              <w:right w:val="single" w:sz="4" w:space="0" w:color="auto"/>
            </w:tcBorders>
            <w:shd w:val="clear" w:color="000000" w:fill="F2F2F2"/>
            <w:noWrap/>
            <w:vAlign w:val="bottom"/>
            <w:hideMark/>
          </w:tcPr>
          <w:p w14:paraId="269DDE38"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163.2</w:t>
            </w:r>
          </w:p>
        </w:tc>
        <w:tc>
          <w:tcPr>
            <w:tcW w:w="0" w:type="auto"/>
            <w:tcBorders>
              <w:top w:val="nil"/>
              <w:left w:val="nil"/>
              <w:bottom w:val="single" w:sz="4" w:space="0" w:color="auto"/>
              <w:right w:val="single" w:sz="4" w:space="0" w:color="auto"/>
            </w:tcBorders>
            <w:shd w:val="clear" w:color="000000" w:fill="F2F2F2"/>
            <w:noWrap/>
            <w:vAlign w:val="bottom"/>
            <w:hideMark/>
          </w:tcPr>
          <w:p w14:paraId="1162CE4F"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453.71</w:t>
            </w:r>
          </w:p>
        </w:tc>
        <w:tc>
          <w:tcPr>
            <w:tcW w:w="0" w:type="auto"/>
            <w:tcBorders>
              <w:top w:val="nil"/>
              <w:left w:val="nil"/>
              <w:bottom w:val="single" w:sz="4" w:space="0" w:color="auto"/>
              <w:right w:val="single" w:sz="4" w:space="0" w:color="auto"/>
            </w:tcBorders>
            <w:shd w:val="clear" w:color="000000" w:fill="D9D9D9"/>
            <w:noWrap/>
            <w:vAlign w:val="bottom"/>
            <w:hideMark/>
          </w:tcPr>
          <w:p w14:paraId="16915683"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24.22</w:t>
            </w:r>
          </w:p>
        </w:tc>
        <w:tc>
          <w:tcPr>
            <w:tcW w:w="0" w:type="auto"/>
            <w:tcBorders>
              <w:top w:val="nil"/>
              <w:left w:val="nil"/>
              <w:bottom w:val="single" w:sz="4" w:space="0" w:color="auto"/>
              <w:right w:val="single" w:sz="4" w:space="0" w:color="auto"/>
            </w:tcBorders>
            <w:shd w:val="clear" w:color="000000" w:fill="D9D9D9"/>
            <w:noWrap/>
            <w:vAlign w:val="bottom"/>
            <w:hideMark/>
          </w:tcPr>
          <w:p w14:paraId="60B0A0B3"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2.78 </w:t>
            </w:r>
          </w:p>
        </w:tc>
      </w:tr>
      <w:tr w:rsidR="00EB0778" w:rsidRPr="000F461B" w14:paraId="7A0740B1" w14:textId="77777777" w:rsidTr="00475C6D">
        <w:trPr>
          <w:trHeight w:val="256"/>
        </w:trPr>
        <w:tc>
          <w:tcPr>
            <w:tcW w:w="0" w:type="auto"/>
            <w:tcBorders>
              <w:top w:val="nil"/>
              <w:left w:val="single" w:sz="4" w:space="0" w:color="auto"/>
              <w:bottom w:val="single" w:sz="4" w:space="0" w:color="auto"/>
              <w:right w:val="single" w:sz="4" w:space="0" w:color="auto"/>
            </w:tcBorders>
            <w:shd w:val="clear" w:color="000000" w:fill="D9D9D9"/>
            <w:noWrap/>
            <w:vAlign w:val="bottom"/>
            <w:hideMark/>
          </w:tcPr>
          <w:p w14:paraId="11C9DA53"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SADBL</w:t>
            </w:r>
          </w:p>
        </w:tc>
        <w:tc>
          <w:tcPr>
            <w:tcW w:w="0" w:type="auto"/>
            <w:tcBorders>
              <w:top w:val="nil"/>
              <w:left w:val="nil"/>
              <w:bottom w:val="single" w:sz="4" w:space="0" w:color="auto"/>
              <w:right w:val="single" w:sz="4" w:space="0" w:color="auto"/>
            </w:tcBorders>
            <w:shd w:val="clear" w:color="000000" w:fill="F2F2F2"/>
            <w:noWrap/>
            <w:vAlign w:val="bottom"/>
            <w:hideMark/>
          </w:tcPr>
          <w:p w14:paraId="07C967EA"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6.76 </w:t>
            </w:r>
          </w:p>
        </w:tc>
        <w:tc>
          <w:tcPr>
            <w:tcW w:w="0" w:type="auto"/>
            <w:tcBorders>
              <w:top w:val="nil"/>
              <w:left w:val="nil"/>
              <w:bottom w:val="single" w:sz="4" w:space="0" w:color="auto"/>
              <w:right w:val="single" w:sz="4" w:space="0" w:color="auto"/>
            </w:tcBorders>
            <w:shd w:val="clear" w:color="000000" w:fill="F2F2F2"/>
            <w:noWrap/>
            <w:vAlign w:val="bottom"/>
            <w:hideMark/>
          </w:tcPr>
          <w:p w14:paraId="54A4339B" w14:textId="77777777" w:rsidR="00EB0778" w:rsidRPr="000F461B" w:rsidRDefault="00EB0778" w:rsidP="00EB0778">
            <w:pPr>
              <w:spacing w:after="0"/>
              <w:rPr>
                <w:rFonts w:ascii="Times New Roman" w:eastAsia="Times New Roman" w:hAnsi="Times New Roman" w:cs="Times New Roman"/>
                <w:color w:val="00B0F0"/>
              </w:rPr>
            </w:pPr>
            <w:r w:rsidRPr="000F461B">
              <w:rPr>
                <w:rFonts w:ascii="Times New Roman" w:eastAsia="Times New Roman" w:hAnsi="Times New Roman" w:cs="Times New Roman"/>
                <w:color w:val="00B0F0"/>
              </w:rPr>
              <w:t xml:space="preserve">9.01 </w:t>
            </w:r>
          </w:p>
        </w:tc>
        <w:tc>
          <w:tcPr>
            <w:tcW w:w="0" w:type="auto"/>
            <w:tcBorders>
              <w:top w:val="nil"/>
              <w:left w:val="nil"/>
              <w:bottom w:val="single" w:sz="4" w:space="0" w:color="auto"/>
              <w:right w:val="single" w:sz="4" w:space="0" w:color="auto"/>
            </w:tcBorders>
            <w:shd w:val="clear" w:color="000000" w:fill="F2F2F2"/>
            <w:noWrap/>
            <w:vAlign w:val="bottom"/>
            <w:hideMark/>
          </w:tcPr>
          <w:p w14:paraId="3A5C929B"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(4.53)</w:t>
            </w:r>
          </w:p>
        </w:tc>
        <w:tc>
          <w:tcPr>
            <w:tcW w:w="0" w:type="auto"/>
            <w:tcBorders>
              <w:top w:val="nil"/>
              <w:left w:val="nil"/>
              <w:bottom w:val="single" w:sz="4" w:space="0" w:color="auto"/>
              <w:right w:val="single" w:sz="4" w:space="0" w:color="auto"/>
            </w:tcBorders>
            <w:shd w:val="clear" w:color="000000" w:fill="F2F2F2"/>
            <w:noWrap/>
            <w:vAlign w:val="bottom"/>
            <w:hideMark/>
          </w:tcPr>
          <w:p w14:paraId="0C712139"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16.3</w:t>
            </w:r>
          </w:p>
        </w:tc>
        <w:tc>
          <w:tcPr>
            <w:tcW w:w="0" w:type="auto"/>
            <w:tcBorders>
              <w:top w:val="nil"/>
              <w:left w:val="nil"/>
              <w:bottom w:val="single" w:sz="4" w:space="0" w:color="auto"/>
              <w:right w:val="single" w:sz="4" w:space="0" w:color="auto"/>
            </w:tcBorders>
            <w:shd w:val="clear" w:color="000000" w:fill="F2F2F2"/>
            <w:noWrap/>
            <w:vAlign w:val="bottom"/>
            <w:hideMark/>
          </w:tcPr>
          <w:p w14:paraId="6B14442C"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10.1</w:t>
            </w:r>
          </w:p>
        </w:tc>
        <w:tc>
          <w:tcPr>
            <w:tcW w:w="0" w:type="auto"/>
            <w:tcBorders>
              <w:top w:val="nil"/>
              <w:left w:val="nil"/>
              <w:bottom w:val="single" w:sz="4" w:space="0" w:color="auto"/>
              <w:right w:val="single" w:sz="4" w:space="0" w:color="auto"/>
            </w:tcBorders>
            <w:shd w:val="clear" w:color="000000" w:fill="F2F2F2"/>
            <w:noWrap/>
            <w:vAlign w:val="bottom"/>
            <w:hideMark/>
          </w:tcPr>
          <w:p w14:paraId="03883C3B"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152.6</w:t>
            </w:r>
          </w:p>
        </w:tc>
        <w:tc>
          <w:tcPr>
            <w:tcW w:w="0" w:type="auto"/>
            <w:tcBorders>
              <w:top w:val="nil"/>
              <w:left w:val="nil"/>
              <w:bottom w:val="single" w:sz="4" w:space="0" w:color="auto"/>
              <w:right w:val="single" w:sz="4" w:space="0" w:color="auto"/>
            </w:tcBorders>
            <w:shd w:val="clear" w:color="000000" w:fill="F2F2F2"/>
            <w:noWrap/>
            <w:vAlign w:val="bottom"/>
            <w:hideMark/>
          </w:tcPr>
          <w:p w14:paraId="1C7B5ACF"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403.94</w:t>
            </w:r>
          </w:p>
        </w:tc>
        <w:tc>
          <w:tcPr>
            <w:tcW w:w="0" w:type="auto"/>
            <w:tcBorders>
              <w:top w:val="nil"/>
              <w:left w:val="nil"/>
              <w:bottom w:val="single" w:sz="4" w:space="0" w:color="auto"/>
              <w:right w:val="single" w:sz="4" w:space="0" w:color="auto"/>
            </w:tcBorders>
            <w:shd w:val="clear" w:color="000000" w:fill="D9D9D9"/>
            <w:noWrap/>
            <w:vAlign w:val="bottom"/>
            <w:hideMark/>
          </w:tcPr>
          <w:p w14:paraId="43577397"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24.81</w:t>
            </w:r>
          </w:p>
        </w:tc>
        <w:tc>
          <w:tcPr>
            <w:tcW w:w="0" w:type="auto"/>
            <w:tcBorders>
              <w:top w:val="nil"/>
              <w:left w:val="nil"/>
              <w:bottom w:val="single" w:sz="4" w:space="0" w:color="auto"/>
              <w:right w:val="single" w:sz="4" w:space="0" w:color="auto"/>
            </w:tcBorders>
            <w:shd w:val="clear" w:color="000000" w:fill="D9D9D9"/>
            <w:noWrap/>
            <w:vAlign w:val="bottom"/>
            <w:hideMark/>
          </w:tcPr>
          <w:p w14:paraId="0CFA5122"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2.65 </w:t>
            </w:r>
          </w:p>
        </w:tc>
      </w:tr>
      <w:tr w:rsidR="00EB0778" w:rsidRPr="000F461B" w14:paraId="72214C2B" w14:textId="77777777" w:rsidTr="00475C6D">
        <w:trPr>
          <w:trHeight w:val="256"/>
        </w:trPr>
        <w:tc>
          <w:tcPr>
            <w:tcW w:w="0" w:type="auto"/>
            <w:tcBorders>
              <w:top w:val="nil"/>
              <w:left w:val="single" w:sz="4" w:space="0" w:color="auto"/>
              <w:bottom w:val="single" w:sz="4" w:space="0" w:color="auto"/>
              <w:right w:val="single" w:sz="4" w:space="0" w:color="auto"/>
            </w:tcBorders>
            <w:shd w:val="clear" w:color="000000" w:fill="D9D9D9"/>
            <w:noWrap/>
            <w:vAlign w:val="bottom"/>
            <w:hideMark/>
          </w:tcPr>
          <w:p w14:paraId="0349C11D"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MNBBL</w:t>
            </w:r>
          </w:p>
        </w:tc>
        <w:tc>
          <w:tcPr>
            <w:tcW w:w="0" w:type="auto"/>
            <w:tcBorders>
              <w:top w:val="nil"/>
              <w:left w:val="nil"/>
              <w:bottom w:val="single" w:sz="4" w:space="0" w:color="auto"/>
              <w:right w:val="single" w:sz="4" w:space="0" w:color="auto"/>
            </w:tcBorders>
            <w:shd w:val="clear" w:color="000000" w:fill="F2F2F2"/>
            <w:noWrap/>
            <w:vAlign w:val="bottom"/>
            <w:hideMark/>
          </w:tcPr>
          <w:p w14:paraId="3F821DEC"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8.79 </w:t>
            </w:r>
          </w:p>
        </w:tc>
        <w:tc>
          <w:tcPr>
            <w:tcW w:w="0" w:type="auto"/>
            <w:tcBorders>
              <w:top w:val="nil"/>
              <w:left w:val="nil"/>
              <w:bottom w:val="single" w:sz="4" w:space="0" w:color="auto"/>
              <w:right w:val="single" w:sz="4" w:space="0" w:color="auto"/>
            </w:tcBorders>
            <w:shd w:val="clear" w:color="000000" w:fill="F2F2F2"/>
            <w:noWrap/>
            <w:vAlign w:val="bottom"/>
            <w:hideMark/>
          </w:tcPr>
          <w:p w14:paraId="7DC2BCE7" w14:textId="77777777" w:rsidR="00EB0778" w:rsidRPr="000F461B" w:rsidRDefault="00EB0778" w:rsidP="00EB0778">
            <w:pPr>
              <w:spacing w:after="0"/>
              <w:rPr>
                <w:rFonts w:ascii="Times New Roman" w:eastAsia="Times New Roman" w:hAnsi="Times New Roman" w:cs="Times New Roman"/>
                <w:color w:val="00B0F0"/>
              </w:rPr>
            </w:pPr>
            <w:r w:rsidRPr="000F461B">
              <w:rPr>
                <w:rFonts w:ascii="Times New Roman" w:eastAsia="Times New Roman" w:hAnsi="Times New Roman" w:cs="Times New Roman"/>
                <w:color w:val="00B0F0"/>
              </w:rPr>
              <w:t xml:space="preserve">8.04 </w:t>
            </w:r>
          </w:p>
        </w:tc>
        <w:tc>
          <w:tcPr>
            <w:tcW w:w="0" w:type="auto"/>
            <w:tcBorders>
              <w:top w:val="nil"/>
              <w:left w:val="nil"/>
              <w:bottom w:val="single" w:sz="4" w:space="0" w:color="auto"/>
              <w:right w:val="single" w:sz="4" w:space="0" w:color="auto"/>
            </w:tcBorders>
            <w:shd w:val="clear" w:color="000000" w:fill="F2F2F2"/>
            <w:noWrap/>
            <w:vAlign w:val="bottom"/>
            <w:hideMark/>
          </w:tcPr>
          <w:p w14:paraId="32D5D66A"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11.03 </w:t>
            </w:r>
          </w:p>
        </w:tc>
        <w:tc>
          <w:tcPr>
            <w:tcW w:w="0" w:type="auto"/>
            <w:tcBorders>
              <w:top w:val="nil"/>
              <w:left w:val="nil"/>
              <w:bottom w:val="single" w:sz="4" w:space="0" w:color="auto"/>
              <w:right w:val="single" w:sz="4" w:space="0" w:color="auto"/>
            </w:tcBorders>
            <w:shd w:val="clear" w:color="000000" w:fill="F2F2F2"/>
            <w:noWrap/>
            <w:vAlign w:val="bottom"/>
            <w:hideMark/>
          </w:tcPr>
          <w:p w14:paraId="508F7AF2"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13.7</w:t>
            </w:r>
          </w:p>
        </w:tc>
        <w:tc>
          <w:tcPr>
            <w:tcW w:w="0" w:type="auto"/>
            <w:tcBorders>
              <w:top w:val="nil"/>
              <w:left w:val="nil"/>
              <w:bottom w:val="single" w:sz="4" w:space="0" w:color="auto"/>
              <w:right w:val="single" w:sz="4" w:space="0" w:color="auto"/>
            </w:tcBorders>
            <w:shd w:val="clear" w:color="000000" w:fill="F2F2F2"/>
            <w:noWrap/>
            <w:vAlign w:val="bottom"/>
            <w:hideMark/>
          </w:tcPr>
          <w:p w14:paraId="2B6C78F9"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16.5</w:t>
            </w:r>
          </w:p>
        </w:tc>
        <w:tc>
          <w:tcPr>
            <w:tcW w:w="0" w:type="auto"/>
            <w:tcBorders>
              <w:top w:val="nil"/>
              <w:left w:val="nil"/>
              <w:bottom w:val="single" w:sz="4" w:space="0" w:color="auto"/>
              <w:right w:val="single" w:sz="4" w:space="0" w:color="auto"/>
            </w:tcBorders>
            <w:shd w:val="clear" w:color="000000" w:fill="F2F2F2"/>
            <w:noWrap/>
            <w:vAlign w:val="bottom"/>
            <w:hideMark/>
          </w:tcPr>
          <w:p w14:paraId="7B69A0E0"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158.3</w:t>
            </w:r>
          </w:p>
        </w:tc>
        <w:tc>
          <w:tcPr>
            <w:tcW w:w="0" w:type="auto"/>
            <w:tcBorders>
              <w:top w:val="nil"/>
              <w:left w:val="nil"/>
              <w:bottom w:val="single" w:sz="4" w:space="0" w:color="auto"/>
              <w:right w:val="single" w:sz="4" w:space="0" w:color="auto"/>
            </w:tcBorders>
            <w:shd w:val="clear" w:color="000000" w:fill="F2F2F2"/>
            <w:noWrap/>
            <w:vAlign w:val="bottom"/>
            <w:hideMark/>
          </w:tcPr>
          <w:p w14:paraId="1E4DA8F7"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362</w:t>
            </w:r>
          </w:p>
        </w:tc>
        <w:tc>
          <w:tcPr>
            <w:tcW w:w="0" w:type="auto"/>
            <w:tcBorders>
              <w:top w:val="nil"/>
              <w:left w:val="nil"/>
              <w:bottom w:val="single" w:sz="4" w:space="0" w:color="auto"/>
              <w:right w:val="single" w:sz="4" w:space="0" w:color="auto"/>
            </w:tcBorders>
            <w:shd w:val="clear" w:color="000000" w:fill="D9D9D9"/>
            <w:noWrap/>
            <w:vAlign w:val="bottom"/>
            <w:hideMark/>
          </w:tcPr>
          <w:p w14:paraId="2457BB50"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26.39</w:t>
            </w:r>
          </w:p>
        </w:tc>
        <w:tc>
          <w:tcPr>
            <w:tcW w:w="0" w:type="auto"/>
            <w:tcBorders>
              <w:top w:val="nil"/>
              <w:left w:val="nil"/>
              <w:bottom w:val="single" w:sz="4" w:space="0" w:color="auto"/>
              <w:right w:val="single" w:sz="4" w:space="0" w:color="auto"/>
            </w:tcBorders>
            <w:shd w:val="clear" w:color="000000" w:fill="D9D9D9"/>
            <w:noWrap/>
            <w:vAlign w:val="bottom"/>
            <w:hideMark/>
          </w:tcPr>
          <w:p w14:paraId="54B9ACA6"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2.29 </w:t>
            </w:r>
          </w:p>
        </w:tc>
      </w:tr>
      <w:tr w:rsidR="00EB0778" w:rsidRPr="000F461B" w14:paraId="2E5C148B" w14:textId="77777777" w:rsidTr="00475C6D">
        <w:trPr>
          <w:trHeight w:val="256"/>
        </w:trPr>
        <w:tc>
          <w:tcPr>
            <w:tcW w:w="0" w:type="auto"/>
            <w:tcBorders>
              <w:top w:val="nil"/>
              <w:left w:val="single" w:sz="4" w:space="0" w:color="auto"/>
              <w:bottom w:val="single" w:sz="4" w:space="0" w:color="auto"/>
              <w:right w:val="single" w:sz="4" w:space="0" w:color="auto"/>
            </w:tcBorders>
            <w:shd w:val="clear" w:color="000000" w:fill="D9D9D9"/>
            <w:noWrap/>
            <w:vAlign w:val="bottom"/>
            <w:hideMark/>
          </w:tcPr>
          <w:p w14:paraId="02741518"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MLBL</w:t>
            </w:r>
          </w:p>
        </w:tc>
        <w:tc>
          <w:tcPr>
            <w:tcW w:w="0" w:type="auto"/>
            <w:tcBorders>
              <w:top w:val="nil"/>
              <w:left w:val="nil"/>
              <w:bottom w:val="single" w:sz="4" w:space="0" w:color="auto"/>
              <w:right w:val="single" w:sz="4" w:space="0" w:color="auto"/>
            </w:tcBorders>
            <w:shd w:val="clear" w:color="000000" w:fill="F2F2F2"/>
            <w:noWrap/>
            <w:vAlign w:val="bottom"/>
            <w:hideMark/>
          </w:tcPr>
          <w:p w14:paraId="3A59FCC8"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3.81 </w:t>
            </w:r>
          </w:p>
        </w:tc>
        <w:tc>
          <w:tcPr>
            <w:tcW w:w="0" w:type="auto"/>
            <w:tcBorders>
              <w:top w:val="nil"/>
              <w:left w:val="nil"/>
              <w:bottom w:val="single" w:sz="4" w:space="0" w:color="auto"/>
              <w:right w:val="single" w:sz="4" w:space="0" w:color="auto"/>
            </w:tcBorders>
            <w:shd w:val="clear" w:color="000000" w:fill="F2F2F2"/>
            <w:noWrap/>
            <w:vAlign w:val="bottom"/>
            <w:hideMark/>
          </w:tcPr>
          <w:p w14:paraId="29434DF1" w14:textId="77777777" w:rsidR="00EB0778" w:rsidRPr="000F461B" w:rsidRDefault="00EB0778" w:rsidP="00EB0778">
            <w:pPr>
              <w:spacing w:after="0"/>
              <w:rPr>
                <w:rFonts w:ascii="Times New Roman" w:eastAsia="Times New Roman" w:hAnsi="Times New Roman" w:cs="Times New Roman"/>
                <w:color w:val="00B0F0"/>
              </w:rPr>
            </w:pPr>
            <w:r w:rsidRPr="000F461B">
              <w:rPr>
                <w:rFonts w:ascii="Times New Roman" w:eastAsia="Times New Roman" w:hAnsi="Times New Roman" w:cs="Times New Roman"/>
                <w:color w:val="00B0F0"/>
              </w:rPr>
              <w:t xml:space="preserve">5.07 </w:t>
            </w:r>
          </w:p>
        </w:tc>
        <w:tc>
          <w:tcPr>
            <w:tcW w:w="0" w:type="auto"/>
            <w:tcBorders>
              <w:top w:val="nil"/>
              <w:left w:val="nil"/>
              <w:bottom w:val="single" w:sz="4" w:space="0" w:color="auto"/>
              <w:right w:val="single" w:sz="4" w:space="0" w:color="auto"/>
            </w:tcBorders>
            <w:shd w:val="clear" w:color="000000" w:fill="F2F2F2"/>
            <w:noWrap/>
            <w:vAlign w:val="bottom"/>
            <w:hideMark/>
          </w:tcPr>
          <w:p w14:paraId="1611D365"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3.79 </w:t>
            </w:r>
          </w:p>
        </w:tc>
        <w:tc>
          <w:tcPr>
            <w:tcW w:w="0" w:type="auto"/>
            <w:tcBorders>
              <w:top w:val="nil"/>
              <w:left w:val="nil"/>
              <w:bottom w:val="single" w:sz="4" w:space="0" w:color="auto"/>
              <w:right w:val="single" w:sz="4" w:space="0" w:color="auto"/>
            </w:tcBorders>
            <w:shd w:val="clear" w:color="000000" w:fill="F2F2F2"/>
            <w:noWrap/>
            <w:vAlign w:val="bottom"/>
            <w:hideMark/>
          </w:tcPr>
          <w:p w14:paraId="44E7900D"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13.5</w:t>
            </w:r>
          </w:p>
        </w:tc>
        <w:tc>
          <w:tcPr>
            <w:tcW w:w="0" w:type="auto"/>
            <w:tcBorders>
              <w:top w:val="nil"/>
              <w:left w:val="nil"/>
              <w:bottom w:val="single" w:sz="4" w:space="0" w:color="auto"/>
              <w:right w:val="single" w:sz="4" w:space="0" w:color="auto"/>
            </w:tcBorders>
            <w:shd w:val="clear" w:color="000000" w:fill="F2F2F2"/>
            <w:noWrap/>
            <w:vAlign w:val="bottom"/>
            <w:hideMark/>
          </w:tcPr>
          <w:p w14:paraId="028E0BB5"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11.6</w:t>
            </w:r>
          </w:p>
        </w:tc>
        <w:tc>
          <w:tcPr>
            <w:tcW w:w="0" w:type="auto"/>
            <w:tcBorders>
              <w:top w:val="nil"/>
              <w:left w:val="nil"/>
              <w:bottom w:val="single" w:sz="4" w:space="0" w:color="auto"/>
              <w:right w:val="single" w:sz="4" w:space="0" w:color="auto"/>
            </w:tcBorders>
            <w:shd w:val="clear" w:color="000000" w:fill="F2F2F2"/>
            <w:noWrap/>
            <w:vAlign w:val="bottom"/>
            <w:hideMark/>
          </w:tcPr>
          <w:p w14:paraId="1E63CF16"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163.9</w:t>
            </w:r>
          </w:p>
        </w:tc>
        <w:tc>
          <w:tcPr>
            <w:tcW w:w="0" w:type="auto"/>
            <w:tcBorders>
              <w:top w:val="nil"/>
              <w:left w:val="nil"/>
              <w:bottom w:val="single" w:sz="4" w:space="0" w:color="auto"/>
              <w:right w:val="single" w:sz="4" w:space="0" w:color="auto"/>
            </w:tcBorders>
            <w:shd w:val="clear" w:color="000000" w:fill="F2F2F2"/>
            <w:noWrap/>
            <w:vAlign w:val="bottom"/>
            <w:hideMark/>
          </w:tcPr>
          <w:p w14:paraId="760C3889"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389.45</w:t>
            </w:r>
          </w:p>
        </w:tc>
        <w:tc>
          <w:tcPr>
            <w:tcW w:w="0" w:type="auto"/>
            <w:tcBorders>
              <w:top w:val="nil"/>
              <w:left w:val="nil"/>
              <w:bottom w:val="single" w:sz="4" w:space="0" w:color="auto"/>
              <w:right w:val="single" w:sz="4" w:space="0" w:color="auto"/>
            </w:tcBorders>
            <w:shd w:val="clear" w:color="000000" w:fill="D9D9D9"/>
            <w:noWrap/>
            <w:vAlign w:val="bottom"/>
            <w:hideMark/>
          </w:tcPr>
          <w:p w14:paraId="4DE1E3CB"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28.75</w:t>
            </w:r>
          </w:p>
        </w:tc>
        <w:tc>
          <w:tcPr>
            <w:tcW w:w="0" w:type="auto"/>
            <w:tcBorders>
              <w:top w:val="nil"/>
              <w:left w:val="nil"/>
              <w:bottom w:val="single" w:sz="4" w:space="0" w:color="auto"/>
              <w:right w:val="single" w:sz="4" w:space="0" w:color="auto"/>
            </w:tcBorders>
            <w:shd w:val="clear" w:color="000000" w:fill="D9D9D9"/>
            <w:noWrap/>
            <w:vAlign w:val="bottom"/>
            <w:hideMark/>
          </w:tcPr>
          <w:p w14:paraId="6DECBEAE"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2.38 </w:t>
            </w:r>
          </w:p>
        </w:tc>
      </w:tr>
      <w:tr w:rsidR="00EB0778" w:rsidRPr="000F461B" w14:paraId="68EF8A0F" w14:textId="77777777" w:rsidTr="00475C6D">
        <w:trPr>
          <w:trHeight w:val="256"/>
        </w:trPr>
        <w:tc>
          <w:tcPr>
            <w:tcW w:w="0" w:type="auto"/>
            <w:tcBorders>
              <w:top w:val="nil"/>
              <w:left w:val="single" w:sz="4" w:space="0" w:color="auto"/>
              <w:bottom w:val="single" w:sz="4" w:space="0" w:color="auto"/>
              <w:right w:val="single" w:sz="4" w:space="0" w:color="auto"/>
            </w:tcBorders>
            <w:shd w:val="clear" w:color="000000" w:fill="D9D9D9"/>
            <w:noWrap/>
            <w:vAlign w:val="bottom"/>
            <w:hideMark/>
          </w:tcPr>
          <w:p w14:paraId="1D8CF1BD"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SHINE</w:t>
            </w:r>
          </w:p>
        </w:tc>
        <w:tc>
          <w:tcPr>
            <w:tcW w:w="0" w:type="auto"/>
            <w:tcBorders>
              <w:top w:val="nil"/>
              <w:left w:val="nil"/>
              <w:bottom w:val="single" w:sz="4" w:space="0" w:color="auto"/>
              <w:right w:val="single" w:sz="4" w:space="0" w:color="auto"/>
            </w:tcBorders>
            <w:shd w:val="clear" w:color="000000" w:fill="F2F2F2"/>
            <w:noWrap/>
            <w:vAlign w:val="bottom"/>
            <w:hideMark/>
          </w:tcPr>
          <w:p w14:paraId="43229FF3"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7.94 </w:t>
            </w:r>
          </w:p>
        </w:tc>
        <w:tc>
          <w:tcPr>
            <w:tcW w:w="0" w:type="auto"/>
            <w:tcBorders>
              <w:top w:val="nil"/>
              <w:left w:val="nil"/>
              <w:bottom w:val="single" w:sz="4" w:space="0" w:color="auto"/>
              <w:right w:val="single" w:sz="4" w:space="0" w:color="auto"/>
            </w:tcBorders>
            <w:shd w:val="clear" w:color="000000" w:fill="F2F2F2"/>
            <w:noWrap/>
            <w:vAlign w:val="bottom"/>
            <w:hideMark/>
          </w:tcPr>
          <w:p w14:paraId="225F0146" w14:textId="77777777" w:rsidR="00EB0778" w:rsidRPr="000F461B" w:rsidRDefault="00EB0778" w:rsidP="00EB0778">
            <w:pPr>
              <w:spacing w:after="0"/>
              <w:rPr>
                <w:rFonts w:ascii="Times New Roman" w:eastAsia="Times New Roman" w:hAnsi="Times New Roman" w:cs="Times New Roman"/>
                <w:color w:val="00B0F0"/>
              </w:rPr>
            </w:pPr>
            <w:r w:rsidRPr="000F461B">
              <w:rPr>
                <w:rFonts w:ascii="Times New Roman" w:eastAsia="Times New Roman" w:hAnsi="Times New Roman" w:cs="Times New Roman"/>
                <w:color w:val="00B0F0"/>
              </w:rPr>
              <w:t xml:space="preserve">10.59 </w:t>
            </w:r>
          </w:p>
        </w:tc>
        <w:tc>
          <w:tcPr>
            <w:tcW w:w="0" w:type="auto"/>
            <w:tcBorders>
              <w:top w:val="nil"/>
              <w:left w:val="nil"/>
              <w:bottom w:val="single" w:sz="4" w:space="0" w:color="auto"/>
              <w:right w:val="single" w:sz="4" w:space="0" w:color="auto"/>
            </w:tcBorders>
            <w:shd w:val="clear" w:color="000000" w:fill="F2F2F2"/>
            <w:noWrap/>
            <w:vAlign w:val="bottom"/>
            <w:hideMark/>
          </w:tcPr>
          <w:p w14:paraId="31C0A5A9"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(8.75)</w:t>
            </w:r>
          </w:p>
        </w:tc>
        <w:tc>
          <w:tcPr>
            <w:tcW w:w="0" w:type="auto"/>
            <w:tcBorders>
              <w:top w:val="nil"/>
              <w:left w:val="nil"/>
              <w:bottom w:val="single" w:sz="4" w:space="0" w:color="auto"/>
              <w:right w:val="single" w:sz="4" w:space="0" w:color="auto"/>
            </w:tcBorders>
            <w:shd w:val="clear" w:color="000000" w:fill="F2F2F2"/>
            <w:noWrap/>
            <w:vAlign w:val="bottom"/>
            <w:hideMark/>
          </w:tcPr>
          <w:p w14:paraId="46A005F5"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14.1</w:t>
            </w:r>
          </w:p>
        </w:tc>
        <w:tc>
          <w:tcPr>
            <w:tcW w:w="0" w:type="auto"/>
            <w:tcBorders>
              <w:top w:val="nil"/>
              <w:left w:val="nil"/>
              <w:bottom w:val="single" w:sz="4" w:space="0" w:color="auto"/>
              <w:right w:val="single" w:sz="4" w:space="0" w:color="auto"/>
            </w:tcBorders>
            <w:shd w:val="clear" w:color="000000" w:fill="F2F2F2"/>
            <w:noWrap/>
            <w:vAlign w:val="bottom"/>
            <w:hideMark/>
          </w:tcPr>
          <w:p w14:paraId="04115F60"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14.1</w:t>
            </w:r>
          </w:p>
        </w:tc>
        <w:tc>
          <w:tcPr>
            <w:tcW w:w="0" w:type="auto"/>
            <w:tcBorders>
              <w:top w:val="nil"/>
              <w:left w:val="nil"/>
              <w:bottom w:val="single" w:sz="4" w:space="0" w:color="auto"/>
              <w:right w:val="single" w:sz="4" w:space="0" w:color="auto"/>
            </w:tcBorders>
            <w:shd w:val="clear" w:color="000000" w:fill="F2F2F2"/>
            <w:noWrap/>
            <w:vAlign w:val="bottom"/>
            <w:hideMark/>
          </w:tcPr>
          <w:p w14:paraId="29849169"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147.8</w:t>
            </w:r>
          </w:p>
        </w:tc>
        <w:tc>
          <w:tcPr>
            <w:tcW w:w="0" w:type="auto"/>
            <w:tcBorders>
              <w:top w:val="nil"/>
              <w:left w:val="nil"/>
              <w:bottom w:val="single" w:sz="4" w:space="0" w:color="auto"/>
              <w:right w:val="single" w:sz="4" w:space="0" w:color="auto"/>
            </w:tcBorders>
            <w:shd w:val="clear" w:color="000000" w:fill="F2F2F2"/>
            <w:noWrap/>
            <w:vAlign w:val="bottom"/>
            <w:hideMark/>
          </w:tcPr>
          <w:p w14:paraId="5DCB3113"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415.74</w:t>
            </w:r>
          </w:p>
        </w:tc>
        <w:tc>
          <w:tcPr>
            <w:tcW w:w="0" w:type="auto"/>
            <w:tcBorders>
              <w:top w:val="nil"/>
              <w:left w:val="nil"/>
              <w:bottom w:val="single" w:sz="4" w:space="0" w:color="auto"/>
              <w:right w:val="single" w:sz="4" w:space="0" w:color="auto"/>
            </w:tcBorders>
            <w:shd w:val="clear" w:color="000000" w:fill="D9D9D9"/>
            <w:noWrap/>
            <w:vAlign w:val="bottom"/>
            <w:hideMark/>
          </w:tcPr>
          <w:p w14:paraId="57268E20"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29.58</w:t>
            </w:r>
          </w:p>
        </w:tc>
        <w:tc>
          <w:tcPr>
            <w:tcW w:w="0" w:type="auto"/>
            <w:tcBorders>
              <w:top w:val="nil"/>
              <w:left w:val="nil"/>
              <w:bottom w:val="single" w:sz="4" w:space="0" w:color="auto"/>
              <w:right w:val="single" w:sz="4" w:space="0" w:color="auto"/>
            </w:tcBorders>
            <w:shd w:val="clear" w:color="000000" w:fill="D9D9D9"/>
            <w:noWrap/>
            <w:vAlign w:val="bottom"/>
            <w:hideMark/>
          </w:tcPr>
          <w:p w14:paraId="7D2754DC"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2.81 </w:t>
            </w:r>
          </w:p>
        </w:tc>
      </w:tr>
      <w:tr w:rsidR="00EB0778" w:rsidRPr="000F461B" w14:paraId="613D4015" w14:textId="77777777" w:rsidTr="00475C6D">
        <w:trPr>
          <w:trHeight w:val="256"/>
        </w:trPr>
        <w:tc>
          <w:tcPr>
            <w:tcW w:w="0" w:type="auto"/>
            <w:tcBorders>
              <w:top w:val="nil"/>
              <w:left w:val="single" w:sz="4" w:space="0" w:color="auto"/>
              <w:bottom w:val="single" w:sz="4" w:space="0" w:color="auto"/>
              <w:right w:val="single" w:sz="4" w:space="0" w:color="auto"/>
            </w:tcBorders>
            <w:shd w:val="clear" w:color="000000" w:fill="D9D9D9"/>
            <w:noWrap/>
            <w:vAlign w:val="bottom"/>
            <w:hideMark/>
          </w:tcPr>
          <w:p w14:paraId="48905151"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JBBL</w:t>
            </w:r>
          </w:p>
        </w:tc>
        <w:tc>
          <w:tcPr>
            <w:tcW w:w="0" w:type="auto"/>
            <w:tcBorders>
              <w:top w:val="nil"/>
              <w:left w:val="nil"/>
              <w:bottom w:val="single" w:sz="4" w:space="0" w:color="auto"/>
              <w:right w:val="single" w:sz="4" w:space="0" w:color="auto"/>
            </w:tcBorders>
            <w:shd w:val="clear" w:color="000000" w:fill="F2F2F2"/>
            <w:noWrap/>
            <w:vAlign w:val="bottom"/>
            <w:hideMark/>
          </w:tcPr>
          <w:p w14:paraId="638C7188"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(12.94)</w:t>
            </w:r>
          </w:p>
        </w:tc>
        <w:tc>
          <w:tcPr>
            <w:tcW w:w="0" w:type="auto"/>
            <w:tcBorders>
              <w:top w:val="nil"/>
              <w:left w:val="nil"/>
              <w:bottom w:val="single" w:sz="4" w:space="0" w:color="auto"/>
              <w:right w:val="single" w:sz="4" w:space="0" w:color="auto"/>
            </w:tcBorders>
            <w:shd w:val="clear" w:color="000000" w:fill="F2F2F2"/>
            <w:noWrap/>
            <w:vAlign w:val="bottom"/>
            <w:hideMark/>
          </w:tcPr>
          <w:p w14:paraId="1DEC57D5" w14:textId="77777777" w:rsidR="00EB0778" w:rsidRPr="000F461B" w:rsidRDefault="00EB0778" w:rsidP="00EB0778">
            <w:pPr>
              <w:spacing w:after="0"/>
              <w:rPr>
                <w:rFonts w:ascii="Times New Roman" w:eastAsia="Times New Roman" w:hAnsi="Times New Roman" w:cs="Times New Roman"/>
                <w:color w:val="00B0F0"/>
              </w:rPr>
            </w:pPr>
            <w:r w:rsidRPr="000F461B">
              <w:rPr>
                <w:rFonts w:ascii="Times New Roman" w:eastAsia="Times New Roman" w:hAnsi="Times New Roman" w:cs="Times New Roman"/>
                <w:color w:val="00B0F0"/>
              </w:rPr>
              <w:t>(17.25)</w:t>
            </w:r>
          </w:p>
        </w:tc>
        <w:tc>
          <w:tcPr>
            <w:tcW w:w="0" w:type="auto"/>
            <w:tcBorders>
              <w:top w:val="nil"/>
              <w:left w:val="nil"/>
              <w:bottom w:val="single" w:sz="4" w:space="0" w:color="auto"/>
              <w:right w:val="single" w:sz="4" w:space="0" w:color="auto"/>
            </w:tcBorders>
            <w:shd w:val="clear" w:color="000000" w:fill="F2F2F2"/>
            <w:noWrap/>
            <w:vAlign w:val="bottom"/>
            <w:hideMark/>
          </w:tcPr>
          <w:p w14:paraId="0EF24FA9"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7.48 </w:t>
            </w:r>
          </w:p>
        </w:tc>
        <w:tc>
          <w:tcPr>
            <w:tcW w:w="0" w:type="auto"/>
            <w:tcBorders>
              <w:top w:val="nil"/>
              <w:left w:val="nil"/>
              <w:bottom w:val="single" w:sz="4" w:space="0" w:color="auto"/>
              <w:right w:val="single" w:sz="4" w:space="0" w:color="auto"/>
            </w:tcBorders>
            <w:shd w:val="clear" w:color="000000" w:fill="F2F2F2"/>
            <w:noWrap/>
            <w:vAlign w:val="bottom"/>
            <w:hideMark/>
          </w:tcPr>
          <w:p w14:paraId="00E6D29A"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9.3</w:t>
            </w:r>
          </w:p>
        </w:tc>
        <w:tc>
          <w:tcPr>
            <w:tcW w:w="0" w:type="auto"/>
            <w:tcBorders>
              <w:top w:val="nil"/>
              <w:left w:val="nil"/>
              <w:bottom w:val="single" w:sz="4" w:space="0" w:color="auto"/>
              <w:right w:val="single" w:sz="4" w:space="0" w:color="auto"/>
            </w:tcBorders>
            <w:shd w:val="clear" w:color="000000" w:fill="F2F2F2"/>
            <w:noWrap/>
            <w:vAlign w:val="bottom"/>
            <w:hideMark/>
          </w:tcPr>
          <w:p w14:paraId="322A0702"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4.6</w:t>
            </w:r>
          </w:p>
        </w:tc>
        <w:tc>
          <w:tcPr>
            <w:tcW w:w="0" w:type="auto"/>
            <w:tcBorders>
              <w:top w:val="nil"/>
              <w:left w:val="nil"/>
              <w:bottom w:val="single" w:sz="4" w:space="0" w:color="auto"/>
              <w:right w:val="single" w:sz="4" w:space="0" w:color="auto"/>
            </w:tcBorders>
            <w:shd w:val="clear" w:color="000000" w:fill="F2F2F2"/>
            <w:noWrap/>
            <w:vAlign w:val="bottom"/>
            <w:hideMark/>
          </w:tcPr>
          <w:p w14:paraId="115B9FE3"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151.9</w:t>
            </w:r>
          </w:p>
        </w:tc>
        <w:tc>
          <w:tcPr>
            <w:tcW w:w="0" w:type="auto"/>
            <w:tcBorders>
              <w:top w:val="nil"/>
              <w:left w:val="nil"/>
              <w:bottom w:val="single" w:sz="4" w:space="0" w:color="auto"/>
              <w:right w:val="single" w:sz="4" w:space="0" w:color="auto"/>
            </w:tcBorders>
            <w:shd w:val="clear" w:color="000000" w:fill="F2F2F2"/>
            <w:noWrap/>
            <w:vAlign w:val="bottom"/>
            <w:hideMark/>
          </w:tcPr>
          <w:p w14:paraId="03118360"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338.66</w:t>
            </w:r>
          </w:p>
        </w:tc>
        <w:tc>
          <w:tcPr>
            <w:tcW w:w="0" w:type="auto"/>
            <w:tcBorders>
              <w:top w:val="nil"/>
              <w:left w:val="nil"/>
              <w:bottom w:val="single" w:sz="4" w:space="0" w:color="auto"/>
              <w:right w:val="single" w:sz="4" w:space="0" w:color="auto"/>
            </w:tcBorders>
            <w:shd w:val="clear" w:color="000000" w:fill="D9D9D9"/>
            <w:noWrap/>
            <w:vAlign w:val="bottom"/>
            <w:hideMark/>
          </w:tcPr>
          <w:p w14:paraId="51E9A2AC"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36.41</w:t>
            </w:r>
          </w:p>
        </w:tc>
        <w:tc>
          <w:tcPr>
            <w:tcW w:w="0" w:type="auto"/>
            <w:tcBorders>
              <w:top w:val="nil"/>
              <w:left w:val="nil"/>
              <w:bottom w:val="single" w:sz="4" w:space="0" w:color="auto"/>
              <w:right w:val="single" w:sz="4" w:space="0" w:color="auto"/>
            </w:tcBorders>
            <w:shd w:val="clear" w:color="000000" w:fill="D9D9D9"/>
            <w:noWrap/>
            <w:vAlign w:val="bottom"/>
            <w:hideMark/>
          </w:tcPr>
          <w:p w14:paraId="0B1289CD"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2.23 </w:t>
            </w:r>
          </w:p>
        </w:tc>
      </w:tr>
      <w:tr w:rsidR="00EB0778" w:rsidRPr="000F461B" w14:paraId="6D5140ED" w14:textId="77777777" w:rsidTr="00475C6D">
        <w:trPr>
          <w:trHeight w:val="256"/>
        </w:trPr>
        <w:tc>
          <w:tcPr>
            <w:tcW w:w="0" w:type="auto"/>
            <w:tcBorders>
              <w:top w:val="nil"/>
              <w:left w:val="single" w:sz="4" w:space="0" w:color="auto"/>
              <w:bottom w:val="single" w:sz="4" w:space="0" w:color="auto"/>
              <w:right w:val="single" w:sz="4" w:space="0" w:color="auto"/>
            </w:tcBorders>
            <w:shd w:val="clear" w:color="000000" w:fill="D9D9D9"/>
            <w:noWrap/>
            <w:vAlign w:val="bottom"/>
            <w:hideMark/>
          </w:tcPr>
          <w:p w14:paraId="05D051D4"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LBBL</w:t>
            </w:r>
          </w:p>
        </w:tc>
        <w:tc>
          <w:tcPr>
            <w:tcW w:w="0" w:type="auto"/>
            <w:tcBorders>
              <w:top w:val="nil"/>
              <w:left w:val="nil"/>
              <w:bottom w:val="single" w:sz="4" w:space="0" w:color="auto"/>
              <w:right w:val="single" w:sz="4" w:space="0" w:color="auto"/>
            </w:tcBorders>
            <w:shd w:val="clear" w:color="000000" w:fill="F2F2F2"/>
            <w:noWrap/>
            <w:vAlign w:val="bottom"/>
            <w:hideMark/>
          </w:tcPr>
          <w:p w14:paraId="23DFF095"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2.61 </w:t>
            </w:r>
          </w:p>
        </w:tc>
        <w:tc>
          <w:tcPr>
            <w:tcW w:w="0" w:type="auto"/>
            <w:tcBorders>
              <w:top w:val="nil"/>
              <w:left w:val="nil"/>
              <w:bottom w:val="single" w:sz="4" w:space="0" w:color="auto"/>
              <w:right w:val="single" w:sz="4" w:space="0" w:color="auto"/>
            </w:tcBorders>
            <w:shd w:val="clear" w:color="000000" w:fill="F2F2F2"/>
            <w:noWrap/>
            <w:vAlign w:val="bottom"/>
            <w:hideMark/>
          </w:tcPr>
          <w:p w14:paraId="611D514E" w14:textId="77777777" w:rsidR="00EB0778" w:rsidRPr="000F461B" w:rsidRDefault="00EB0778" w:rsidP="00EB0778">
            <w:pPr>
              <w:spacing w:after="0"/>
              <w:rPr>
                <w:rFonts w:ascii="Times New Roman" w:eastAsia="Times New Roman" w:hAnsi="Times New Roman" w:cs="Times New Roman"/>
                <w:color w:val="00B0F0"/>
              </w:rPr>
            </w:pPr>
            <w:r w:rsidRPr="000F461B">
              <w:rPr>
                <w:rFonts w:ascii="Times New Roman" w:eastAsia="Times New Roman" w:hAnsi="Times New Roman" w:cs="Times New Roman"/>
                <w:color w:val="00B0F0"/>
              </w:rPr>
              <w:t xml:space="preserve">0.02 </w:t>
            </w:r>
          </w:p>
        </w:tc>
        <w:tc>
          <w:tcPr>
            <w:tcW w:w="0" w:type="auto"/>
            <w:tcBorders>
              <w:top w:val="nil"/>
              <w:left w:val="nil"/>
              <w:bottom w:val="single" w:sz="4" w:space="0" w:color="auto"/>
              <w:right w:val="single" w:sz="4" w:space="0" w:color="auto"/>
            </w:tcBorders>
            <w:shd w:val="clear" w:color="000000" w:fill="F2F2F2"/>
            <w:noWrap/>
            <w:vAlign w:val="bottom"/>
            <w:hideMark/>
          </w:tcPr>
          <w:p w14:paraId="3CC4FA9F"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16.50 </w:t>
            </w:r>
          </w:p>
        </w:tc>
        <w:tc>
          <w:tcPr>
            <w:tcW w:w="0" w:type="auto"/>
            <w:tcBorders>
              <w:top w:val="nil"/>
              <w:left w:val="nil"/>
              <w:bottom w:val="single" w:sz="4" w:space="0" w:color="auto"/>
              <w:right w:val="single" w:sz="4" w:space="0" w:color="auto"/>
            </w:tcBorders>
            <w:shd w:val="clear" w:color="000000" w:fill="F2F2F2"/>
            <w:noWrap/>
            <w:vAlign w:val="bottom"/>
            <w:hideMark/>
          </w:tcPr>
          <w:p w14:paraId="6BCF8511"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1.8</w:t>
            </w:r>
          </w:p>
        </w:tc>
        <w:tc>
          <w:tcPr>
            <w:tcW w:w="0" w:type="auto"/>
            <w:tcBorders>
              <w:top w:val="nil"/>
              <w:left w:val="nil"/>
              <w:bottom w:val="single" w:sz="4" w:space="0" w:color="auto"/>
              <w:right w:val="single" w:sz="4" w:space="0" w:color="auto"/>
            </w:tcBorders>
            <w:shd w:val="clear" w:color="000000" w:fill="F2F2F2"/>
            <w:noWrap/>
            <w:vAlign w:val="bottom"/>
            <w:hideMark/>
          </w:tcPr>
          <w:p w14:paraId="1330DF2E"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12.6</w:t>
            </w:r>
          </w:p>
        </w:tc>
        <w:tc>
          <w:tcPr>
            <w:tcW w:w="0" w:type="auto"/>
            <w:tcBorders>
              <w:top w:val="nil"/>
              <w:left w:val="nil"/>
              <w:bottom w:val="single" w:sz="4" w:space="0" w:color="auto"/>
              <w:right w:val="single" w:sz="4" w:space="0" w:color="auto"/>
            </w:tcBorders>
            <w:shd w:val="clear" w:color="000000" w:fill="F2F2F2"/>
            <w:noWrap/>
            <w:vAlign w:val="bottom"/>
            <w:hideMark/>
          </w:tcPr>
          <w:p w14:paraId="54EEA0E1"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180.2</w:t>
            </w:r>
          </w:p>
        </w:tc>
        <w:tc>
          <w:tcPr>
            <w:tcW w:w="0" w:type="auto"/>
            <w:tcBorders>
              <w:top w:val="nil"/>
              <w:left w:val="nil"/>
              <w:bottom w:val="single" w:sz="4" w:space="0" w:color="auto"/>
              <w:right w:val="single" w:sz="4" w:space="0" w:color="auto"/>
            </w:tcBorders>
            <w:shd w:val="clear" w:color="000000" w:fill="F2F2F2"/>
            <w:noWrap/>
            <w:vAlign w:val="bottom"/>
            <w:hideMark/>
          </w:tcPr>
          <w:p w14:paraId="619EC847"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409.87</w:t>
            </w:r>
          </w:p>
        </w:tc>
        <w:tc>
          <w:tcPr>
            <w:tcW w:w="0" w:type="auto"/>
            <w:tcBorders>
              <w:top w:val="nil"/>
              <w:left w:val="nil"/>
              <w:bottom w:val="single" w:sz="4" w:space="0" w:color="auto"/>
              <w:right w:val="single" w:sz="4" w:space="0" w:color="auto"/>
            </w:tcBorders>
            <w:shd w:val="clear" w:color="000000" w:fill="D9D9D9"/>
            <w:noWrap/>
            <w:vAlign w:val="bottom"/>
            <w:hideMark/>
          </w:tcPr>
          <w:p w14:paraId="23764541"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223.75</w:t>
            </w:r>
          </w:p>
        </w:tc>
        <w:tc>
          <w:tcPr>
            <w:tcW w:w="0" w:type="auto"/>
            <w:tcBorders>
              <w:top w:val="nil"/>
              <w:left w:val="nil"/>
              <w:bottom w:val="single" w:sz="4" w:space="0" w:color="auto"/>
              <w:right w:val="single" w:sz="4" w:space="0" w:color="auto"/>
            </w:tcBorders>
            <w:shd w:val="clear" w:color="000000" w:fill="D9D9D9"/>
            <w:noWrap/>
            <w:vAlign w:val="bottom"/>
            <w:hideMark/>
          </w:tcPr>
          <w:p w14:paraId="0B4B92F4"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2.27 </w:t>
            </w:r>
          </w:p>
        </w:tc>
      </w:tr>
    </w:tbl>
    <w:p w14:paraId="6134BD54" w14:textId="77777777" w:rsidR="00EB0778" w:rsidRPr="000F461B" w:rsidRDefault="00EB0778" w:rsidP="00EB0778">
      <w:pPr>
        <w:jc w:val="both"/>
        <w:rPr>
          <w:rFonts w:ascii="Times New Roman" w:hAnsi="Times New Roman" w:cs="Times New Roman"/>
        </w:rPr>
      </w:pPr>
    </w:p>
    <w:p w14:paraId="3F503BD2" w14:textId="77777777" w:rsidR="00EB0778" w:rsidRPr="000F461B" w:rsidRDefault="00EB0778" w:rsidP="00EB0778">
      <w:pPr>
        <w:jc w:val="both"/>
        <w:rPr>
          <w:rFonts w:ascii="Times New Roman" w:hAnsi="Times New Roman" w:cs="Times New Roman"/>
        </w:rPr>
      </w:pPr>
      <w:r w:rsidRPr="000F461B">
        <w:rPr>
          <w:rFonts w:ascii="Times New Roman" w:hAnsi="Times New Roman" w:cs="Times New Roman"/>
        </w:rPr>
        <w:t>A significant valuation gap exists across the sector, with P/E ratios ranging from 23.71 to 223.75. LBBL presents an outlier with the highest P/E ratio of 223.75 having the lowest EPS of only 1.8, LBBL's severe earnings decrease (-85.71% YoY) and high P/E ratio (223.75x), alongside substantial impairment charges (NPR 16.50 per share), suggesting significant asset quality challenges.  GBBL, KSBBL, and SADBL offer the most attractive P/E ratios (23.71x, 24.22x, and 24.81x respectively), significantly below the sector average. KSBBL leads with the highest earnings per share (NPR 18.7) and impressive YoY growth of 48.41%, while also offering the sector's most attractive dividend yield at 4.18%. J</w:t>
      </w:r>
    </w:p>
    <w:p w14:paraId="0413CE3F" w14:textId="77777777" w:rsidR="00EB0778" w:rsidRPr="000F461B" w:rsidRDefault="00EB0778" w:rsidP="00EB0778">
      <w:pPr>
        <w:jc w:val="both"/>
        <w:rPr>
          <w:rFonts w:ascii="Times New Roman" w:hAnsi="Times New Roman" w:cs="Times New Roman"/>
        </w:rPr>
      </w:pPr>
      <w:r w:rsidRPr="000F461B">
        <w:rPr>
          <w:rFonts w:ascii="Times New Roman" w:hAnsi="Times New Roman" w:cs="Times New Roman"/>
        </w:rPr>
        <w:t xml:space="preserve">ICPS (Impairment Charges Per Share) indicates the per-share non-annualized impact of impairment costs on the bank's profitability. High impairment charges can signal riskier assets or potential credit quality issues. The Q3 ICPS data reveals significant variations in credit risk management across banks. The sector shows an average impairment charge per share (ICPS) of NPR 4.89, though this figure masks extreme </w:t>
      </w:r>
      <w:r w:rsidRPr="000F461B">
        <w:rPr>
          <w:rFonts w:ascii="Times New Roman" w:hAnsi="Times New Roman" w:cs="Times New Roman"/>
        </w:rPr>
        <w:lastRenderedPageBreak/>
        <w:t>divergence between institutions. Six banks report positive impairment charges (indicating additional loan loss provisions), while two banks (SADBL and SHINE) report negative impairment charges (suggesting provision reversals or recoveries). LBBL demonstrates the most concerning metrics with an extraordinarily high ICPS of NPR 16.50, representing 916.67% of its current EPS. This aligns with its high NPL ratio of 7.18%.</w:t>
      </w:r>
    </w:p>
    <w:p w14:paraId="54CF9CBA" w14:textId="77777777" w:rsidR="00EB0778" w:rsidRPr="000F461B" w:rsidRDefault="00EB0778" w:rsidP="00EB0778">
      <w:pPr>
        <w:jc w:val="both"/>
        <w:rPr>
          <w:rFonts w:ascii="Times New Roman" w:hAnsi="Times New Roman" w:cs="Times New Roman"/>
          <w:highlight w:val="yellow"/>
        </w:rPr>
      </w:pPr>
    </w:p>
    <w:p w14:paraId="3BBC7B37" w14:textId="77777777" w:rsidR="00EB0778" w:rsidRPr="000F461B" w:rsidRDefault="00EB0778" w:rsidP="00EB0778">
      <w:pPr>
        <w:rPr>
          <w:rFonts w:ascii="Times New Roman" w:hAnsi="Times New Roman" w:cs="Times New Roman"/>
          <w:b/>
        </w:rPr>
      </w:pPr>
      <w:r w:rsidRPr="000F461B">
        <w:rPr>
          <w:rFonts w:ascii="Times New Roman" w:hAnsi="Times New Roman" w:cs="Times New Roman"/>
          <w:b/>
        </w:rPr>
        <w:t xml:space="preserve">Dividend history analysis </w:t>
      </w:r>
    </w:p>
    <w:tbl>
      <w:tblPr>
        <w:tblStyle w:val="GridTable6Colorful"/>
        <w:tblW w:w="9136" w:type="dxa"/>
        <w:tblLook w:val="04A0" w:firstRow="1" w:lastRow="0" w:firstColumn="1" w:lastColumn="0" w:noHBand="0" w:noVBand="1"/>
      </w:tblPr>
      <w:tblGrid>
        <w:gridCol w:w="1072"/>
        <w:gridCol w:w="1008"/>
        <w:gridCol w:w="1008"/>
        <w:gridCol w:w="1008"/>
        <w:gridCol w:w="1008"/>
        <w:gridCol w:w="1008"/>
        <w:gridCol w:w="1008"/>
        <w:gridCol w:w="1008"/>
        <w:gridCol w:w="1008"/>
      </w:tblGrid>
      <w:tr w:rsidR="00EB0778" w:rsidRPr="000F461B" w14:paraId="1D4F17E0" w14:textId="77777777" w:rsidTr="00475C6D">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072" w:type="dxa"/>
            <w:vAlign w:val="center"/>
          </w:tcPr>
          <w:p w14:paraId="48CFB92F" w14:textId="77777777" w:rsidR="00EB0778" w:rsidRPr="000F461B" w:rsidRDefault="00EB0778" w:rsidP="00EB0778">
            <w:pPr>
              <w:spacing w:before="60" w:after="60" w:line="360" w:lineRule="auto"/>
              <w:jc w:val="center"/>
              <w:rPr>
                <w:rFonts w:ascii="Times New Roman" w:hAnsi="Times New Roman" w:cs="Times New Roman"/>
                <w:b w:val="0"/>
              </w:rPr>
            </w:pPr>
            <w:r w:rsidRPr="000F461B">
              <w:rPr>
                <w:rFonts w:ascii="Times New Roman" w:hAnsi="Times New Roman" w:cs="Times New Roman"/>
                <w:b w:val="0"/>
              </w:rPr>
              <w:t>Company Name</w:t>
            </w:r>
          </w:p>
        </w:tc>
        <w:tc>
          <w:tcPr>
            <w:tcW w:w="1008" w:type="dxa"/>
            <w:vAlign w:val="center"/>
          </w:tcPr>
          <w:p w14:paraId="64000F7F" w14:textId="77777777" w:rsidR="00EB0778" w:rsidRPr="000F461B" w:rsidRDefault="00EB0778" w:rsidP="00EB0778">
            <w:pPr>
              <w:spacing w:before="60" w:after="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F461B">
              <w:rPr>
                <w:rFonts w:ascii="Times New Roman" w:hAnsi="Times New Roman" w:cs="Times New Roman"/>
                <w:b w:val="0"/>
              </w:rPr>
              <w:t>Bonus (%) 2077-78</w:t>
            </w:r>
          </w:p>
        </w:tc>
        <w:tc>
          <w:tcPr>
            <w:tcW w:w="1008" w:type="dxa"/>
            <w:vAlign w:val="center"/>
          </w:tcPr>
          <w:p w14:paraId="715F69A7" w14:textId="77777777" w:rsidR="00EB0778" w:rsidRPr="000F461B" w:rsidRDefault="00EB0778" w:rsidP="00EB0778">
            <w:pPr>
              <w:spacing w:before="60" w:after="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F461B">
              <w:rPr>
                <w:rFonts w:ascii="Times New Roman" w:hAnsi="Times New Roman" w:cs="Times New Roman"/>
                <w:b w:val="0"/>
              </w:rPr>
              <w:t>Cash (%) 2077-78</w:t>
            </w:r>
          </w:p>
        </w:tc>
        <w:tc>
          <w:tcPr>
            <w:tcW w:w="1008" w:type="dxa"/>
            <w:vAlign w:val="center"/>
          </w:tcPr>
          <w:p w14:paraId="746528CC" w14:textId="77777777" w:rsidR="00EB0778" w:rsidRPr="000F461B" w:rsidRDefault="00EB0778" w:rsidP="00EB0778">
            <w:pPr>
              <w:spacing w:before="60" w:after="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F461B">
              <w:rPr>
                <w:rFonts w:ascii="Times New Roman" w:hAnsi="Times New Roman" w:cs="Times New Roman"/>
                <w:b w:val="0"/>
              </w:rPr>
              <w:t>Bonus (%) 2078-79</w:t>
            </w:r>
          </w:p>
        </w:tc>
        <w:tc>
          <w:tcPr>
            <w:tcW w:w="1008" w:type="dxa"/>
            <w:vAlign w:val="center"/>
          </w:tcPr>
          <w:p w14:paraId="67DB0122" w14:textId="77777777" w:rsidR="00EB0778" w:rsidRPr="000F461B" w:rsidRDefault="00EB0778" w:rsidP="00EB0778">
            <w:pPr>
              <w:spacing w:before="60" w:after="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F461B">
              <w:rPr>
                <w:rFonts w:ascii="Times New Roman" w:hAnsi="Times New Roman" w:cs="Times New Roman"/>
                <w:b w:val="0"/>
              </w:rPr>
              <w:t>Cash (%) 2078-79</w:t>
            </w:r>
          </w:p>
        </w:tc>
        <w:tc>
          <w:tcPr>
            <w:tcW w:w="1008" w:type="dxa"/>
            <w:vAlign w:val="center"/>
          </w:tcPr>
          <w:p w14:paraId="57C76C43" w14:textId="77777777" w:rsidR="00EB0778" w:rsidRPr="000F461B" w:rsidRDefault="00EB0778" w:rsidP="00EB0778">
            <w:pPr>
              <w:spacing w:before="60" w:after="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F461B">
              <w:rPr>
                <w:rFonts w:ascii="Times New Roman" w:hAnsi="Times New Roman" w:cs="Times New Roman"/>
                <w:b w:val="0"/>
              </w:rPr>
              <w:t>Bonus (%) 2079-80</w:t>
            </w:r>
          </w:p>
        </w:tc>
        <w:tc>
          <w:tcPr>
            <w:tcW w:w="1008" w:type="dxa"/>
            <w:vAlign w:val="center"/>
          </w:tcPr>
          <w:p w14:paraId="18912A4C" w14:textId="77777777" w:rsidR="00EB0778" w:rsidRPr="000F461B" w:rsidRDefault="00EB0778" w:rsidP="00EB0778">
            <w:pPr>
              <w:spacing w:before="60" w:after="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F461B">
              <w:rPr>
                <w:rFonts w:ascii="Times New Roman" w:hAnsi="Times New Roman" w:cs="Times New Roman"/>
                <w:b w:val="0"/>
              </w:rPr>
              <w:t>Cash (%) 2079-80</w:t>
            </w:r>
          </w:p>
        </w:tc>
        <w:tc>
          <w:tcPr>
            <w:tcW w:w="1008" w:type="dxa"/>
            <w:vAlign w:val="center"/>
          </w:tcPr>
          <w:p w14:paraId="141064ED" w14:textId="77777777" w:rsidR="00EB0778" w:rsidRPr="000F461B" w:rsidRDefault="00EB0778" w:rsidP="00EB0778">
            <w:pPr>
              <w:spacing w:before="60" w:after="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F461B">
              <w:rPr>
                <w:rFonts w:ascii="Times New Roman" w:hAnsi="Times New Roman" w:cs="Times New Roman"/>
                <w:b w:val="0"/>
              </w:rPr>
              <w:t>Bonus (%) 2080-81</w:t>
            </w:r>
          </w:p>
        </w:tc>
        <w:tc>
          <w:tcPr>
            <w:tcW w:w="1008" w:type="dxa"/>
            <w:vAlign w:val="center"/>
          </w:tcPr>
          <w:p w14:paraId="53FC9E3B" w14:textId="77777777" w:rsidR="00EB0778" w:rsidRPr="000F461B" w:rsidRDefault="00EB0778" w:rsidP="00EB0778">
            <w:pPr>
              <w:spacing w:before="60" w:after="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F461B">
              <w:rPr>
                <w:rFonts w:ascii="Times New Roman" w:hAnsi="Times New Roman" w:cs="Times New Roman"/>
                <w:b w:val="0"/>
              </w:rPr>
              <w:t>Cash (%) 2080-81</w:t>
            </w:r>
          </w:p>
        </w:tc>
      </w:tr>
      <w:tr w:rsidR="00EB0778" w:rsidRPr="000F461B" w14:paraId="5565BD85" w14:textId="77777777" w:rsidTr="00475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7E53A910" w14:textId="77777777" w:rsidR="00EB0778" w:rsidRPr="000F461B" w:rsidRDefault="00EB0778" w:rsidP="00EB0778">
            <w:pPr>
              <w:spacing w:before="60" w:after="60" w:line="360" w:lineRule="auto"/>
              <w:rPr>
                <w:rFonts w:ascii="Times New Roman" w:hAnsi="Times New Roman" w:cs="Times New Roman"/>
                <w:b w:val="0"/>
              </w:rPr>
            </w:pPr>
            <w:r w:rsidRPr="000F461B">
              <w:rPr>
                <w:rFonts w:ascii="Times New Roman" w:hAnsi="Times New Roman" w:cs="Times New Roman"/>
                <w:b w:val="0"/>
              </w:rPr>
              <w:t>GBBL</w:t>
            </w:r>
          </w:p>
        </w:tc>
        <w:tc>
          <w:tcPr>
            <w:tcW w:w="1008" w:type="dxa"/>
            <w:vAlign w:val="center"/>
          </w:tcPr>
          <w:p w14:paraId="6A89CFF5" w14:textId="77777777" w:rsidR="00EB0778" w:rsidRPr="000F461B" w:rsidRDefault="00EB0778" w:rsidP="00EB077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461B">
              <w:rPr>
                <w:rFonts w:ascii="Times New Roman" w:hAnsi="Times New Roman" w:cs="Times New Roman"/>
              </w:rPr>
              <w:t>16.00</w:t>
            </w:r>
          </w:p>
        </w:tc>
        <w:tc>
          <w:tcPr>
            <w:tcW w:w="1008" w:type="dxa"/>
            <w:vAlign w:val="center"/>
          </w:tcPr>
          <w:p w14:paraId="43FBE1AA" w14:textId="77777777" w:rsidR="00EB0778" w:rsidRPr="000F461B" w:rsidRDefault="00EB0778" w:rsidP="00EB077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461B">
              <w:rPr>
                <w:rFonts w:ascii="Times New Roman" w:hAnsi="Times New Roman" w:cs="Times New Roman"/>
              </w:rPr>
              <w:t>0.00</w:t>
            </w:r>
          </w:p>
        </w:tc>
        <w:tc>
          <w:tcPr>
            <w:tcW w:w="1008" w:type="dxa"/>
            <w:vAlign w:val="center"/>
          </w:tcPr>
          <w:p w14:paraId="310D13AC" w14:textId="77777777" w:rsidR="00EB0778" w:rsidRPr="000F461B" w:rsidRDefault="00EB0778" w:rsidP="00EB077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461B">
              <w:rPr>
                <w:rFonts w:ascii="Times New Roman" w:hAnsi="Times New Roman" w:cs="Times New Roman"/>
              </w:rPr>
              <w:t>13.00</w:t>
            </w:r>
          </w:p>
        </w:tc>
        <w:tc>
          <w:tcPr>
            <w:tcW w:w="1008" w:type="dxa"/>
            <w:vAlign w:val="center"/>
          </w:tcPr>
          <w:p w14:paraId="5DB869F3" w14:textId="77777777" w:rsidR="00EB0778" w:rsidRPr="000F461B" w:rsidRDefault="00EB0778" w:rsidP="00EB077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461B">
              <w:rPr>
                <w:rFonts w:ascii="Times New Roman" w:hAnsi="Times New Roman" w:cs="Times New Roman"/>
              </w:rPr>
              <w:t>1.50</w:t>
            </w:r>
          </w:p>
        </w:tc>
        <w:tc>
          <w:tcPr>
            <w:tcW w:w="1008" w:type="dxa"/>
            <w:vAlign w:val="center"/>
          </w:tcPr>
          <w:p w14:paraId="06C57F86" w14:textId="77777777" w:rsidR="00EB0778" w:rsidRPr="000F461B" w:rsidRDefault="00EB0778" w:rsidP="00EB077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461B">
              <w:rPr>
                <w:rFonts w:ascii="Times New Roman" w:hAnsi="Times New Roman" w:cs="Times New Roman"/>
              </w:rPr>
              <w:t>9.50</w:t>
            </w:r>
          </w:p>
        </w:tc>
        <w:tc>
          <w:tcPr>
            <w:tcW w:w="1008" w:type="dxa"/>
            <w:vAlign w:val="center"/>
          </w:tcPr>
          <w:p w14:paraId="61B9EEE6" w14:textId="77777777" w:rsidR="00EB0778" w:rsidRPr="000F461B" w:rsidRDefault="00EB0778" w:rsidP="00EB077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461B">
              <w:rPr>
                <w:rFonts w:ascii="Times New Roman" w:hAnsi="Times New Roman" w:cs="Times New Roman"/>
              </w:rPr>
              <w:t>0.50</w:t>
            </w:r>
          </w:p>
        </w:tc>
        <w:tc>
          <w:tcPr>
            <w:tcW w:w="1008" w:type="dxa"/>
            <w:vAlign w:val="center"/>
          </w:tcPr>
          <w:p w14:paraId="350EE8BD" w14:textId="77777777" w:rsidR="00EB0778" w:rsidRPr="000F461B" w:rsidRDefault="00EB0778" w:rsidP="00EB077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08" w:type="dxa"/>
            <w:vAlign w:val="center"/>
          </w:tcPr>
          <w:p w14:paraId="180365D1" w14:textId="77777777" w:rsidR="00EB0778" w:rsidRPr="000F461B" w:rsidRDefault="00EB0778" w:rsidP="00EB077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461B">
              <w:rPr>
                <w:rFonts w:ascii="Times New Roman" w:hAnsi="Times New Roman" w:cs="Times New Roman"/>
              </w:rPr>
              <w:t>5.00</w:t>
            </w:r>
          </w:p>
        </w:tc>
      </w:tr>
      <w:tr w:rsidR="00EB0778" w:rsidRPr="000F461B" w14:paraId="3667212B" w14:textId="77777777" w:rsidTr="00475C6D">
        <w:tc>
          <w:tcPr>
            <w:cnfStyle w:val="001000000000" w:firstRow="0" w:lastRow="0" w:firstColumn="1" w:lastColumn="0" w:oddVBand="0" w:evenVBand="0" w:oddHBand="0" w:evenHBand="0" w:firstRowFirstColumn="0" w:firstRowLastColumn="0" w:lastRowFirstColumn="0" w:lastRowLastColumn="0"/>
            <w:tcW w:w="1072" w:type="dxa"/>
          </w:tcPr>
          <w:p w14:paraId="3B2472CE" w14:textId="77777777" w:rsidR="00EB0778" w:rsidRPr="000F461B" w:rsidRDefault="00EB0778" w:rsidP="00EB0778">
            <w:pPr>
              <w:spacing w:before="60" w:after="60" w:line="360" w:lineRule="auto"/>
              <w:rPr>
                <w:rFonts w:ascii="Times New Roman" w:hAnsi="Times New Roman" w:cs="Times New Roman"/>
                <w:b w:val="0"/>
              </w:rPr>
            </w:pPr>
            <w:r w:rsidRPr="000F461B">
              <w:rPr>
                <w:rFonts w:ascii="Times New Roman" w:hAnsi="Times New Roman" w:cs="Times New Roman"/>
                <w:b w:val="0"/>
              </w:rPr>
              <w:t>JBBL</w:t>
            </w:r>
          </w:p>
        </w:tc>
        <w:tc>
          <w:tcPr>
            <w:tcW w:w="1008" w:type="dxa"/>
            <w:vAlign w:val="center"/>
          </w:tcPr>
          <w:p w14:paraId="00551A5D" w14:textId="77777777" w:rsidR="00EB0778" w:rsidRPr="000F461B" w:rsidRDefault="00EB0778" w:rsidP="00EB077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461B">
              <w:rPr>
                <w:rFonts w:ascii="Times New Roman" w:hAnsi="Times New Roman" w:cs="Times New Roman"/>
              </w:rPr>
              <w:t>11.00</w:t>
            </w:r>
          </w:p>
        </w:tc>
        <w:tc>
          <w:tcPr>
            <w:tcW w:w="1008" w:type="dxa"/>
            <w:vAlign w:val="center"/>
          </w:tcPr>
          <w:p w14:paraId="5BE106E0" w14:textId="77777777" w:rsidR="00EB0778" w:rsidRPr="000F461B" w:rsidRDefault="00EB0778" w:rsidP="00EB077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461B">
              <w:rPr>
                <w:rFonts w:ascii="Times New Roman" w:hAnsi="Times New Roman" w:cs="Times New Roman"/>
              </w:rPr>
              <w:t>4.50</w:t>
            </w:r>
          </w:p>
        </w:tc>
        <w:tc>
          <w:tcPr>
            <w:tcW w:w="1008" w:type="dxa"/>
            <w:vAlign w:val="center"/>
          </w:tcPr>
          <w:p w14:paraId="62D195D8" w14:textId="77777777" w:rsidR="00EB0778" w:rsidRPr="000F461B" w:rsidRDefault="00EB0778" w:rsidP="00EB077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461B">
              <w:rPr>
                <w:rFonts w:ascii="Times New Roman" w:hAnsi="Times New Roman" w:cs="Times New Roman"/>
              </w:rPr>
              <w:t>3.00</w:t>
            </w:r>
          </w:p>
        </w:tc>
        <w:tc>
          <w:tcPr>
            <w:tcW w:w="1008" w:type="dxa"/>
            <w:vAlign w:val="center"/>
          </w:tcPr>
          <w:p w14:paraId="1D6E58DC" w14:textId="77777777" w:rsidR="00EB0778" w:rsidRPr="000F461B" w:rsidRDefault="00EB0778" w:rsidP="00EB077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461B">
              <w:rPr>
                <w:rFonts w:ascii="Times New Roman" w:hAnsi="Times New Roman" w:cs="Times New Roman"/>
              </w:rPr>
              <w:t>3.80</w:t>
            </w:r>
          </w:p>
        </w:tc>
        <w:tc>
          <w:tcPr>
            <w:tcW w:w="1008" w:type="dxa"/>
            <w:vAlign w:val="center"/>
          </w:tcPr>
          <w:p w14:paraId="2D53BE26" w14:textId="77777777" w:rsidR="00EB0778" w:rsidRPr="000F461B" w:rsidRDefault="00EB0778" w:rsidP="00EB077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08" w:type="dxa"/>
            <w:vAlign w:val="center"/>
          </w:tcPr>
          <w:p w14:paraId="00B28390" w14:textId="77777777" w:rsidR="00EB0778" w:rsidRPr="000F461B" w:rsidRDefault="00EB0778" w:rsidP="00EB077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08" w:type="dxa"/>
            <w:vAlign w:val="center"/>
          </w:tcPr>
          <w:p w14:paraId="5B6DD0ED" w14:textId="77777777" w:rsidR="00EB0778" w:rsidRPr="000F461B" w:rsidRDefault="00EB0778" w:rsidP="00EB077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08" w:type="dxa"/>
            <w:vAlign w:val="center"/>
          </w:tcPr>
          <w:p w14:paraId="1EF4F4FC" w14:textId="77777777" w:rsidR="00EB0778" w:rsidRPr="000F461B" w:rsidRDefault="00EB0778" w:rsidP="00EB077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B0778" w:rsidRPr="000F461B" w14:paraId="714FD0F2" w14:textId="77777777" w:rsidTr="00475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2D703C40" w14:textId="77777777" w:rsidR="00EB0778" w:rsidRPr="000F461B" w:rsidRDefault="00EB0778" w:rsidP="00EB0778">
            <w:pPr>
              <w:spacing w:before="60" w:after="60" w:line="360" w:lineRule="auto"/>
              <w:rPr>
                <w:rFonts w:ascii="Times New Roman" w:hAnsi="Times New Roman" w:cs="Times New Roman"/>
                <w:b w:val="0"/>
              </w:rPr>
            </w:pPr>
            <w:r w:rsidRPr="000F461B">
              <w:rPr>
                <w:rFonts w:ascii="Times New Roman" w:hAnsi="Times New Roman" w:cs="Times New Roman"/>
                <w:b w:val="0"/>
              </w:rPr>
              <w:t>KSBBL</w:t>
            </w:r>
          </w:p>
        </w:tc>
        <w:tc>
          <w:tcPr>
            <w:tcW w:w="1008" w:type="dxa"/>
            <w:vAlign w:val="center"/>
          </w:tcPr>
          <w:p w14:paraId="45C41D9E" w14:textId="77777777" w:rsidR="00EB0778" w:rsidRPr="000F461B" w:rsidRDefault="00EB0778" w:rsidP="00EB077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461B">
              <w:rPr>
                <w:rFonts w:ascii="Times New Roman" w:hAnsi="Times New Roman" w:cs="Times New Roman"/>
              </w:rPr>
              <w:t>18.50</w:t>
            </w:r>
          </w:p>
        </w:tc>
        <w:tc>
          <w:tcPr>
            <w:tcW w:w="1008" w:type="dxa"/>
            <w:vAlign w:val="center"/>
          </w:tcPr>
          <w:p w14:paraId="0FB12359" w14:textId="77777777" w:rsidR="00EB0778" w:rsidRPr="000F461B" w:rsidRDefault="00EB0778" w:rsidP="00EB077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461B">
              <w:rPr>
                <w:rFonts w:ascii="Times New Roman" w:hAnsi="Times New Roman" w:cs="Times New Roman"/>
              </w:rPr>
              <w:t>0.97</w:t>
            </w:r>
          </w:p>
        </w:tc>
        <w:tc>
          <w:tcPr>
            <w:tcW w:w="1008" w:type="dxa"/>
            <w:vAlign w:val="center"/>
          </w:tcPr>
          <w:p w14:paraId="19A5C4DB" w14:textId="77777777" w:rsidR="00EB0778" w:rsidRPr="000F461B" w:rsidRDefault="00EB0778" w:rsidP="00EB077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461B">
              <w:rPr>
                <w:rFonts w:ascii="Times New Roman" w:hAnsi="Times New Roman" w:cs="Times New Roman"/>
              </w:rPr>
              <w:t>4.41</w:t>
            </w:r>
          </w:p>
        </w:tc>
        <w:tc>
          <w:tcPr>
            <w:tcW w:w="1008" w:type="dxa"/>
            <w:vAlign w:val="center"/>
          </w:tcPr>
          <w:p w14:paraId="077DCFE4" w14:textId="77777777" w:rsidR="00EB0778" w:rsidRPr="000F461B" w:rsidRDefault="00EB0778" w:rsidP="00EB077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461B">
              <w:rPr>
                <w:rFonts w:ascii="Times New Roman" w:hAnsi="Times New Roman" w:cs="Times New Roman"/>
              </w:rPr>
              <w:t>0.23</w:t>
            </w:r>
          </w:p>
        </w:tc>
        <w:tc>
          <w:tcPr>
            <w:tcW w:w="1008" w:type="dxa"/>
            <w:vAlign w:val="center"/>
          </w:tcPr>
          <w:p w14:paraId="009D1880" w14:textId="77777777" w:rsidR="00EB0778" w:rsidRPr="000F461B" w:rsidRDefault="00EB0778" w:rsidP="00EB077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08" w:type="dxa"/>
            <w:vAlign w:val="center"/>
          </w:tcPr>
          <w:p w14:paraId="25C1A298" w14:textId="77777777" w:rsidR="00EB0778" w:rsidRPr="000F461B" w:rsidRDefault="00EB0778" w:rsidP="00EB077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08" w:type="dxa"/>
            <w:vAlign w:val="center"/>
          </w:tcPr>
          <w:p w14:paraId="10876EA0" w14:textId="77777777" w:rsidR="00EB0778" w:rsidRPr="000F461B" w:rsidRDefault="00EB0778" w:rsidP="00EB077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461B">
              <w:rPr>
                <w:rFonts w:ascii="Times New Roman" w:hAnsi="Times New Roman" w:cs="Times New Roman"/>
              </w:rPr>
              <w:t>7.00</w:t>
            </w:r>
          </w:p>
        </w:tc>
        <w:tc>
          <w:tcPr>
            <w:tcW w:w="1008" w:type="dxa"/>
            <w:vAlign w:val="center"/>
          </w:tcPr>
          <w:p w14:paraId="36ABA117" w14:textId="77777777" w:rsidR="00EB0778" w:rsidRPr="000F461B" w:rsidRDefault="00EB0778" w:rsidP="00EB077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461B">
              <w:rPr>
                <w:rFonts w:ascii="Times New Roman" w:hAnsi="Times New Roman" w:cs="Times New Roman"/>
              </w:rPr>
              <w:t>5.00</w:t>
            </w:r>
          </w:p>
        </w:tc>
      </w:tr>
      <w:tr w:rsidR="00EB0778" w:rsidRPr="000F461B" w14:paraId="7137A8B7" w14:textId="77777777" w:rsidTr="00475C6D">
        <w:tc>
          <w:tcPr>
            <w:cnfStyle w:val="001000000000" w:firstRow="0" w:lastRow="0" w:firstColumn="1" w:lastColumn="0" w:oddVBand="0" w:evenVBand="0" w:oddHBand="0" w:evenHBand="0" w:firstRowFirstColumn="0" w:firstRowLastColumn="0" w:lastRowFirstColumn="0" w:lastRowLastColumn="0"/>
            <w:tcW w:w="1072" w:type="dxa"/>
          </w:tcPr>
          <w:p w14:paraId="1E0FD77E" w14:textId="77777777" w:rsidR="00EB0778" w:rsidRPr="000F461B" w:rsidRDefault="00EB0778" w:rsidP="00EB0778">
            <w:pPr>
              <w:spacing w:before="60" w:after="60" w:line="360" w:lineRule="auto"/>
              <w:rPr>
                <w:rFonts w:ascii="Times New Roman" w:hAnsi="Times New Roman" w:cs="Times New Roman"/>
                <w:b w:val="0"/>
              </w:rPr>
            </w:pPr>
            <w:r w:rsidRPr="000F461B">
              <w:rPr>
                <w:rFonts w:ascii="Times New Roman" w:hAnsi="Times New Roman" w:cs="Times New Roman"/>
                <w:b w:val="0"/>
              </w:rPr>
              <w:t>LBBL</w:t>
            </w:r>
          </w:p>
        </w:tc>
        <w:tc>
          <w:tcPr>
            <w:tcW w:w="1008" w:type="dxa"/>
            <w:vAlign w:val="center"/>
          </w:tcPr>
          <w:p w14:paraId="60CAAEC0" w14:textId="77777777" w:rsidR="00EB0778" w:rsidRPr="000F461B" w:rsidRDefault="00EB0778" w:rsidP="00EB077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461B">
              <w:rPr>
                <w:rFonts w:ascii="Times New Roman" w:hAnsi="Times New Roman" w:cs="Times New Roman"/>
              </w:rPr>
              <w:t>13.00</w:t>
            </w:r>
          </w:p>
        </w:tc>
        <w:tc>
          <w:tcPr>
            <w:tcW w:w="1008" w:type="dxa"/>
            <w:vAlign w:val="center"/>
          </w:tcPr>
          <w:p w14:paraId="5A9EDB82" w14:textId="77777777" w:rsidR="00EB0778" w:rsidRPr="000F461B" w:rsidRDefault="00EB0778" w:rsidP="00EB077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461B">
              <w:rPr>
                <w:rFonts w:ascii="Times New Roman" w:hAnsi="Times New Roman" w:cs="Times New Roman"/>
              </w:rPr>
              <w:t>0.68</w:t>
            </w:r>
          </w:p>
        </w:tc>
        <w:tc>
          <w:tcPr>
            <w:tcW w:w="1008" w:type="dxa"/>
            <w:vAlign w:val="center"/>
          </w:tcPr>
          <w:p w14:paraId="1B57E950" w14:textId="77777777" w:rsidR="00EB0778" w:rsidRPr="000F461B" w:rsidRDefault="00EB0778" w:rsidP="00EB077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461B">
              <w:rPr>
                <w:rFonts w:ascii="Times New Roman" w:hAnsi="Times New Roman" w:cs="Times New Roman"/>
              </w:rPr>
              <w:t>3.00</w:t>
            </w:r>
          </w:p>
        </w:tc>
        <w:tc>
          <w:tcPr>
            <w:tcW w:w="1008" w:type="dxa"/>
            <w:vAlign w:val="center"/>
          </w:tcPr>
          <w:p w14:paraId="169E68CC" w14:textId="77777777" w:rsidR="00EB0778" w:rsidRPr="000F461B" w:rsidRDefault="00EB0778" w:rsidP="00EB077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461B">
              <w:rPr>
                <w:rFonts w:ascii="Times New Roman" w:hAnsi="Times New Roman" w:cs="Times New Roman"/>
              </w:rPr>
              <w:t>9.00</w:t>
            </w:r>
          </w:p>
        </w:tc>
        <w:tc>
          <w:tcPr>
            <w:tcW w:w="1008" w:type="dxa"/>
            <w:vAlign w:val="center"/>
          </w:tcPr>
          <w:p w14:paraId="56271F91" w14:textId="77777777" w:rsidR="00EB0778" w:rsidRPr="000F461B" w:rsidRDefault="00EB0778" w:rsidP="00EB077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461B">
              <w:rPr>
                <w:rFonts w:ascii="Times New Roman" w:hAnsi="Times New Roman" w:cs="Times New Roman"/>
              </w:rPr>
              <w:t>4.00</w:t>
            </w:r>
          </w:p>
        </w:tc>
        <w:tc>
          <w:tcPr>
            <w:tcW w:w="1008" w:type="dxa"/>
            <w:vAlign w:val="center"/>
          </w:tcPr>
          <w:p w14:paraId="35F2E620" w14:textId="77777777" w:rsidR="00EB0778" w:rsidRPr="000F461B" w:rsidRDefault="00EB0778" w:rsidP="00EB077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461B">
              <w:rPr>
                <w:rFonts w:ascii="Times New Roman" w:hAnsi="Times New Roman" w:cs="Times New Roman"/>
              </w:rPr>
              <w:t>4.50</w:t>
            </w:r>
          </w:p>
        </w:tc>
        <w:tc>
          <w:tcPr>
            <w:tcW w:w="1008" w:type="dxa"/>
            <w:vAlign w:val="center"/>
          </w:tcPr>
          <w:p w14:paraId="42733B68" w14:textId="77777777" w:rsidR="00EB0778" w:rsidRPr="000F461B" w:rsidRDefault="00EB0778" w:rsidP="00EB077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461B">
              <w:rPr>
                <w:rFonts w:ascii="Times New Roman" w:hAnsi="Times New Roman" w:cs="Times New Roman"/>
              </w:rPr>
              <w:t>3.00</w:t>
            </w:r>
          </w:p>
        </w:tc>
        <w:tc>
          <w:tcPr>
            <w:tcW w:w="1008" w:type="dxa"/>
            <w:vAlign w:val="center"/>
          </w:tcPr>
          <w:p w14:paraId="59BAE031" w14:textId="77777777" w:rsidR="00EB0778" w:rsidRPr="000F461B" w:rsidRDefault="00EB0778" w:rsidP="00EB077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461B">
              <w:rPr>
                <w:rFonts w:ascii="Times New Roman" w:hAnsi="Times New Roman" w:cs="Times New Roman"/>
              </w:rPr>
              <w:t>4.00</w:t>
            </w:r>
          </w:p>
        </w:tc>
      </w:tr>
      <w:tr w:rsidR="00EB0778" w:rsidRPr="000F461B" w14:paraId="669D4183" w14:textId="77777777" w:rsidTr="00475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7F506A6A" w14:textId="77777777" w:rsidR="00EB0778" w:rsidRPr="000F461B" w:rsidRDefault="00EB0778" w:rsidP="00EB0778">
            <w:pPr>
              <w:spacing w:before="60" w:after="60" w:line="360" w:lineRule="auto"/>
              <w:rPr>
                <w:rFonts w:ascii="Times New Roman" w:hAnsi="Times New Roman" w:cs="Times New Roman"/>
                <w:b w:val="0"/>
              </w:rPr>
            </w:pPr>
            <w:r w:rsidRPr="000F461B">
              <w:rPr>
                <w:rFonts w:ascii="Times New Roman" w:hAnsi="Times New Roman" w:cs="Times New Roman"/>
                <w:b w:val="0"/>
              </w:rPr>
              <w:t>MLBL</w:t>
            </w:r>
          </w:p>
        </w:tc>
        <w:tc>
          <w:tcPr>
            <w:tcW w:w="1008" w:type="dxa"/>
            <w:vAlign w:val="center"/>
          </w:tcPr>
          <w:p w14:paraId="4B0F611D" w14:textId="77777777" w:rsidR="00EB0778" w:rsidRPr="000F461B" w:rsidRDefault="00EB0778" w:rsidP="00EB077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461B">
              <w:rPr>
                <w:rFonts w:ascii="Times New Roman" w:hAnsi="Times New Roman" w:cs="Times New Roman"/>
              </w:rPr>
              <w:t>20.00</w:t>
            </w:r>
          </w:p>
        </w:tc>
        <w:tc>
          <w:tcPr>
            <w:tcW w:w="1008" w:type="dxa"/>
            <w:vAlign w:val="center"/>
          </w:tcPr>
          <w:p w14:paraId="280D7213" w14:textId="77777777" w:rsidR="00EB0778" w:rsidRPr="000F461B" w:rsidRDefault="00EB0778" w:rsidP="00EB077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461B">
              <w:rPr>
                <w:rFonts w:ascii="Times New Roman" w:hAnsi="Times New Roman" w:cs="Times New Roman"/>
              </w:rPr>
              <w:t>1.05</w:t>
            </w:r>
          </w:p>
        </w:tc>
        <w:tc>
          <w:tcPr>
            <w:tcW w:w="1008" w:type="dxa"/>
            <w:vAlign w:val="center"/>
          </w:tcPr>
          <w:p w14:paraId="26DE02E5" w14:textId="77777777" w:rsidR="00EB0778" w:rsidRPr="000F461B" w:rsidRDefault="00EB0778" w:rsidP="00EB077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461B">
              <w:rPr>
                <w:rFonts w:ascii="Times New Roman" w:hAnsi="Times New Roman" w:cs="Times New Roman"/>
              </w:rPr>
              <w:t>4.00</w:t>
            </w:r>
          </w:p>
        </w:tc>
        <w:tc>
          <w:tcPr>
            <w:tcW w:w="1008" w:type="dxa"/>
            <w:vAlign w:val="center"/>
          </w:tcPr>
          <w:p w14:paraId="2E21C350" w14:textId="77777777" w:rsidR="00EB0778" w:rsidRPr="000F461B" w:rsidRDefault="00EB0778" w:rsidP="00EB077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461B">
              <w:rPr>
                <w:rFonts w:ascii="Times New Roman" w:hAnsi="Times New Roman" w:cs="Times New Roman"/>
              </w:rPr>
              <w:t>6.47</w:t>
            </w:r>
          </w:p>
        </w:tc>
        <w:tc>
          <w:tcPr>
            <w:tcW w:w="1008" w:type="dxa"/>
            <w:vAlign w:val="center"/>
          </w:tcPr>
          <w:p w14:paraId="604EAFC6" w14:textId="77777777" w:rsidR="00EB0778" w:rsidRPr="000F461B" w:rsidRDefault="00EB0778" w:rsidP="00EB077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08" w:type="dxa"/>
            <w:vAlign w:val="center"/>
          </w:tcPr>
          <w:p w14:paraId="45BA255B" w14:textId="77777777" w:rsidR="00EB0778" w:rsidRPr="000F461B" w:rsidRDefault="00EB0778" w:rsidP="00EB077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461B">
              <w:rPr>
                <w:rFonts w:ascii="Times New Roman" w:hAnsi="Times New Roman" w:cs="Times New Roman"/>
              </w:rPr>
              <w:t>6.40</w:t>
            </w:r>
          </w:p>
        </w:tc>
        <w:tc>
          <w:tcPr>
            <w:tcW w:w="1008" w:type="dxa"/>
            <w:vAlign w:val="center"/>
          </w:tcPr>
          <w:p w14:paraId="1137F984" w14:textId="77777777" w:rsidR="00EB0778" w:rsidRPr="000F461B" w:rsidRDefault="00EB0778" w:rsidP="00EB077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461B">
              <w:rPr>
                <w:rFonts w:ascii="Times New Roman" w:hAnsi="Times New Roman" w:cs="Times New Roman"/>
              </w:rPr>
              <w:t>3.00</w:t>
            </w:r>
          </w:p>
        </w:tc>
        <w:tc>
          <w:tcPr>
            <w:tcW w:w="1008" w:type="dxa"/>
            <w:vAlign w:val="center"/>
          </w:tcPr>
          <w:p w14:paraId="2B6BEE2F" w14:textId="77777777" w:rsidR="00EB0778" w:rsidRPr="000F461B" w:rsidRDefault="00EB0778" w:rsidP="00EB077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461B">
              <w:rPr>
                <w:rFonts w:ascii="Times New Roman" w:hAnsi="Times New Roman" w:cs="Times New Roman"/>
              </w:rPr>
              <w:t>4.00</w:t>
            </w:r>
          </w:p>
        </w:tc>
      </w:tr>
      <w:tr w:rsidR="00EB0778" w:rsidRPr="000F461B" w14:paraId="237F95E3" w14:textId="77777777" w:rsidTr="00475C6D">
        <w:tc>
          <w:tcPr>
            <w:cnfStyle w:val="001000000000" w:firstRow="0" w:lastRow="0" w:firstColumn="1" w:lastColumn="0" w:oddVBand="0" w:evenVBand="0" w:oddHBand="0" w:evenHBand="0" w:firstRowFirstColumn="0" w:firstRowLastColumn="0" w:lastRowFirstColumn="0" w:lastRowLastColumn="0"/>
            <w:tcW w:w="1072" w:type="dxa"/>
          </w:tcPr>
          <w:p w14:paraId="39E72086" w14:textId="77777777" w:rsidR="00EB0778" w:rsidRPr="000F461B" w:rsidRDefault="00EB0778" w:rsidP="00EB0778">
            <w:pPr>
              <w:spacing w:before="60" w:after="60" w:line="360" w:lineRule="auto"/>
              <w:rPr>
                <w:rFonts w:ascii="Times New Roman" w:hAnsi="Times New Roman" w:cs="Times New Roman"/>
                <w:b w:val="0"/>
              </w:rPr>
            </w:pPr>
            <w:r w:rsidRPr="000F461B">
              <w:rPr>
                <w:rFonts w:ascii="Times New Roman" w:hAnsi="Times New Roman" w:cs="Times New Roman"/>
                <w:b w:val="0"/>
              </w:rPr>
              <w:t>MNBBL</w:t>
            </w:r>
          </w:p>
        </w:tc>
        <w:tc>
          <w:tcPr>
            <w:tcW w:w="1008" w:type="dxa"/>
            <w:vAlign w:val="center"/>
          </w:tcPr>
          <w:p w14:paraId="72D777AA" w14:textId="77777777" w:rsidR="00EB0778" w:rsidRPr="000F461B" w:rsidRDefault="00EB0778" w:rsidP="00EB077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461B">
              <w:rPr>
                <w:rFonts w:ascii="Times New Roman" w:hAnsi="Times New Roman" w:cs="Times New Roman"/>
              </w:rPr>
              <w:t>17.57</w:t>
            </w:r>
          </w:p>
        </w:tc>
        <w:tc>
          <w:tcPr>
            <w:tcW w:w="1008" w:type="dxa"/>
            <w:vAlign w:val="center"/>
          </w:tcPr>
          <w:p w14:paraId="4F169D6F" w14:textId="77777777" w:rsidR="00EB0778" w:rsidRPr="000F461B" w:rsidRDefault="00EB0778" w:rsidP="00EB077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461B">
              <w:rPr>
                <w:rFonts w:ascii="Times New Roman" w:hAnsi="Times New Roman" w:cs="Times New Roman"/>
              </w:rPr>
              <w:t>0.93</w:t>
            </w:r>
          </w:p>
        </w:tc>
        <w:tc>
          <w:tcPr>
            <w:tcW w:w="1008" w:type="dxa"/>
            <w:vAlign w:val="center"/>
          </w:tcPr>
          <w:p w14:paraId="31A27BB9" w14:textId="77777777" w:rsidR="00EB0778" w:rsidRPr="000F461B" w:rsidRDefault="00EB0778" w:rsidP="00EB077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461B">
              <w:rPr>
                <w:rFonts w:ascii="Times New Roman" w:hAnsi="Times New Roman" w:cs="Times New Roman"/>
              </w:rPr>
              <w:t>13.50</w:t>
            </w:r>
          </w:p>
        </w:tc>
        <w:tc>
          <w:tcPr>
            <w:tcW w:w="1008" w:type="dxa"/>
            <w:vAlign w:val="center"/>
          </w:tcPr>
          <w:p w14:paraId="41713E3A" w14:textId="77777777" w:rsidR="00EB0778" w:rsidRPr="000F461B" w:rsidRDefault="00EB0778" w:rsidP="00EB077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461B">
              <w:rPr>
                <w:rFonts w:ascii="Times New Roman" w:hAnsi="Times New Roman" w:cs="Times New Roman"/>
              </w:rPr>
              <w:t>0.71</w:t>
            </w:r>
          </w:p>
        </w:tc>
        <w:tc>
          <w:tcPr>
            <w:tcW w:w="1008" w:type="dxa"/>
            <w:vAlign w:val="center"/>
          </w:tcPr>
          <w:p w14:paraId="306CFEA1" w14:textId="77777777" w:rsidR="00EB0778" w:rsidRPr="000F461B" w:rsidRDefault="00EB0778" w:rsidP="00EB077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461B">
              <w:rPr>
                <w:rFonts w:ascii="Times New Roman" w:hAnsi="Times New Roman" w:cs="Times New Roman"/>
              </w:rPr>
              <w:t>9.75</w:t>
            </w:r>
          </w:p>
        </w:tc>
        <w:tc>
          <w:tcPr>
            <w:tcW w:w="1008" w:type="dxa"/>
            <w:vAlign w:val="center"/>
          </w:tcPr>
          <w:p w14:paraId="60712BDF" w14:textId="77777777" w:rsidR="00EB0778" w:rsidRPr="000F461B" w:rsidRDefault="00EB0778" w:rsidP="00EB077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461B">
              <w:rPr>
                <w:rFonts w:ascii="Times New Roman" w:hAnsi="Times New Roman" w:cs="Times New Roman"/>
              </w:rPr>
              <w:t>0.51</w:t>
            </w:r>
          </w:p>
        </w:tc>
        <w:tc>
          <w:tcPr>
            <w:tcW w:w="1008" w:type="dxa"/>
            <w:vAlign w:val="center"/>
          </w:tcPr>
          <w:p w14:paraId="70ACEB7E" w14:textId="77777777" w:rsidR="00EB0778" w:rsidRPr="000F461B" w:rsidRDefault="00EB0778" w:rsidP="00EB077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08" w:type="dxa"/>
            <w:vAlign w:val="center"/>
          </w:tcPr>
          <w:p w14:paraId="34D326AD" w14:textId="77777777" w:rsidR="00EB0778" w:rsidRPr="000F461B" w:rsidRDefault="00EB0778" w:rsidP="00EB077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B0778" w:rsidRPr="000F461B" w14:paraId="5F077B37" w14:textId="77777777" w:rsidTr="00475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70A5F38A" w14:textId="77777777" w:rsidR="00EB0778" w:rsidRPr="000F461B" w:rsidRDefault="00EB0778" w:rsidP="00EB0778">
            <w:pPr>
              <w:spacing w:before="60" w:after="60" w:line="360" w:lineRule="auto"/>
              <w:rPr>
                <w:rFonts w:ascii="Times New Roman" w:hAnsi="Times New Roman" w:cs="Times New Roman"/>
                <w:b w:val="0"/>
              </w:rPr>
            </w:pPr>
            <w:r w:rsidRPr="000F461B">
              <w:rPr>
                <w:rFonts w:ascii="Times New Roman" w:hAnsi="Times New Roman" w:cs="Times New Roman"/>
                <w:b w:val="0"/>
              </w:rPr>
              <w:t>SADBL</w:t>
            </w:r>
          </w:p>
        </w:tc>
        <w:tc>
          <w:tcPr>
            <w:tcW w:w="1008" w:type="dxa"/>
            <w:vAlign w:val="center"/>
          </w:tcPr>
          <w:p w14:paraId="297CD950" w14:textId="77777777" w:rsidR="00EB0778" w:rsidRPr="000F461B" w:rsidRDefault="00EB0778" w:rsidP="00EB077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461B">
              <w:rPr>
                <w:rFonts w:ascii="Times New Roman" w:hAnsi="Times New Roman" w:cs="Times New Roman"/>
              </w:rPr>
              <w:t>10.00</w:t>
            </w:r>
          </w:p>
        </w:tc>
        <w:tc>
          <w:tcPr>
            <w:tcW w:w="1008" w:type="dxa"/>
            <w:vAlign w:val="center"/>
          </w:tcPr>
          <w:p w14:paraId="35A9A65C" w14:textId="77777777" w:rsidR="00EB0778" w:rsidRPr="000F461B" w:rsidRDefault="00EB0778" w:rsidP="00EB077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461B">
              <w:rPr>
                <w:rFonts w:ascii="Times New Roman" w:hAnsi="Times New Roman" w:cs="Times New Roman"/>
              </w:rPr>
              <w:t>0.53</w:t>
            </w:r>
          </w:p>
        </w:tc>
        <w:tc>
          <w:tcPr>
            <w:tcW w:w="1008" w:type="dxa"/>
            <w:vAlign w:val="center"/>
          </w:tcPr>
          <w:p w14:paraId="485FD829" w14:textId="77777777" w:rsidR="00EB0778" w:rsidRPr="000F461B" w:rsidRDefault="00EB0778" w:rsidP="00EB077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461B">
              <w:rPr>
                <w:rFonts w:ascii="Times New Roman" w:hAnsi="Times New Roman" w:cs="Times New Roman"/>
              </w:rPr>
              <w:t>8.53</w:t>
            </w:r>
          </w:p>
        </w:tc>
        <w:tc>
          <w:tcPr>
            <w:tcW w:w="1008" w:type="dxa"/>
            <w:vAlign w:val="center"/>
          </w:tcPr>
          <w:p w14:paraId="1FF47457" w14:textId="77777777" w:rsidR="00EB0778" w:rsidRPr="000F461B" w:rsidRDefault="00EB0778" w:rsidP="00EB077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461B">
              <w:rPr>
                <w:rFonts w:ascii="Times New Roman" w:hAnsi="Times New Roman" w:cs="Times New Roman"/>
              </w:rPr>
              <w:t>0.45</w:t>
            </w:r>
          </w:p>
        </w:tc>
        <w:tc>
          <w:tcPr>
            <w:tcW w:w="1008" w:type="dxa"/>
            <w:vAlign w:val="center"/>
          </w:tcPr>
          <w:p w14:paraId="001FE01D" w14:textId="77777777" w:rsidR="00EB0778" w:rsidRPr="000F461B" w:rsidRDefault="00EB0778" w:rsidP="00EB077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461B">
              <w:rPr>
                <w:rFonts w:ascii="Times New Roman" w:hAnsi="Times New Roman" w:cs="Times New Roman"/>
              </w:rPr>
              <w:t>5.00</w:t>
            </w:r>
          </w:p>
        </w:tc>
        <w:tc>
          <w:tcPr>
            <w:tcW w:w="1008" w:type="dxa"/>
            <w:vAlign w:val="center"/>
          </w:tcPr>
          <w:p w14:paraId="61E555FB" w14:textId="77777777" w:rsidR="00EB0778" w:rsidRPr="000F461B" w:rsidRDefault="00EB0778" w:rsidP="00EB077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461B">
              <w:rPr>
                <w:rFonts w:ascii="Times New Roman" w:hAnsi="Times New Roman" w:cs="Times New Roman"/>
              </w:rPr>
              <w:t>0.26</w:t>
            </w:r>
          </w:p>
        </w:tc>
        <w:tc>
          <w:tcPr>
            <w:tcW w:w="1008" w:type="dxa"/>
            <w:vAlign w:val="center"/>
          </w:tcPr>
          <w:p w14:paraId="362066C9" w14:textId="77777777" w:rsidR="00EB0778" w:rsidRPr="000F461B" w:rsidRDefault="00EB0778" w:rsidP="00EB077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461B">
              <w:rPr>
                <w:rFonts w:ascii="Times New Roman" w:hAnsi="Times New Roman" w:cs="Times New Roman"/>
              </w:rPr>
              <w:t>3.65</w:t>
            </w:r>
          </w:p>
        </w:tc>
        <w:tc>
          <w:tcPr>
            <w:tcW w:w="1008" w:type="dxa"/>
            <w:vAlign w:val="center"/>
          </w:tcPr>
          <w:p w14:paraId="141404C3" w14:textId="77777777" w:rsidR="00EB0778" w:rsidRPr="000F461B" w:rsidRDefault="00EB0778" w:rsidP="00EB077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461B">
              <w:rPr>
                <w:rFonts w:ascii="Times New Roman" w:hAnsi="Times New Roman" w:cs="Times New Roman"/>
              </w:rPr>
              <w:t>0.19</w:t>
            </w:r>
          </w:p>
        </w:tc>
      </w:tr>
      <w:tr w:rsidR="00EB0778" w:rsidRPr="000F461B" w14:paraId="6245406B" w14:textId="77777777" w:rsidTr="00475C6D">
        <w:tc>
          <w:tcPr>
            <w:cnfStyle w:val="001000000000" w:firstRow="0" w:lastRow="0" w:firstColumn="1" w:lastColumn="0" w:oddVBand="0" w:evenVBand="0" w:oddHBand="0" w:evenHBand="0" w:firstRowFirstColumn="0" w:firstRowLastColumn="0" w:lastRowFirstColumn="0" w:lastRowLastColumn="0"/>
            <w:tcW w:w="1072" w:type="dxa"/>
          </w:tcPr>
          <w:p w14:paraId="3D0EC6AC" w14:textId="77777777" w:rsidR="00EB0778" w:rsidRPr="000F461B" w:rsidRDefault="00EB0778" w:rsidP="00EB0778">
            <w:pPr>
              <w:spacing w:before="60" w:after="60" w:line="360" w:lineRule="auto"/>
              <w:rPr>
                <w:rFonts w:ascii="Times New Roman" w:hAnsi="Times New Roman" w:cs="Times New Roman"/>
                <w:b w:val="0"/>
              </w:rPr>
            </w:pPr>
            <w:r w:rsidRPr="000F461B">
              <w:rPr>
                <w:rFonts w:ascii="Times New Roman" w:hAnsi="Times New Roman" w:cs="Times New Roman"/>
                <w:b w:val="0"/>
              </w:rPr>
              <w:t>SHINE</w:t>
            </w:r>
          </w:p>
        </w:tc>
        <w:tc>
          <w:tcPr>
            <w:tcW w:w="1008" w:type="dxa"/>
            <w:vAlign w:val="center"/>
          </w:tcPr>
          <w:p w14:paraId="7AE87837" w14:textId="77777777" w:rsidR="00EB0778" w:rsidRPr="000F461B" w:rsidRDefault="00EB0778" w:rsidP="00EB077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461B">
              <w:rPr>
                <w:rFonts w:ascii="Times New Roman" w:hAnsi="Times New Roman" w:cs="Times New Roman"/>
              </w:rPr>
              <w:t>10.93</w:t>
            </w:r>
          </w:p>
        </w:tc>
        <w:tc>
          <w:tcPr>
            <w:tcW w:w="1008" w:type="dxa"/>
            <w:vAlign w:val="center"/>
          </w:tcPr>
          <w:p w14:paraId="4358DDFA" w14:textId="77777777" w:rsidR="00EB0778" w:rsidRPr="000F461B" w:rsidRDefault="00EB0778" w:rsidP="00EB077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461B">
              <w:rPr>
                <w:rFonts w:ascii="Times New Roman" w:hAnsi="Times New Roman" w:cs="Times New Roman"/>
              </w:rPr>
              <w:t>0.57</w:t>
            </w:r>
          </w:p>
        </w:tc>
        <w:tc>
          <w:tcPr>
            <w:tcW w:w="1008" w:type="dxa"/>
            <w:vAlign w:val="center"/>
          </w:tcPr>
          <w:p w14:paraId="43488D5F" w14:textId="77777777" w:rsidR="00EB0778" w:rsidRPr="000F461B" w:rsidRDefault="00EB0778" w:rsidP="00EB077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461B">
              <w:rPr>
                <w:rFonts w:ascii="Times New Roman" w:hAnsi="Times New Roman" w:cs="Times New Roman"/>
              </w:rPr>
              <w:t>13.30</w:t>
            </w:r>
          </w:p>
        </w:tc>
        <w:tc>
          <w:tcPr>
            <w:tcW w:w="1008" w:type="dxa"/>
            <w:vAlign w:val="center"/>
          </w:tcPr>
          <w:p w14:paraId="51644F46" w14:textId="77777777" w:rsidR="00EB0778" w:rsidRPr="000F461B" w:rsidRDefault="00EB0778" w:rsidP="00EB077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461B">
              <w:rPr>
                <w:rFonts w:ascii="Times New Roman" w:hAnsi="Times New Roman" w:cs="Times New Roman"/>
              </w:rPr>
              <w:t>0.70</w:t>
            </w:r>
          </w:p>
        </w:tc>
        <w:tc>
          <w:tcPr>
            <w:tcW w:w="1008" w:type="dxa"/>
            <w:vAlign w:val="center"/>
          </w:tcPr>
          <w:p w14:paraId="10422180" w14:textId="77777777" w:rsidR="00EB0778" w:rsidRPr="000F461B" w:rsidRDefault="00EB0778" w:rsidP="00EB077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461B">
              <w:rPr>
                <w:rFonts w:ascii="Times New Roman" w:hAnsi="Times New Roman" w:cs="Times New Roman"/>
              </w:rPr>
              <w:t>10.50</w:t>
            </w:r>
          </w:p>
        </w:tc>
        <w:tc>
          <w:tcPr>
            <w:tcW w:w="1008" w:type="dxa"/>
            <w:vAlign w:val="center"/>
          </w:tcPr>
          <w:p w14:paraId="540BE2A5" w14:textId="77777777" w:rsidR="00EB0778" w:rsidRPr="000F461B" w:rsidRDefault="00EB0778" w:rsidP="00EB077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461B">
              <w:rPr>
                <w:rFonts w:ascii="Times New Roman" w:hAnsi="Times New Roman" w:cs="Times New Roman"/>
              </w:rPr>
              <w:t>0.55</w:t>
            </w:r>
          </w:p>
        </w:tc>
        <w:tc>
          <w:tcPr>
            <w:tcW w:w="1008" w:type="dxa"/>
            <w:vAlign w:val="center"/>
          </w:tcPr>
          <w:p w14:paraId="6702C827" w14:textId="77777777" w:rsidR="00EB0778" w:rsidRPr="000F461B" w:rsidRDefault="00EB0778" w:rsidP="00EB077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461B">
              <w:rPr>
                <w:rFonts w:ascii="Times New Roman" w:hAnsi="Times New Roman" w:cs="Times New Roman"/>
              </w:rPr>
              <w:t>3.00</w:t>
            </w:r>
          </w:p>
        </w:tc>
        <w:tc>
          <w:tcPr>
            <w:tcW w:w="1008" w:type="dxa"/>
            <w:vAlign w:val="center"/>
          </w:tcPr>
          <w:p w14:paraId="70C575CD" w14:textId="77777777" w:rsidR="00EB0778" w:rsidRPr="000F461B" w:rsidRDefault="00EB0778" w:rsidP="00EB077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461B">
              <w:rPr>
                <w:rFonts w:ascii="Times New Roman" w:hAnsi="Times New Roman" w:cs="Times New Roman"/>
              </w:rPr>
              <w:t>5.00</w:t>
            </w:r>
          </w:p>
        </w:tc>
      </w:tr>
    </w:tbl>
    <w:p w14:paraId="15C527F5" w14:textId="77777777" w:rsidR="00EB0778" w:rsidRPr="000F461B" w:rsidRDefault="00EB0778" w:rsidP="00EB0778">
      <w:pPr>
        <w:pStyle w:val="Heading2"/>
        <w:spacing w:line="360" w:lineRule="auto"/>
        <w:rPr>
          <w:rFonts w:cs="Times New Roman"/>
          <w:highlight w:val="yellow"/>
        </w:rPr>
      </w:pPr>
    </w:p>
    <w:p w14:paraId="479AA8BC" w14:textId="77777777" w:rsidR="00EB0778" w:rsidRPr="000F461B" w:rsidRDefault="00EB0778" w:rsidP="00EB0778">
      <w:pPr>
        <w:pStyle w:val="Heading2"/>
        <w:spacing w:line="360" w:lineRule="auto"/>
        <w:rPr>
          <w:rFonts w:cs="Times New Roman"/>
        </w:rPr>
      </w:pPr>
      <w:bookmarkStart w:id="6" w:name="_Toc204782570"/>
      <w:r w:rsidRPr="000F461B">
        <w:rPr>
          <w:rFonts w:cs="Times New Roman"/>
        </w:rPr>
        <w:t>Dividend announcement as till date as of 02- 10-2025</w:t>
      </w:r>
      <w:bookmarkEnd w:id="6"/>
    </w:p>
    <w:tbl>
      <w:tblPr>
        <w:tblStyle w:val="PlainTable1"/>
        <w:tblW w:w="8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
        <w:gridCol w:w="1200"/>
        <w:gridCol w:w="1075"/>
        <w:gridCol w:w="1082"/>
        <w:gridCol w:w="1983"/>
        <w:gridCol w:w="2087"/>
      </w:tblGrid>
      <w:tr w:rsidR="00EB0778" w:rsidRPr="000F461B" w14:paraId="38FBFEBC" w14:textId="77777777" w:rsidTr="00475C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vAlign w:val="center"/>
            <w:hideMark/>
          </w:tcPr>
          <w:p w14:paraId="1348201F" w14:textId="77777777" w:rsidR="00EB0778" w:rsidRPr="000F461B" w:rsidRDefault="00EB0778" w:rsidP="00EB0778">
            <w:pPr>
              <w:spacing w:before="60" w:after="60" w:line="360" w:lineRule="auto"/>
              <w:jc w:val="center"/>
              <w:rPr>
                <w:rFonts w:ascii="Times New Roman" w:hAnsi="Times New Roman" w:cs="Times New Roman"/>
                <w:b w:val="0"/>
                <w:bCs w:val="0"/>
                <w:sz w:val="20"/>
                <w:szCs w:val="20"/>
              </w:rPr>
            </w:pPr>
            <w:r w:rsidRPr="000F461B">
              <w:rPr>
                <w:rFonts w:ascii="Times New Roman" w:hAnsi="Times New Roman" w:cs="Times New Roman"/>
                <w:b w:val="0"/>
                <w:bCs w:val="0"/>
                <w:sz w:val="20"/>
                <w:szCs w:val="20"/>
              </w:rPr>
              <w:t>Symbol</w:t>
            </w:r>
          </w:p>
        </w:tc>
        <w:tc>
          <w:tcPr>
            <w:tcW w:w="1200" w:type="dxa"/>
            <w:vAlign w:val="center"/>
            <w:hideMark/>
          </w:tcPr>
          <w:p w14:paraId="51050759" w14:textId="77777777" w:rsidR="00EB0778" w:rsidRPr="000F461B" w:rsidRDefault="00EB0778" w:rsidP="00EB0778">
            <w:pPr>
              <w:spacing w:before="60" w:after="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0F461B">
              <w:rPr>
                <w:rFonts w:ascii="Times New Roman" w:hAnsi="Times New Roman" w:cs="Times New Roman"/>
                <w:b w:val="0"/>
                <w:bCs w:val="0"/>
                <w:sz w:val="20"/>
                <w:szCs w:val="20"/>
              </w:rPr>
              <w:t>Bonus (%)</w:t>
            </w:r>
          </w:p>
        </w:tc>
        <w:tc>
          <w:tcPr>
            <w:tcW w:w="1075" w:type="dxa"/>
            <w:vAlign w:val="center"/>
            <w:hideMark/>
          </w:tcPr>
          <w:p w14:paraId="48F7C31D" w14:textId="77777777" w:rsidR="00EB0778" w:rsidRPr="000F461B" w:rsidRDefault="00EB0778" w:rsidP="00EB0778">
            <w:pPr>
              <w:spacing w:before="60" w:after="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0F461B">
              <w:rPr>
                <w:rFonts w:ascii="Times New Roman" w:hAnsi="Times New Roman" w:cs="Times New Roman"/>
                <w:b w:val="0"/>
                <w:bCs w:val="0"/>
                <w:sz w:val="20"/>
                <w:szCs w:val="20"/>
              </w:rPr>
              <w:t>Cash (%)</w:t>
            </w:r>
          </w:p>
        </w:tc>
        <w:tc>
          <w:tcPr>
            <w:tcW w:w="1082" w:type="dxa"/>
            <w:vAlign w:val="center"/>
            <w:hideMark/>
          </w:tcPr>
          <w:p w14:paraId="64050AF2" w14:textId="77777777" w:rsidR="00EB0778" w:rsidRPr="000F461B" w:rsidRDefault="00EB0778" w:rsidP="00EB0778">
            <w:pPr>
              <w:spacing w:before="60" w:after="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0F461B">
              <w:rPr>
                <w:rFonts w:ascii="Times New Roman" w:hAnsi="Times New Roman" w:cs="Times New Roman"/>
                <w:b w:val="0"/>
                <w:bCs w:val="0"/>
                <w:sz w:val="20"/>
                <w:szCs w:val="20"/>
              </w:rPr>
              <w:t>Total (%)</w:t>
            </w:r>
          </w:p>
        </w:tc>
        <w:tc>
          <w:tcPr>
            <w:tcW w:w="1983" w:type="dxa"/>
            <w:vAlign w:val="center"/>
            <w:hideMark/>
          </w:tcPr>
          <w:p w14:paraId="3081D6D5" w14:textId="77777777" w:rsidR="00EB0778" w:rsidRPr="000F461B" w:rsidRDefault="00EB0778" w:rsidP="00EB0778">
            <w:pPr>
              <w:spacing w:before="60" w:after="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0F461B">
              <w:rPr>
                <w:rFonts w:ascii="Times New Roman" w:hAnsi="Times New Roman" w:cs="Times New Roman"/>
                <w:b w:val="0"/>
                <w:bCs w:val="0"/>
                <w:sz w:val="20"/>
                <w:szCs w:val="20"/>
              </w:rPr>
              <w:t>Announcement Date</w:t>
            </w:r>
          </w:p>
        </w:tc>
        <w:tc>
          <w:tcPr>
            <w:tcW w:w="2087" w:type="dxa"/>
            <w:vAlign w:val="center"/>
            <w:hideMark/>
          </w:tcPr>
          <w:p w14:paraId="001B78F5" w14:textId="77777777" w:rsidR="00EB0778" w:rsidRPr="000F461B" w:rsidRDefault="00EB0778" w:rsidP="00EB0778">
            <w:pPr>
              <w:spacing w:before="60" w:after="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0F461B">
              <w:rPr>
                <w:rFonts w:ascii="Times New Roman" w:hAnsi="Times New Roman" w:cs="Times New Roman"/>
                <w:b w:val="0"/>
                <w:bCs w:val="0"/>
                <w:sz w:val="20"/>
                <w:szCs w:val="20"/>
              </w:rPr>
              <w:t>Book Closure Date</w:t>
            </w:r>
          </w:p>
        </w:tc>
      </w:tr>
      <w:tr w:rsidR="00EB0778" w:rsidRPr="000F461B" w14:paraId="62F4DACF" w14:textId="77777777" w:rsidTr="00475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66840D3" w14:textId="77777777" w:rsidR="00EB0778" w:rsidRPr="000F461B" w:rsidRDefault="00B50617" w:rsidP="00EB0778">
            <w:pPr>
              <w:spacing w:before="60" w:after="60" w:line="360" w:lineRule="auto"/>
              <w:rPr>
                <w:rFonts w:ascii="Times New Roman" w:hAnsi="Times New Roman" w:cs="Times New Roman"/>
                <w:b w:val="0"/>
                <w:bCs w:val="0"/>
                <w:sz w:val="20"/>
                <w:szCs w:val="20"/>
              </w:rPr>
            </w:pPr>
            <w:hyperlink r:id="rId11" w:history="1">
              <w:r w:rsidR="00EB0778" w:rsidRPr="000F461B">
                <w:rPr>
                  <w:rStyle w:val="Hyperlink"/>
                  <w:rFonts w:ascii="Times New Roman" w:hAnsi="Times New Roman" w:cs="Times New Roman"/>
                  <w:b w:val="0"/>
                  <w:bCs w:val="0"/>
                  <w:sz w:val="20"/>
                  <w:szCs w:val="20"/>
                </w:rPr>
                <w:t>GBBL</w:t>
              </w:r>
            </w:hyperlink>
          </w:p>
        </w:tc>
        <w:tc>
          <w:tcPr>
            <w:tcW w:w="1200" w:type="dxa"/>
            <w:vAlign w:val="center"/>
            <w:hideMark/>
          </w:tcPr>
          <w:p w14:paraId="588BAE4D" w14:textId="77777777" w:rsidR="00EB0778" w:rsidRPr="000F461B" w:rsidRDefault="00EB0778" w:rsidP="00EB077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p>
        </w:tc>
        <w:tc>
          <w:tcPr>
            <w:tcW w:w="0" w:type="auto"/>
            <w:vAlign w:val="center"/>
            <w:hideMark/>
          </w:tcPr>
          <w:p w14:paraId="01AA9D0A" w14:textId="77777777" w:rsidR="00EB0778" w:rsidRPr="000F461B" w:rsidRDefault="00EB0778" w:rsidP="00EB077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F461B">
              <w:rPr>
                <w:rFonts w:ascii="Times New Roman" w:hAnsi="Times New Roman" w:cs="Times New Roman"/>
                <w:sz w:val="20"/>
                <w:szCs w:val="20"/>
              </w:rPr>
              <w:t>5.00</w:t>
            </w:r>
          </w:p>
        </w:tc>
        <w:tc>
          <w:tcPr>
            <w:tcW w:w="0" w:type="auto"/>
            <w:vAlign w:val="center"/>
            <w:hideMark/>
          </w:tcPr>
          <w:p w14:paraId="09572CAD" w14:textId="77777777" w:rsidR="00EB0778" w:rsidRPr="000F461B" w:rsidRDefault="00EB0778" w:rsidP="00EB077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F461B">
              <w:rPr>
                <w:rFonts w:ascii="Times New Roman" w:hAnsi="Times New Roman" w:cs="Times New Roman"/>
                <w:sz w:val="20"/>
                <w:szCs w:val="20"/>
              </w:rPr>
              <w:t>5.00</w:t>
            </w:r>
          </w:p>
        </w:tc>
        <w:tc>
          <w:tcPr>
            <w:tcW w:w="1983" w:type="dxa"/>
            <w:vAlign w:val="center"/>
            <w:hideMark/>
          </w:tcPr>
          <w:p w14:paraId="7059AA7C" w14:textId="77777777" w:rsidR="00EB0778" w:rsidRPr="000F461B" w:rsidRDefault="00EB0778" w:rsidP="00EB077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F461B">
              <w:rPr>
                <w:rFonts w:ascii="Times New Roman" w:hAnsi="Times New Roman" w:cs="Times New Roman"/>
                <w:sz w:val="20"/>
                <w:szCs w:val="20"/>
              </w:rPr>
              <w:t>2024-12-20</w:t>
            </w:r>
          </w:p>
        </w:tc>
        <w:tc>
          <w:tcPr>
            <w:tcW w:w="0" w:type="auto"/>
            <w:vAlign w:val="center"/>
            <w:hideMark/>
          </w:tcPr>
          <w:p w14:paraId="3AEE4C60" w14:textId="77777777" w:rsidR="00EB0778" w:rsidRPr="000F461B" w:rsidRDefault="00EB0778" w:rsidP="00EB077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F461B">
              <w:rPr>
                <w:rFonts w:ascii="Times New Roman" w:hAnsi="Times New Roman" w:cs="Times New Roman"/>
                <w:sz w:val="20"/>
                <w:szCs w:val="20"/>
              </w:rPr>
              <w:t>2025-01-02 [Closed]</w:t>
            </w:r>
          </w:p>
        </w:tc>
      </w:tr>
      <w:tr w:rsidR="00EB0778" w:rsidRPr="000F461B" w14:paraId="671D5756" w14:textId="77777777" w:rsidTr="00475C6D">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67B3287" w14:textId="77777777" w:rsidR="00EB0778" w:rsidRPr="000F461B" w:rsidRDefault="00B50617" w:rsidP="00EB0778">
            <w:pPr>
              <w:spacing w:before="60" w:after="60" w:line="360" w:lineRule="auto"/>
              <w:rPr>
                <w:rFonts w:ascii="Times New Roman" w:hAnsi="Times New Roman" w:cs="Times New Roman"/>
                <w:b w:val="0"/>
                <w:bCs w:val="0"/>
                <w:sz w:val="20"/>
                <w:szCs w:val="20"/>
              </w:rPr>
            </w:pPr>
            <w:hyperlink r:id="rId12" w:history="1">
              <w:r w:rsidR="00EB0778" w:rsidRPr="000F461B">
                <w:rPr>
                  <w:rStyle w:val="Hyperlink"/>
                  <w:rFonts w:ascii="Times New Roman" w:hAnsi="Times New Roman" w:cs="Times New Roman"/>
                  <w:b w:val="0"/>
                  <w:bCs w:val="0"/>
                  <w:sz w:val="20"/>
                  <w:szCs w:val="20"/>
                </w:rPr>
                <w:t>LBBL</w:t>
              </w:r>
            </w:hyperlink>
          </w:p>
        </w:tc>
        <w:tc>
          <w:tcPr>
            <w:tcW w:w="1200" w:type="dxa"/>
            <w:vAlign w:val="center"/>
            <w:hideMark/>
          </w:tcPr>
          <w:p w14:paraId="1F4E6480" w14:textId="77777777" w:rsidR="00EB0778" w:rsidRPr="000F461B" w:rsidRDefault="00EB0778" w:rsidP="00EB077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F461B">
              <w:rPr>
                <w:rFonts w:ascii="Times New Roman" w:hAnsi="Times New Roman" w:cs="Times New Roman"/>
                <w:sz w:val="20"/>
                <w:szCs w:val="20"/>
              </w:rPr>
              <w:t>3.00</w:t>
            </w:r>
          </w:p>
        </w:tc>
        <w:tc>
          <w:tcPr>
            <w:tcW w:w="0" w:type="auto"/>
            <w:vAlign w:val="center"/>
            <w:hideMark/>
          </w:tcPr>
          <w:p w14:paraId="1D7234DB" w14:textId="77777777" w:rsidR="00EB0778" w:rsidRPr="000F461B" w:rsidRDefault="00EB0778" w:rsidP="00EB077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F461B">
              <w:rPr>
                <w:rFonts w:ascii="Times New Roman" w:hAnsi="Times New Roman" w:cs="Times New Roman"/>
                <w:sz w:val="20"/>
                <w:szCs w:val="20"/>
              </w:rPr>
              <w:t>4.00</w:t>
            </w:r>
          </w:p>
        </w:tc>
        <w:tc>
          <w:tcPr>
            <w:tcW w:w="0" w:type="auto"/>
            <w:vAlign w:val="center"/>
            <w:hideMark/>
          </w:tcPr>
          <w:p w14:paraId="41626B6F" w14:textId="77777777" w:rsidR="00EB0778" w:rsidRPr="000F461B" w:rsidRDefault="00EB0778" w:rsidP="00EB077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F461B">
              <w:rPr>
                <w:rFonts w:ascii="Times New Roman" w:hAnsi="Times New Roman" w:cs="Times New Roman"/>
                <w:sz w:val="20"/>
                <w:szCs w:val="20"/>
              </w:rPr>
              <w:t>7.00</w:t>
            </w:r>
          </w:p>
        </w:tc>
        <w:tc>
          <w:tcPr>
            <w:tcW w:w="1983" w:type="dxa"/>
            <w:vAlign w:val="center"/>
            <w:hideMark/>
          </w:tcPr>
          <w:p w14:paraId="77C04BCD" w14:textId="77777777" w:rsidR="00EB0778" w:rsidRPr="000F461B" w:rsidRDefault="00EB0778" w:rsidP="00EB077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F461B">
              <w:rPr>
                <w:rFonts w:ascii="Times New Roman" w:hAnsi="Times New Roman" w:cs="Times New Roman"/>
                <w:sz w:val="20"/>
                <w:szCs w:val="20"/>
              </w:rPr>
              <w:t>2024-12-20</w:t>
            </w:r>
          </w:p>
        </w:tc>
        <w:tc>
          <w:tcPr>
            <w:tcW w:w="0" w:type="auto"/>
            <w:vAlign w:val="center"/>
            <w:hideMark/>
          </w:tcPr>
          <w:p w14:paraId="2728E671" w14:textId="77777777" w:rsidR="00EB0778" w:rsidRPr="000F461B" w:rsidRDefault="00EB0778" w:rsidP="00EB077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F461B">
              <w:rPr>
                <w:rFonts w:ascii="Times New Roman" w:hAnsi="Times New Roman" w:cs="Times New Roman"/>
                <w:sz w:val="20"/>
                <w:szCs w:val="20"/>
              </w:rPr>
              <w:t>2025-01-03 [Closed]</w:t>
            </w:r>
          </w:p>
        </w:tc>
      </w:tr>
      <w:tr w:rsidR="00EB0778" w:rsidRPr="000F461B" w14:paraId="1C2A6EF7" w14:textId="77777777" w:rsidTr="00475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BAC79B9" w14:textId="77777777" w:rsidR="00EB0778" w:rsidRPr="000F461B" w:rsidRDefault="00B50617" w:rsidP="00EB0778">
            <w:pPr>
              <w:spacing w:before="60" w:after="60" w:line="360" w:lineRule="auto"/>
              <w:rPr>
                <w:rFonts w:ascii="Times New Roman" w:hAnsi="Times New Roman" w:cs="Times New Roman"/>
                <w:b w:val="0"/>
                <w:bCs w:val="0"/>
                <w:sz w:val="20"/>
                <w:szCs w:val="20"/>
              </w:rPr>
            </w:pPr>
            <w:hyperlink r:id="rId13" w:history="1">
              <w:r w:rsidR="00EB0778" w:rsidRPr="000F461B">
                <w:rPr>
                  <w:rStyle w:val="Hyperlink"/>
                  <w:rFonts w:ascii="Times New Roman" w:hAnsi="Times New Roman" w:cs="Times New Roman"/>
                  <w:b w:val="0"/>
                  <w:bCs w:val="0"/>
                  <w:sz w:val="20"/>
                  <w:szCs w:val="20"/>
                </w:rPr>
                <w:t>SADBL</w:t>
              </w:r>
            </w:hyperlink>
          </w:p>
        </w:tc>
        <w:tc>
          <w:tcPr>
            <w:tcW w:w="1200" w:type="dxa"/>
            <w:vAlign w:val="center"/>
            <w:hideMark/>
          </w:tcPr>
          <w:p w14:paraId="52C6953C" w14:textId="77777777" w:rsidR="00EB0778" w:rsidRPr="000F461B" w:rsidRDefault="00EB0778" w:rsidP="00EB077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F461B">
              <w:rPr>
                <w:rFonts w:ascii="Times New Roman" w:hAnsi="Times New Roman" w:cs="Times New Roman"/>
                <w:sz w:val="20"/>
                <w:szCs w:val="20"/>
              </w:rPr>
              <w:t>3.65</w:t>
            </w:r>
          </w:p>
        </w:tc>
        <w:tc>
          <w:tcPr>
            <w:tcW w:w="0" w:type="auto"/>
            <w:vAlign w:val="center"/>
            <w:hideMark/>
          </w:tcPr>
          <w:p w14:paraId="2757EF59" w14:textId="77777777" w:rsidR="00EB0778" w:rsidRPr="000F461B" w:rsidRDefault="00EB0778" w:rsidP="00EB077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F461B">
              <w:rPr>
                <w:rFonts w:ascii="Times New Roman" w:hAnsi="Times New Roman" w:cs="Times New Roman"/>
                <w:sz w:val="20"/>
                <w:szCs w:val="20"/>
              </w:rPr>
              <w:t>0.19</w:t>
            </w:r>
          </w:p>
        </w:tc>
        <w:tc>
          <w:tcPr>
            <w:tcW w:w="0" w:type="auto"/>
            <w:vAlign w:val="center"/>
            <w:hideMark/>
          </w:tcPr>
          <w:p w14:paraId="7385E6EC" w14:textId="77777777" w:rsidR="00EB0778" w:rsidRPr="000F461B" w:rsidRDefault="00EB0778" w:rsidP="00EB077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F461B">
              <w:rPr>
                <w:rFonts w:ascii="Times New Roman" w:hAnsi="Times New Roman" w:cs="Times New Roman"/>
                <w:sz w:val="20"/>
                <w:szCs w:val="20"/>
              </w:rPr>
              <w:t>3.84</w:t>
            </w:r>
          </w:p>
        </w:tc>
        <w:tc>
          <w:tcPr>
            <w:tcW w:w="1983" w:type="dxa"/>
            <w:vAlign w:val="center"/>
            <w:hideMark/>
          </w:tcPr>
          <w:p w14:paraId="72F8D169" w14:textId="77777777" w:rsidR="00EB0778" w:rsidRPr="000F461B" w:rsidRDefault="00EB0778" w:rsidP="00EB077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F461B">
              <w:rPr>
                <w:rFonts w:ascii="Times New Roman" w:hAnsi="Times New Roman" w:cs="Times New Roman"/>
                <w:sz w:val="20"/>
                <w:szCs w:val="20"/>
              </w:rPr>
              <w:t>2024-12-18</w:t>
            </w:r>
          </w:p>
        </w:tc>
        <w:tc>
          <w:tcPr>
            <w:tcW w:w="0" w:type="auto"/>
            <w:vAlign w:val="center"/>
            <w:hideMark/>
          </w:tcPr>
          <w:p w14:paraId="4E8695B7" w14:textId="77777777" w:rsidR="00EB0778" w:rsidRPr="000F461B" w:rsidRDefault="00EB0778" w:rsidP="00EB077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F461B">
              <w:rPr>
                <w:rFonts w:ascii="Times New Roman" w:hAnsi="Times New Roman" w:cs="Times New Roman"/>
                <w:sz w:val="20"/>
                <w:szCs w:val="20"/>
              </w:rPr>
              <w:t>2025-01-01 [Closed]</w:t>
            </w:r>
          </w:p>
        </w:tc>
      </w:tr>
      <w:tr w:rsidR="00EB0778" w:rsidRPr="000F461B" w14:paraId="728BDB5C" w14:textId="77777777" w:rsidTr="00475C6D">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2EFB946" w14:textId="77777777" w:rsidR="00EB0778" w:rsidRPr="000F461B" w:rsidRDefault="00B50617" w:rsidP="00EB0778">
            <w:pPr>
              <w:spacing w:before="60" w:after="60" w:line="360" w:lineRule="auto"/>
              <w:rPr>
                <w:rFonts w:ascii="Times New Roman" w:hAnsi="Times New Roman" w:cs="Times New Roman"/>
                <w:b w:val="0"/>
                <w:bCs w:val="0"/>
                <w:sz w:val="20"/>
                <w:szCs w:val="20"/>
              </w:rPr>
            </w:pPr>
            <w:hyperlink r:id="rId14" w:history="1">
              <w:r w:rsidR="00EB0778" w:rsidRPr="000F461B">
                <w:rPr>
                  <w:rStyle w:val="Hyperlink"/>
                  <w:rFonts w:ascii="Times New Roman" w:hAnsi="Times New Roman" w:cs="Times New Roman"/>
                  <w:b w:val="0"/>
                  <w:bCs w:val="0"/>
                  <w:sz w:val="20"/>
                  <w:szCs w:val="20"/>
                </w:rPr>
                <w:t>MLBL</w:t>
              </w:r>
            </w:hyperlink>
          </w:p>
        </w:tc>
        <w:tc>
          <w:tcPr>
            <w:tcW w:w="1200" w:type="dxa"/>
            <w:vAlign w:val="center"/>
            <w:hideMark/>
          </w:tcPr>
          <w:p w14:paraId="61A3671A" w14:textId="77777777" w:rsidR="00EB0778" w:rsidRPr="000F461B" w:rsidRDefault="00EB0778" w:rsidP="00EB077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F461B">
              <w:rPr>
                <w:rFonts w:ascii="Times New Roman" w:hAnsi="Times New Roman" w:cs="Times New Roman"/>
                <w:sz w:val="20"/>
                <w:szCs w:val="20"/>
              </w:rPr>
              <w:t>3.00</w:t>
            </w:r>
          </w:p>
        </w:tc>
        <w:tc>
          <w:tcPr>
            <w:tcW w:w="0" w:type="auto"/>
            <w:vAlign w:val="center"/>
            <w:hideMark/>
          </w:tcPr>
          <w:p w14:paraId="54B744E2" w14:textId="77777777" w:rsidR="00EB0778" w:rsidRPr="000F461B" w:rsidRDefault="00EB0778" w:rsidP="00EB077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F461B">
              <w:rPr>
                <w:rFonts w:ascii="Times New Roman" w:hAnsi="Times New Roman" w:cs="Times New Roman"/>
                <w:sz w:val="20"/>
                <w:szCs w:val="20"/>
              </w:rPr>
              <w:t>4.00</w:t>
            </w:r>
          </w:p>
        </w:tc>
        <w:tc>
          <w:tcPr>
            <w:tcW w:w="0" w:type="auto"/>
            <w:vAlign w:val="center"/>
            <w:hideMark/>
          </w:tcPr>
          <w:p w14:paraId="15DA7649" w14:textId="77777777" w:rsidR="00EB0778" w:rsidRPr="000F461B" w:rsidRDefault="00EB0778" w:rsidP="00EB077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F461B">
              <w:rPr>
                <w:rFonts w:ascii="Times New Roman" w:hAnsi="Times New Roman" w:cs="Times New Roman"/>
                <w:sz w:val="20"/>
                <w:szCs w:val="20"/>
              </w:rPr>
              <w:t>7.00</w:t>
            </w:r>
          </w:p>
        </w:tc>
        <w:tc>
          <w:tcPr>
            <w:tcW w:w="1983" w:type="dxa"/>
            <w:vAlign w:val="center"/>
            <w:hideMark/>
          </w:tcPr>
          <w:p w14:paraId="78F87C5F" w14:textId="77777777" w:rsidR="00EB0778" w:rsidRPr="000F461B" w:rsidRDefault="00EB0778" w:rsidP="00EB077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F461B">
              <w:rPr>
                <w:rFonts w:ascii="Times New Roman" w:hAnsi="Times New Roman" w:cs="Times New Roman"/>
                <w:sz w:val="20"/>
                <w:szCs w:val="20"/>
              </w:rPr>
              <w:t>2024-12-16</w:t>
            </w:r>
          </w:p>
        </w:tc>
        <w:tc>
          <w:tcPr>
            <w:tcW w:w="0" w:type="auto"/>
            <w:vAlign w:val="center"/>
            <w:hideMark/>
          </w:tcPr>
          <w:p w14:paraId="6FC84F01" w14:textId="77777777" w:rsidR="00EB0778" w:rsidRPr="000F461B" w:rsidRDefault="00EB0778" w:rsidP="00EB077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F461B">
              <w:rPr>
                <w:rFonts w:ascii="Times New Roman" w:hAnsi="Times New Roman" w:cs="Times New Roman"/>
                <w:sz w:val="20"/>
                <w:szCs w:val="20"/>
              </w:rPr>
              <w:t>2024-12-31 [Closed]</w:t>
            </w:r>
          </w:p>
        </w:tc>
      </w:tr>
      <w:tr w:rsidR="00EB0778" w:rsidRPr="000F461B" w14:paraId="3CA0D5E3" w14:textId="77777777" w:rsidTr="00475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A6B5E51" w14:textId="77777777" w:rsidR="00EB0778" w:rsidRPr="000F461B" w:rsidRDefault="00B50617" w:rsidP="00EB0778">
            <w:pPr>
              <w:spacing w:before="60" w:after="60" w:line="360" w:lineRule="auto"/>
              <w:rPr>
                <w:rFonts w:ascii="Times New Roman" w:hAnsi="Times New Roman" w:cs="Times New Roman"/>
                <w:b w:val="0"/>
                <w:bCs w:val="0"/>
                <w:sz w:val="20"/>
                <w:szCs w:val="20"/>
              </w:rPr>
            </w:pPr>
            <w:hyperlink r:id="rId15" w:history="1">
              <w:r w:rsidR="00EB0778" w:rsidRPr="000F461B">
                <w:rPr>
                  <w:rStyle w:val="Hyperlink"/>
                  <w:rFonts w:ascii="Times New Roman" w:hAnsi="Times New Roman" w:cs="Times New Roman"/>
                  <w:b w:val="0"/>
                  <w:bCs w:val="0"/>
                  <w:sz w:val="20"/>
                  <w:szCs w:val="20"/>
                </w:rPr>
                <w:t>SHINE</w:t>
              </w:r>
            </w:hyperlink>
          </w:p>
        </w:tc>
        <w:tc>
          <w:tcPr>
            <w:tcW w:w="1200" w:type="dxa"/>
            <w:vAlign w:val="center"/>
            <w:hideMark/>
          </w:tcPr>
          <w:p w14:paraId="040E3A0C" w14:textId="77777777" w:rsidR="00EB0778" w:rsidRPr="000F461B" w:rsidRDefault="00EB0778" w:rsidP="00EB077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F461B">
              <w:rPr>
                <w:rFonts w:ascii="Times New Roman" w:hAnsi="Times New Roman" w:cs="Times New Roman"/>
                <w:sz w:val="20"/>
                <w:szCs w:val="20"/>
              </w:rPr>
              <w:t>3.00</w:t>
            </w:r>
          </w:p>
        </w:tc>
        <w:tc>
          <w:tcPr>
            <w:tcW w:w="0" w:type="auto"/>
            <w:vAlign w:val="center"/>
            <w:hideMark/>
          </w:tcPr>
          <w:p w14:paraId="30D59223" w14:textId="77777777" w:rsidR="00EB0778" w:rsidRPr="000F461B" w:rsidRDefault="00EB0778" w:rsidP="00EB077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F461B">
              <w:rPr>
                <w:rFonts w:ascii="Times New Roman" w:hAnsi="Times New Roman" w:cs="Times New Roman"/>
                <w:sz w:val="20"/>
                <w:szCs w:val="20"/>
              </w:rPr>
              <w:t>5.00</w:t>
            </w:r>
          </w:p>
        </w:tc>
        <w:tc>
          <w:tcPr>
            <w:tcW w:w="0" w:type="auto"/>
            <w:vAlign w:val="center"/>
            <w:hideMark/>
          </w:tcPr>
          <w:p w14:paraId="0C540FE6" w14:textId="77777777" w:rsidR="00EB0778" w:rsidRPr="000F461B" w:rsidRDefault="00EB0778" w:rsidP="00EB077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F461B">
              <w:rPr>
                <w:rFonts w:ascii="Times New Roman" w:hAnsi="Times New Roman" w:cs="Times New Roman"/>
                <w:sz w:val="20"/>
                <w:szCs w:val="20"/>
              </w:rPr>
              <w:t>8.00</w:t>
            </w:r>
          </w:p>
        </w:tc>
        <w:tc>
          <w:tcPr>
            <w:tcW w:w="1983" w:type="dxa"/>
            <w:vAlign w:val="center"/>
            <w:hideMark/>
          </w:tcPr>
          <w:p w14:paraId="0FF2B377" w14:textId="77777777" w:rsidR="00EB0778" w:rsidRPr="000F461B" w:rsidRDefault="00EB0778" w:rsidP="00EB077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F461B">
              <w:rPr>
                <w:rFonts w:ascii="Times New Roman" w:hAnsi="Times New Roman" w:cs="Times New Roman"/>
                <w:sz w:val="20"/>
                <w:szCs w:val="20"/>
              </w:rPr>
              <w:t>2024-11-10</w:t>
            </w:r>
          </w:p>
        </w:tc>
        <w:tc>
          <w:tcPr>
            <w:tcW w:w="0" w:type="auto"/>
            <w:vAlign w:val="center"/>
            <w:hideMark/>
          </w:tcPr>
          <w:p w14:paraId="6CDB8597" w14:textId="77777777" w:rsidR="00EB0778" w:rsidRPr="000F461B" w:rsidRDefault="00EB0778" w:rsidP="00EB077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F461B">
              <w:rPr>
                <w:rFonts w:ascii="Times New Roman" w:hAnsi="Times New Roman" w:cs="Times New Roman"/>
                <w:sz w:val="20"/>
                <w:szCs w:val="20"/>
              </w:rPr>
              <w:t>2024-12-18 [Closed]</w:t>
            </w:r>
          </w:p>
        </w:tc>
      </w:tr>
      <w:tr w:rsidR="00EB0778" w:rsidRPr="000F461B" w14:paraId="62A8F5C3" w14:textId="77777777" w:rsidTr="00475C6D">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13A2BD4" w14:textId="77777777" w:rsidR="00EB0778" w:rsidRPr="000F461B" w:rsidRDefault="00B50617" w:rsidP="00EB0778">
            <w:pPr>
              <w:spacing w:before="60" w:after="60" w:line="360" w:lineRule="auto"/>
              <w:rPr>
                <w:rFonts w:ascii="Times New Roman" w:hAnsi="Times New Roman" w:cs="Times New Roman"/>
                <w:b w:val="0"/>
                <w:bCs w:val="0"/>
                <w:sz w:val="20"/>
                <w:szCs w:val="20"/>
              </w:rPr>
            </w:pPr>
            <w:hyperlink r:id="rId16" w:history="1">
              <w:r w:rsidR="00EB0778" w:rsidRPr="000F461B">
                <w:rPr>
                  <w:rStyle w:val="Hyperlink"/>
                  <w:rFonts w:ascii="Times New Roman" w:hAnsi="Times New Roman" w:cs="Times New Roman"/>
                  <w:b w:val="0"/>
                  <w:bCs w:val="0"/>
                  <w:sz w:val="20"/>
                  <w:szCs w:val="20"/>
                </w:rPr>
                <w:t>KSBBL</w:t>
              </w:r>
            </w:hyperlink>
          </w:p>
        </w:tc>
        <w:tc>
          <w:tcPr>
            <w:tcW w:w="1200" w:type="dxa"/>
            <w:vAlign w:val="center"/>
            <w:hideMark/>
          </w:tcPr>
          <w:p w14:paraId="2FB006A2" w14:textId="77777777" w:rsidR="00EB0778" w:rsidRPr="000F461B" w:rsidRDefault="00EB0778" w:rsidP="00EB077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F461B">
              <w:rPr>
                <w:rFonts w:ascii="Times New Roman" w:hAnsi="Times New Roman" w:cs="Times New Roman"/>
                <w:sz w:val="20"/>
                <w:szCs w:val="20"/>
              </w:rPr>
              <w:t>7.00</w:t>
            </w:r>
          </w:p>
        </w:tc>
        <w:tc>
          <w:tcPr>
            <w:tcW w:w="0" w:type="auto"/>
            <w:vAlign w:val="center"/>
            <w:hideMark/>
          </w:tcPr>
          <w:p w14:paraId="0EFB4B8C" w14:textId="77777777" w:rsidR="00EB0778" w:rsidRPr="000F461B" w:rsidRDefault="00EB0778" w:rsidP="00EB077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F461B">
              <w:rPr>
                <w:rFonts w:ascii="Times New Roman" w:hAnsi="Times New Roman" w:cs="Times New Roman"/>
                <w:sz w:val="20"/>
                <w:szCs w:val="20"/>
              </w:rPr>
              <w:t>5.00</w:t>
            </w:r>
          </w:p>
        </w:tc>
        <w:tc>
          <w:tcPr>
            <w:tcW w:w="0" w:type="auto"/>
            <w:vAlign w:val="center"/>
            <w:hideMark/>
          </w:tcPr>
          <w:p w14:paraId="598DFEE8" w14:textId="77777777" w:rsidR="00EB0778" w:rsidRPr="000F461B" w:rsidRDefault="00EB0778" w:rsidP="00EB077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F461B">
              <w:rPr>
                <w:rFonts w:ascii="Times New Roman" w:hAnsi="Times New Roman" w:cs="Times New Roman"/>
                <w:sz w:val="20"/>
                <w:szCs w:val="20"/>
              </w:rPr>
              <w:t>12.00</w:t>
            </w:r>
          </w:p>
        </w:tc>
        <w:tc>
          <w:tcPr>
            <w:tcW w:w="1983" w:type="dxa"/>
            <w:vAlign w:val="center"/>
            <w:hideMark/>
          </w:tcPr>
          <w:p w14:paraId="3778DF97" w14:textId="77777777" w:rsidR="00EB0778" w:rsidRPr="000F461B" w:rsidRDefault="00EB0778" w:rsidP="00EB077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F461B">
              <w:rPr>
                <w:rFonts w:ascii="Times New Roman" w:hAnsi="Times New Roman" w:cs="Times New Roman"/>
                <w:sz w:val="20"/>
                <w:szCs w:val="20"/>
              </w:rPr>
              <w:t>2024-09-13</w:t>
            </w:r>
          </w:p>
        </w:tc>
        <w:tc>
          <w:tcPr>
            <w:tcW w:w="0" w:type="auto"/>
            <w:vAlign w:val="center"/>
            <w:hideMark/>
          </w:tcPr>
          <w:p w14:paraId="332662CC" w14:textId="77777777" w:rsidR="00EB0778" w:rsidRPr="000F461B" w:rsidRDefault="00EB0778" w:rsidP="00EB077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F461B">
              <w:rPr>
                <w:rFonts w:ascii="Times New Roman" w:hAnsi="Times New Roman" w:cs="Times New Roman"/>
                <w:sz w:val="20"/>
                <w:szCs w:val="20"/>
              </w:rPr>
              <w:t>2024-10-01 [Closed]</w:t>
            </w:r>
          </w:p>
        </w:tc>
      </w:tr>
    </w:tbl>
    <w:p w14:paraId="06E928E3" w14:textId="77777777" w:rsidR="00EB0778" w:rsidRPr="000F461B" w:rsidRDefault="00EB0778" w:rsidP="00EB0778">
      <w:pPr>
        <w:rPr>
          <w:rFonts w:ascii="Times New Roman" w:hAnsi="Times New Roman" w:cs="Times New Roman"/>
          <w:highlight w:val="yellow"/>
        </w:rPr>
      </w:pPr>
    </w:p>
    <w:p w14:paraId="39D24749" w14:textId="77777777" w:rsidR="00EB0778" w:rsidRPr="000F461B" w:rsidRDefault="00EB0778" w:rsidP="00EB0778">
      <w:pPr>
        <w:rPr>
          <w:rFonts w:ascii="Times New Roman" w:hAnsi="Times New Roman" w:cs="Times New Roman"/>
          <w:b/>
          <w:bCs/>
        </w:rPr>
      </w:pPr>
      <w:r w:rsidRPr="000F461B">
        <w:rPr>
          <w:rFonts w:ascii="Times New Roman" w:hAnsi="Times New Roman" w:cs="Times New Roman"/>
          <w:b/>
          <w:bCs/>
        </w:rPr>
        <w:lastRenderedPageBreak/>
        <w:t>GBBL, KSBBL, SHINE</w:t>
      </w:r>
      <w:r w:rsidRPr="000F461B">
        <w:rPr>
          <w:rFonts w:ascii="Times New Roman" w:hAnsi="Times New Roman" w:cs="Times New Roman"/>
        </w:rPr>
        <w:t xml:space="preserve"> consistently provide dividends, reflecting strong financial stability and a commitment to shareholder returns. </w:t>
      </w:r>
      <w:r w:rsidRPr="000F461B">
        <w:rPr>
          <w:rFonts w:ascii="Times New Roman" w:hAnsi="Times New Roman" w:cs="Times New Roman"/>
          <w:b/>
          <w:bCs/>
        </w:rPr>
        <w:t>LBBL, MLBL, SADBL</w:t>
      </w:r>
      <w:r w:rsidRPr="000F461B">
        <w:rPr>
          <w:rFonts w:ascii="Times New Roman" w:hAnsi="Times New Roman" w:cs="Times New Roman"/>
        </w:rPr>
        <w:t xml:space="preserve"> are consistent with moderate payouts.</w:t>
      </w:r>
      <w:r w:rsidRPr="000F461B">
        <w:rPr>
          <w:rFonts w:ascii="Times New Roman" w:hAnsi="Times New Roman" w:cs="Times New Roman"/>
          <w:b/>
          <w:bCs/>
        </w:rPr>
        <w:t xml:space="preserve"> JBBL</w:t>
      </w:r>
      <w:r w:rsidRPr="000F461B">
        <w:rPr>
          <w:rFonts w:ascii="Times New Roman" w:hAnsi="Times New Roman" w:cs="Times New Roman"/>
        </w:rPr>
        <w:t xml:space="preserve"> and </w:t>
      </w:r>
      <w:r w:rsidRPr="000F461B">
        <w:rPr>
          <w:rFonts w:ascii="Times New Roman" w:hAnsi="Times New Roman" w:cs="Times New Roman"/>
          <w:b/>
          <w:bCs/>
        </w:rPr>
        <w:t>MNBBL</w:t>
      </w:r>
      <w:r w:rsidRPr="000F461B">
        <w:rPr>
          <w:rFonts w:ascii="Times New Roman" w:hAnsi="Times New Roman" w:cs="Times New Roman"/>
        </w:rPr>
        <w:t xml:space="preserve"> stand out as the only banks without any declared dividends for this year.</w:t>
      </w:r>
    </w:p>
    <w:p w14:paraId="5305858C" w14:textId="77777777" w:rsidR="00EB0778" w:rsidRPr="000F461B" w:rsidRDefault="00EB0778" w:rsidP="00EB0778">
      <w:pPr>
        <w:pStyle w:val="Heading2"/>
        <w:spacing w:line="360" w:lineRule="auto"/>
        <w:rPr>
          <w:rFonts w:cs="Times New Roman"/>
        </w:rPr>
      </w:pPr>
      <w:bookmarkStart w:id="7" w:name="_Toc204782571"/>
      <w:r w:rsidRPr="000F461B">
        <w:rPr>
          <w:rFonts w:cs="Times New Roman"/>
        </w:rPr>
        <w:t>NRB reported summery</w:t>
      </w:r>
      <w:bookmarkEnd w:id="7"/>
      <w:r w:rsidRPr="000F461B">
        <w:rPr>
          <w:rFonts w:cs="Times New Roman"/>
        </w:rPr>
        <w:t xml:space="preserve"> </w:t>
      </w:r>
    </w:p>
    <w:tbl>
      <w:tblPr>
        <w:tblW w:w="9701" w:type="dxa"/>
        <w:tblInd w:w="-5" w:type="dxa"/>
        <w:tblLook w:val="04A0" w:firstRow="1" w:lastRow="0" w:firstColumn="1" w:lastColumn="0" w:noHBand="0" w:noVBand="1"/>
      </w:tblPr>
      <w:tblGrid>
        <w:gridCol w:w="1065"/>
        <w:gridCol w:w="1065"/>
        <w:gridCol w:w="833"/>
        <w:gridCol w:w="1127"/>
        <w:gridCol w:w="983"/>
        <w:gridCol w:w="1216"/>
        <w:gridCol w:w="864"/>
        <w:gridCol w:w="816"/>
        <w:gridCol w:w="733"/>
        <w:gridCol w:w="999"/>
      </w:tblGrid>
      <w:tr w:rsidR="00EB0778" w:rsidRPr="000F461B" w14:paraId="40B8CE85" w14:textId="77777777" w:rsidTr="00475C6D">
        <w:trPr>
          <w:trHeight w:val="870"/>
        </w:trPr>
        <w:tc>
          <w:tcPr>
            <w:tcW w:w="1065" w:type="dxa"/>
            <w:tcBorders>
              <w:top w:val="single" w:sz="4" w:space="0" w:color="auto"/>
              <w:left w:val="single" w:sz="4" w:space="0" w:color="auto"/>
              <w:bottom w:val="single" w:sz="4" w:space="0" w:color="auto"/>
              <w:right w:val="single" w:sz="4" w:space="0" w:color="auto"/>
            </w:tcBorders>
            <w:shd w:val="clear" w:color="000000" w:fill="F2F2F2"/>
            <w:vAlign w:val="bottom"/>
            <w:hideMark/>
          </w:tcPr>
          <w:p w14:paraId="15E13762" w14:textId="77777777" w:rsidR="00EB0778" w:rsidRPr="000F461B" w:rsidRDefault="00EB0778" w:rsidP="00EB0778">
            <w:pPr>
              <w:spacing w:after="0"/>
              <w:rPr>
                <w:rFonts w:ascii="Times New Roman" w:eastAsia="Times New Roman" w:hAnsi="Times New Roman" w:cs="Times New Roman"/>
                <w:color w:val="000000"/>
                <w:sz w:val="20"/>
                <w:szCs w:val="20"/>
              </w:rPr>
            </w:pPr>
            <w:proofErr w:type="spellStart"/>
            <w:r w:rsidRPr="000F461B">
              <w:rPr>
                <w:rFonts w:ascii="Times New Roman" w:eastAsia="Times New Roman" w:hAnsi="Times New Roman" w:cs="Times New Roman"/>
                <w:color w:val="000000"/>
                <w:sz w:val="20"/>
                <w:szCs w:val="20"/>
              </w:rPr>
              <w:t>Abb</w:t>
            </w:r>
            <w:proofErr w:type="spellEnd"/>
          </w:p>
        </w:tc>
        <w:tc>
          <w:tcPr>
            <w:tcW w:w="1065" w:type="dxa"/>
            <w:tcBorders>
              <w:top w:val="single" w:sz="4" w:space="0" w:color="auto"/>
              <w:left w:val="nil"/>
              <w:bottom w:val="single" w:sz="4" w:space="0" w:color="auto"/>
              <w:right w:val="single" w:sz="4" w:space="0" w:color="auto"/>
            </w:tcBorders>
            <w:shd w:val="clear" w:color="000000" w:fill="F2F2F2"/>
            <w:vAlign w:val="bottom"/>
            <w:hideMark/>
          </w:tcPr>
          <w:p w14:paraId="7C16772D" w14:textId="77777777" w:rsidR="00EB0778" w:rsidRPr="000F461B" w:rsidRDefault="00EB0778" w:rsidP="00EB0778">
            <w:pPr>
              <w:spacing w:after="0"/>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Tier 1 Capital To RWA</w:t>
            </w:r>
          </w:p>
        </w:tc>
        <w:tc>
          <w:tcPr>
            <w:tcW w:w="833" w:type="dxa"/>
            <w:tcBorders>
              <w:top w:val="single" w:sz="4" w:space="0" w:color="auto"/>
              <w:left w:val="nil"/>
              <w:bottom w:val="single" w:sz="4" w:space="0" w:color="auto"/>
              <w:right w:val="single" w:sz="4" w:space="0" w:color="auto"/>
            </w:tcBorders>
            <w:shd w:val="clear" w:color="F7CAAC" w:fill="F7CAAC"/>
            <w:vAlign w:val="bottom"/>
            <w:hideMark/>
          </w:tcPr>
          <w:p w14:paraId="04E6EB9E" w14:textId="77777777" w:rsidR="00EB0778" w:rsidRPr="000F461B" w:rsidRDefault="00EB0778" w:rsidP="00EB0778">
            <w:pPr>
              <w:spacing w:after="0"/>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Capital Fund to RWA</w:t>
            </w:r>
          </w:p>
        </w:tc>
        <w:tc>
          <w:tcPr>
            <w:tcW w:w="1127" w:type="dxa"/>
            <w:tcBorders>
              <w:top w:val="single" w:sz="4" w:space="0" w:color="auto"/>
              <w:left w:val="nil"/>
              <w:bottom w:val="single" w:sz="4" w:space="0" w:color="auto"/>
              <w:right w:val="single" w:sz="4" w:space="0" w:color="auto"/>
            </w:tcBorders>
            <w:shd w:val="clear" w:color="F7CAAC" w:fill="F7CAAC"/>
            <w:vAlign w:val="bottom"/>
            <w:hideMark/>
          </w:tcPr>
          <w:p w14:paraId="29E9C007" w14:textId="77777777" w:rsidR="00EB0778" w:rsidRPr="000F461B" w:rsidRDefault="00EB0778" w:rsidP="00EB0778">
            <w:pPr>
              <w:spacing w:after="0"/>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Non-Performing Loan (NPL) to Total Loan</w:t>
            </w:r>
          </w:p>
        </w:tc>
        <w:tc>
          <w:tcPr>
            <w:tcW w:w="983" w:type="dxa"/>
            <w:tcBorders>
              <w:top w:val="single" w:sz="4" w:space="0" w:color="auto"/>
              <w:left w:val="nil"/>
              <w:bottom w:val="single" w:sz="4" w:space="0" w:color="auto"/>
              <w:right w:val="single" w:sz="4" w:space="0" w:color="auto"/>
            </w:tcBorders>
            <w:shd w:val="clear" w:color="F7CAAC" w:fill="F7CAAC"/>
            <w:vAlign w:val="bottom"/>
            <w:hideMark/>
          </w:tcPr>
          <w:p w14:paraId="077885CB" w14:textId="77777777" w:rsidR="00EB0778" w:rsidRPr="000F461B" w:rsidRDefault="00EB0778" w:rsidP="00EB0778">
            <w:pPr>
              <w:spacing w:after="0"/>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Total Loan Loss Provision to Total NPL</w:t>
            </w:r>
          </w:p>
        </w:tc>
        <w:tc>
          <w:tcPr>
            <w:tcW w:w="1216" w:type="dxa"/>
            <w:tcBorders>
              <w:top w:val="single" w:sz="4" w:space="0" w:color="auto"/>
              <w:left w:val="nil"/>
              <w:bottom w:val="single" w:sz="4" w:space="0" w:color="auto"/>
              <w:right w:val="single" w:sz="4" w:space="0" w:color="auto"/>
            </w:tcBorders>
            <w:shd w:val="clear" w:color="F7CAAC" w:fill="F7CAAC"/>
            <w:vAlign w:val="bottom"/>
            <w:hideMark/>
          </w:tcPr>
          <w:p w14:paraId="35B16788" w14:textId="77777777" w:rsidR="00EB0778" w:rsidRPr="000F461B" w:rsidRDefault="00EB0778" w:rsidP="00EB0778">
            <w:pPr>
              <w:spacing w:after="0"/>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Credit Deposit Ratio as per NRB Calculations</w:t>
            </w:r>
          </w:p>
        </w:tc>
        <w:tc>
          <w:tcPr>
            <w:tcW w:w="864" w:type="dxa"/>
            <w:tcBorders>
              <w:top w:val="single" w:sz="4" w:space="0" w:color="auto"/>
              <w:left w:val="nil"/>
              <w:bottom w:val="single" w:sz="4" w:space="0" w:color="auto"/>
              <w:right w:val="single" w:sz="4" w:space="0" w:color="auto"/>
            </w:tcBorders>
            <w:shd w:val="clear" w:color="F7CAAC" w:fill="F7CAAC"/>
            <w:vAlign w:val="bottom"/>
            <w:hideMark/>
          </w:tcPr>
          <w:p w14:paraId="71DD9B61" w14:textId="77777777" w:rsidR="00EB0778" w:rsidRPr="000F461B" w:rsidRDefault="00EB0778" w:rsidP="00EB0778">
            <w:pPr>
              <w:spacing w:after="0"/>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Cost of Funds</w:t>
            </w:r>
          </w:p>
        </w:tc>
        <w:tc>
          <w:tcPr>
            <w:tcW w:w="816" w:type="dxa"/>
            <w:tcBorders>
              <w:top w:val="single" w:sz="4" w:space="0" w:color="auto"/>
              <w:left w:val="nil"/>
              <w:bottom w:val="single" w:sz="4" w:space="0" w:color="auto"/>
              <w:right w:val="single" w:sz="4" w:space="0" w:color="auto"/>
            </w:tcBorders>
            <w:shd w:val="clear" w:color="F7CAAC" w:fill="F7CAAC"/>
            <w:vAlign w:val="bottom"/>
            <w:hideMark/>
          </w:tcPr>
          <w:p w14:paraId="5D9EC34F" w14:textId="77777777" w:rsidR="00EB0778" w:rsidRPr="000F461B" w:rsidRDefault="00EB0778" w:rsidP="00EB0778">
            <w:pPr>
              <w:spacing w:after="0"/>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Net Interest Spread</w:t>
            </w:r>
          </w:p>
        </w:tc>
        <w:tc>
          <w:tcPr>
            <w:tcW w:w="733" w:type="dxa"/>
            <w:tcBorders>
              <w:top w:val="single" w:sz="4" w:space="0" w:color="auto"/>
              <w:left w:val="nil"/>
              <w:bottom w:val="single" w:sz="4" w:space="0" w:color="auto"/>
              <w:right w:val="single" w:sz="4" w:space="0" w:color="auto"/>
            </w:tcBorders>
            <w:shd w:val="clear" w:color="F7CAAC" w:fill="F7CAAC"/>
            <w:vAlign w:val="bottom"/>
            <w:hideMark/>
          </w:tcPr>
          <w:p w14:paraId="2EB79D45" w14:textId="77777777" w:rsidR="00EB0778" w:rsidRPr="000F461B" w:rsidRDefault="00EB0778" w:rsidP="00EB0778">
            <w:pPr>
              <w:spacing w:after="0"/>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Base Rate</w:t>
            </w:r>
          </w:p>
        </w:tc>
        <w:tc>
          <w:tcPr>
            <w:tcW w:w="999" w:type="dxa"/>
            <w:tcBorders>
              <w:top w:val="single" w:sz="4" w:space="0" w:color="auto"/>
              <w:left w:val="nil"/>
              <w:bottom w:val="single" w:sz="4" w:space="0" w:color="auto"/>
              <w:right w:val="single" w:sz="4" w:space="0" w:color="auto"/>
            </w:tcBorders>
            <w:shd w:val="clear" w:color="000000" w:fill="F2F2F2"/>
            <w:vAlign w:val="bottom"/>
            <w:hideMark/>
          </w:tcPr>
          <w:p w14:paraId="5519254D" w14:textId="77777777" w:rsidR="00EB0778" w:rsidRPr="000F461B" w:rsidRDefault="00EB0778" w:rsidP="00EB0778">
            <w:pPr>
              <w:spacing w:after="0"/>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Base rate - COF</w:t>
            </w:r>
          </w:p>
        </w:tc>
      </w:tr>
      <w:tr w:rsidR="00EB0778" w:rsidRPr="000F461B" w14:paraId="649C56C3" w14:textId="77777777" w:rsidTr="00475C6D">
        <w:trPr>
          <w:trHeight w:val="290"/>
        </w:trPr>
        <w:tc>
          <w:tcPr>
            <w:tcW w:w="1065" w:type="dxa"/>
            <w:tcBorders>
              <w:top w:val="nil"/>
              <w:left w:val="single" w:sz="4" w:space="0" w:color="auto"/>
              <w:bottom w:val="single" w:sz="4" w:space="0" w:color="auto"/>
              <w:right w:val="single" w:sz="4" w:space="0" w:color="auto"/>
            </w:tcBorders>
            <w:shd w:val="clear" w:color="F7CAAC" w:fill="F7CAAC"/>
            <w:noWrap/>
            <w:vAlign w:val="bottom"/>
            <w:hideMark/>
          </w:tcPr>
          <w:p w14:paraId="0CD78C1A" w14:textId="77777777" w:rsidR="00EB0778" w:rsidRPr="000F461B" w:rsidRDefault="00EB0778" w:rsidP="00EB0778">
            <w:pPr>
              <w:spacing w:after="0"/>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MLBL</w:t>
            </w:r>
          </w:p>
        </w:tc>
        <w:tc>
          <w:tcPr>
            <w:tcW w:w="1065" w:type="dxa"/>
            <w:tcBorders>
              <w:top w:val="nil"/>
              <w:left w:val="nil"/>
              <w:bottom w:val="single" w:sz="4" w:space="0" w:color="auto"/>
              <w:right w:val="single" w:sz="4" w:space="0" w:color="auto"/>
            </w:tcBorders>
            <w:shd w:val="clear" w:color="000000" w:fill="F2F2F2"/>
            <w:noWrap/>
            <w:vAlign w:val="bottom"/>
            <w:hideMark/>
          </w:tcPr>
          <w:p w14:paraId="4426755F" w14:textId="77777777" w:rsidR="00EB0778" w:rsidRPr="000F461B" w:rsidRDefault="00EB0778" w:rsidP="00EB0778">
            <w:pPr>
              <w:spacing w:after="0"/>
              <w:jc w:val="right"/>
              <w:rPr>
                <w:rFonts w:ascii="Times New Roman" w:eastAsia="Times New Roman" w:hAnsi="Times New Roman" w:cs="Times New Roman"/>
                <w:color w:val="00B0F0"/>
                <w:sz w:val="20"/>
                <w:szCs w:val="20"/>
              </w:rPr>
            </w:pPr>
            <w:r w:rsidRPr="000F461B">
              <w:rPr>
                <w:rFonts w:ascii="Times New Roman" w:eastAsia="Times New Roman" w:hAnsi="Times New Roman" w:cs="Times New Roman"/>
                <w:color w:val="00B0F0"/>
                <w:sz w:val="20"/>
                <w:szCs w:val="20"/>
              </w:rPr>
              <w:t>12.31%</w:t>
            </w:r>
          </w:p>
        </w:tc>
        <w:tc>
          <w:tcPr>
            <w:tcW w:w="833" w:type="dxa"/>
            <w:tcBorders>
              <w:top w:val="nil"/>
              <w:left w:val="nil"/>
              <w:bottom w:val="single" w:sz="4" w:space="0" w:color="auto"/>
              <w:right w:val="single" w:sz="4" w:space="0" w:color="auto"/>
            </w:tcBorders>
            <w:shd w:val="clear" w:color="000000" w:fill="F2F2F2"/>
            <w:noWrap/>
            <w:vAlign w:val="bottom"/>
            <w:hideMark/>
          </w:tcPr>
          <w:p w14:paraId="127192A2"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15.75%</w:t>
            </w:r>
          </w:p>
        </w:tc>
        <w:tc>
          <w:tcPr>
            <w:tcW w:w="1127" w:type="dxa"/>
            <w:tcBorders>
              <w:top w:val="nil"/>
              <w:left w:val="nil"/>
              <w:bottom w:val="single" w:sz="4" w:space="0" w:color="auto"/>
              <w:right w:val="single" w:sz="4" w:space="0" w:color="auto"/>
            </w:tcBorders>
            <w:shd w:val="clear" w:color="000000" w:fill="F2F2F2"/>
            <w:noWrap/>
            <w:vAlign w:val="bottom"/>
            <w:hideMark/>
          </w:tcPr>
          <w:p w14:paraId="2A131184"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4.99%</w:t>
            </w:r>
          </w:p>
        </w:tc>
        <w:tc>
          <w:tcPr>
            <w:tcW w:w="983" w:type="dxa"/>
            <w:tcBorders>
              <w:top w:val="nil"/>
              <w:left w:val="nil"/>
              <w:bottom w:val="single" w:sz="4" w:space="0" w:color="auto"/>
              <w:right w:val="single" w:sz="4" w:space="0" w:color="auto"/>
            </w:tcBorders>
            <w:shd w:val="clear" w:color="000000" w:fill="F2F2F2"/>
            <w:noWrap/>
            <w:vAlign w:val="bottom"/>
            <w:hideMark/>
          </w:tcPr>
          <w:p w14:paraId="3893C56D"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101.90%</w:t>
            </w:r>
          </w:p>
        </w:tc>
        <w:tc>
          <w:tcPr>
            <w:tcW w:w="1216" w:type="dxa"/>
            <w:tcBorders>
              <w:top w:val="nil"/>
              <w:left w:val="nil"/>
              <w:bottom w:val="single" w:sz="4" w:space="0" w:color="auto"/>
              <w:right w:val="single" w:sz="4" w:space="0" w:color="auto"/>
            </w:tcBorders>
            <w:shd w:val="clear" w:color="000000" w:fill="F2F2F2"/>
            <w:noWrap/>
            <w:vAlign w:val="bottom"/>
            <w:hideMark/>
          </w:tcPr>
          <w:p w14:paraId="1809C396"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87.41%</w:t>
            </w:r>
          </w:p>
        </w:tc>
        <w:tc>
          <w:tcPr>
            <w:tcW w:w="864" w:type="dxa"/>
            <w:tcBorders>
              <w:top w:val="nil"/>
              <w:left w:val="nil"/>
              <w:bottom w:val="single" w:sz="4" w:space="0" w:color="auto"/>
              <w:right w:val="single" w:sz="4" w:space="0" w:color="auto"/>
            </w:tcBorders>
            <w:shd w:val="clear" w:color="000000" w:fill="F2F2F2"/>
            <w:noWrap/>
            <w:vAlign w:val="bottom"/>
            <w:hideMark/>
          </w:tcPr>
          <w:p w14:paraId="49A114ED"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5.04%</w:t>
            </w:r>
          </w:p>
        </w:tc>
        <w:tc>
          <w:tcPr>
            <w:tcW w:w="816" w:type="dxa"/>
            <w:tcBorders>
              <w:top w:val="nil"/>
              <w:left w:val="nil"/>
              <w:bottom w:val="single" w:sz="4" w:space="0" w:color="auto"/>
              <w:right w:val="single" w:sz="4" w:space="0" w:color="auto"/>
            </w:tcBorders>
            <w:shd w:val="clear" w:color="000000" w:fill="F2F2F2"/>
            <w:noWrap/>
            <w:vAlign w:val="bottom"/>
            <w:hideMark/>
          </w:tcPr>
          <w:p w14:paraId="43ACB438"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4.29%</w:t>
            </w:r>
          </w:p>
        </w:tc>
        <w:tc>
          <w:tcPr>
            <w:tcW w:w="733" w:type="dxa"/>
            <w:tcBorders>
              <w:top w:val="nil"/>
              <w:left w:val="nil"/>
              <w:bottom w:val="single" w:sz="4" w:space="0" w:color="auto"/>
              <w:right w:val="single" w:sz="4" w:space="0" w:color="auto"/>
            </w:tcBorders>
            <w:shd w:val="clear" w:color="000000" w:fill="F2F2F2"/>
            <w:noWrap/>
            <w:vAlign w:val="bottom"/>
            <w:hideMark/>
          </w:tcPr>
          <w:p w14:paraId="538AA64E"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7.20%</w:t>
            </w:r>
          </w:p>
        </w:tc>
        <w:tc>
          <w:tcPr>
            <w:tcW w:w="999" w:type="dxa"/>
            <w:tcBorders>
              <w:top w:val="nil"/>
              <w:left w:val="nil"/>
              <w:bottom w:val="single" w:sz="4" w:space="0" w:color="auto"/>
              <w:right w:val="single" w:sz="4" w:space="0" w:color="auto"/>
            </w:tcBorders>
            <w:shd w:val="clear" w:color="000000" w:fill="F2F2F2"/>
            <w:noWrap/>
            <w:vAlign w:val="bottom"/>
            <w:hideMark/>
          </w:tcPr>
          <w:p w14:paraId="091ACFA3"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2.16%</w:t>
            </w:r>
          </w:p>
        </w:tc>
      </w:tr>
      <w:tr w:rsidR="00EB0778" w:rsidRPr="000F461B" w14:paraId="759C44F0" w14:textId="77777777" w:rsidTr="00475C6D">
        <w:trPr>
          <w:trHeight w:val="290"/>
        </w:trPr>
        <w:tc>
          <w:tcPr>
            <w:tcW w:w="1065" w:type="dxa"/>
            <w:tcBorders>
              <w:top w:val="nil"/>
              <w:left w:val="single" w:sz="4" w:space="0" w:color="auto"/>
              <w:bottom w:val="single" w:sz="4" w:space="0" w:color="auto"/>
              <w:right w:val="single" w:sz="4" w:space="0" w:color="auto"/>
            </w:tcBorders>
            <w:shd w:val="clear" w:color="F7CAAC" w:fill="F7CAAC"/>
            <w:noWrap/>
            <w:vAlign w:val="bottom"/>
            <w:hideMark/>
          </w:tcPr>
          <w:p w14:paraId="5CB959AB" w14:textId="77777777" w:rsidR="00EB0778" w:rsidRPr="000F461B" w:rsidRDefault="00EB0778" w:rsidP="00EB0778">
            <w:pPr>
              <w:spacing w:after="0"/>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JBBL</w:t>
            </w:r>
          </w:p>
        </w:tc>
        <w:tc>
          <w:tcPr>
            <w:tcW w:w="1065" w:type="dxa"/>
            <w:tcBorders>
              <w:top w:val="nil"/>
              <w:left w:val="nil"/>
              <w:bottom w:val="single" w:sz="4" w:space="0" w:color="auto"/>
              <w:right w:val="single" w:sz="4" w:space="0" w:color="auto"/>
            </w:tcBorders>
            <w:shd w:val="clear" w:color="000000" w:fill="F2F2F2"/>
            <w:noWrap/>
            <w:vAlign w:val="bottom"/>
            <w:hideMark/>
          </w:tcPr>
          <w:p w14:paraId="4DB1E55D" w14:textId="77777777" w:rsidR="00EB0778" w:rsidRPr="000F461B" w:rsidRDefault="00EB0778" w:rsidP="00EB0778">
            <w:pPr>
              <w:spacing w:after="0"/>
              <w:jc w:val="right"/>
              <w:rPr>
                <w:rFonts w:ascii="Times New Roman" w:eastAsia="Times New Roman" w:hAnsi="Times New Roman" w:cs="Times New Roman"/>
                <w:color w:val="00B0F0"/>
                <w:sz w:val="20"/>
                <w:szCs w:val="20"/>
              </w:rPr>
            </w:pPr>
            <w:r w:rsidRPr="000F461B">
              <w:rPr>
                <w:rFonts w:ascii="Times New Roman" w:eastAsia="Times New Roman" w:hAnsi="Times New Roman" w:cs="Times New Roman"/>
                <w:color w:val="00B0F0"/>
                <w:sz w:val="20"/>
                <w:szCs w:val="20"/>
              </w:rPr>
              <w:t>8.53%</w:t>
            </w:r>
          </w:p>
        </w:tc>
        <w:tc>
          <w:tcPr>
            <w:tcW w:w="833" w:type="dxa"/>
            <w:tcBorders>
              <w:top w:val="nil"/>
              <w:left w:val="nil"/>
              <w:bottom w:val="single" w:sz="4" w:space="0" w:color="auto"/>
              <w:right w:val="single" w:sz="4" w:space="0" w:color="auto"/>
            </w:tcBorders>
            <w:shd w:val="clear" w:color="000000" w:fill="F2F2F2"/>
            <w:noWrap/>
            <w:vAlign w:val="bottom"/>
            <w:hideMark/>
          </w:tcPr>
          <w:p w14:paraId="3CB8FE5F"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12.72%</w:t>
            </w:r>
          </w:p>
        </w:tc>
        <w:tc>
          <w:tcPr>
            <w:tcW w:w="1127" w:type="dxa"/>
            <w:tcBorders>
              <w:top w:val="nil"/>
              <w:left w:val="nil"/>
              <w:bottom w:val="single" w:sz="4" w:space="0" w:color="auto"/>
              <w:right w:val="single" w:sz="4" w:space="0" w:color="auto"/>
            </w:tcBorders>
            <w:shd w:val="clear" w:color="000000" w:fill="F2F2F2"/>
            <w:noWrap/>
            <w:vAlign w:val="bottom"/>
            <w:hideMark/>
          </w:tcPr>
          <w:p w14:paraId="20035755"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4.98%</w:t>
            </w:r>
          </w:p>
        </w:tc>
        <w:tc>
          <w:tcPr>
            <w:tcW w:w="983" w:type="dxa"/>
            <w:tcBorders>
              <w:top w:val="nil"/>
              <w:left w:val="nil"/>
              <w:bottom w:val="single" w:sz="4" w:space="0" w:color="auto"/>
              <w:right w:val="single" w:sz="4" w:space="0" w:color="auto"/>
            </w:tcBorders>
            <w:shd w:val="clear" w:color="000000" w:fill="F2F2F2"/>
            <w:noWrap/>
            <w:vAlign w:val="bottom"/>
            <w:hideMark/>
          </w:tcPr>
          <w:p w14:paraId="3B3A2308"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145.66%</w:t>
            </w:r>
          </w:p>
        </w:tc>
        <w:tc>
          <w:tcPr>
            <w:tcW w:w="1216" w:type="dxa"/>
            <w:tcBorders>
              <w:top w:val="nil"/>
              <w:left w:val="nil"/>
              <w:bottom w:val="single" w:sz="4" w:space="0" w:color="auto"/>
              <w:right w:val="single" w:sz="4" w:space="0" w:color="auto"/>
            </w:tcBorders>
            <w:shd w:val="clear" w:color="000000" w:fill="F2F2F2"/>
            <w:noWrap/>
            <w:vAlign w:val="bottom"/>
            <w:hideMark/>
          </w:tcPr>
          <w:p w14:paraId="405ECADD"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83.81%</w:t>
            </w:r>
          </w:p>
        </w:tc>
        <w:tc>
          <w:tcPr>
            <w:tcW w:w="864" w:type="dxa"/>
            <w:tcBorders>
              <w:top w:val="nil"/>
              <w:left w:val="nil"/>
              <w:bottom w:val="single" w:sz="4" w:space="0" w:color="auto"/>
              <w:right w:val="single" w:sz="4" w:space="0" w:color="auto"/>
            </w:tcBorders>
            <w:shd w:val="clear" w:color="000000" w:fill="F2F2F2"/>
            <w:noWrap/>
            <w:vAlign w:val="bottom"/>
            <w:hideMark/>
          </w:tcPr>
          <w:p w14:paraId="0F995BC7"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5.37%</w:t>
            </w:r>
          </w:p>
        </w:tc>
        <w:tc>
          <w:tcPr>
            <w:tcW w:w="816" w:type="dxa"/>
            <w:tcBorders>
              <w:top w:val="nil"/>
              <w:left w:val="nil"/>
              <w:bottom w:val="single" w:sz="4" w:space="0" w:color="auto"/>
              <w:right w:val="single" w:sz="4" w:space="0" w:color="auto"/>
            </w:tcBorders>
            <w:shd w:val="clear" w:color="000000" w:fill="F2F2F2"/>
            <w:noWrap/>
            <w:vAlign w:val="bottom"/>
            <w:hideMark/>
          </w:tcPr>
          <w:p w14:paraId="09628C75"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4.01%</w:t>
            </w:r>
          </w:p>
        </w:tc>
        <w:tc>
          <w:tcPr>
            <w:tcW w:w="733" w:type="dxa"/>
            <w:tcBorders>
              <w:top w:val="nil"/>
              <w:left w:val="nil"/>
              <w:bottom w:val="single" w:sz="4" w:space="0" w:color="auto"/>
              <w:right w:val="single" w:sz="4" w:space="0" w:color="auto"/>
            </w:tcBorders>
            <w:shd w:val="clear" w:color="000000" w:fill="F2F2F2"/>
            <w:noWrap/>
            <w:vAlign w:val="bottom"/>
            <w:hideMark/>
          </w:tcPr>
          <w:p w14:paraId="24B30998"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7.51%</w:t>
            </w:r>
          </w:p>
        </w:tc>
        <w:tc>
          <w:tcPr>
            <w:tcW w:w="999" w:type="dxa"/>
            <w:tcBorders>
              <w:top w:val="nil"/>
              <w:left w:val="nil"/>
              <w:bottom w:val="single" w:sz="4" w:space="0" w:color="auto"/>
              <w:right w:val="single" w:sz="4" w:space="0" w:color="auto"/>
            </w:tcBorders>
            <w:shd w:val="clear" w:color="000000" w:fill="F2F2F2"/>
            <w:noWrap/>
            <w:vAlign w:val="bottom"/>
            <w:hideMark/>
          </w:tcPr>
          <w:p w14:paraId="0383E2B1"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2.14%</w:t>
            </w:r>
          </w:p>
        </w:tc>
      </w:tr>
      <w:tr w:rsidR="00EB0778" w:rsidRPr="000F461B" w14:paraId="7954492E" w14:textId="77777777" w:rsidTr="00475C6D">
        <w:trPr>
          <w:trHeight w:val="290"/>
        </w:trPr>
        <w:tc>
          <w:tcPr>
            <w:tcW w:w="1065" w:type="dxa"/>
            <w:tcBorders>
              <w:top w:val="nil"/>
              <w:left w:val="single" w:sz="4" w:space="0" w:color="auto"/>
              <w:bottom w:val="single" w:sz="4" w:space="0" w:color="auto"/>
              <w:right w:val="single" w:sz="4" w:space="0" w:color="auto"/>
            </w:tcBorders>
            <w:shd w:val="clear" w:color="F7CAAC" w:fill="F7CAAC"/>
            <w:noWrap/>
            <w:vAlign w:val="bottom"/>
            <w:hideMark/>
          </w:tcPr>
          <w:p w14:paraId="070DA493" w14:textId="77777777" w:rsidR="00EB0778" w:rsidRPr="000F461B" w:rsidRDefault="00EB0778" w:rsidP="00EB0778">
            <w:pPr>
              <w:spacing w:after="0"/>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MNBBL</w:t>
            </w:r>
          </w:p>
        </w:tc>
        <w:tc>
          <w:tcPr>
            <w:tcW w:w="1065" w:type="dxa"/>
            <w:tcBorders>
              <w:top w:val="nil"/>
              <w:left w:val="nil"/>
              <w:bottom w:val="single" w:sz="4" w:space="0" w:color="auto"/>
              <w:right w:val="single" w:sz="4" w:space="0" w:color="auto"/>
            </w:tcBorders>
            <w:shd w:val="clear" w:color="000000" w:fill="F2F2F2"/>
            <w:noWrap/>
            <w:vAlign w:val="bottom"/>
            <w:hideMark/>
          </w:tcPr>
          <w:p w14:paraId="316F58C5" w14:textId="77777777" w:rsidR="00EB0778" w:rsidRPr="000F461B" w:rsidRDefault="00EB0778" w:rsidP="00EB0778">
            <w:pPr>
              <w:spacing w:after="0"/>
              <w:jc w:val="right"/>
              <w:rPr>
                <w:rFonts w:ascii="Times New Roman" w:eastAsia="Times New Roman" w:hAnsi="Times New Roman" w:cs="Times New Roman"/>
                <w:color w:val="00B0F0"/>
                <w:sz w:val="20"/>
                <w:szCs w:val="20"/>
              </w:rPr>
            </w:pPr>
            <w:r w:rsidRPr="000F461B">
              <w:rPr>
                <w:rFonts w:ascii="Times New Roman" w:eastAsia="Times New Roman" w:hAnsi="Times New Roman" w:cs="Times New Roman"/>
                <w:color w:val="00B0F0"/>
                <w:sz w:val="20"/>
                <w:szCs w:val="20"/>
              </w:rPr>
              <w:t>10.19%</w:t>
            </w:r>
          </w:p>
        </w:tc>
        <w:tc>
          <w:tcPr>
            <w:tcW w:w="833" w:type="dxa"/>
            <w:tcBorders>
              <w:top w:val="nil"/>
              <w:left w:val="nil"/>
              <w:bottom w:val="single" w:sz="4" w:space="0" w:color="auto"/>
              <w:right w:val="single" w:sz="4" w:space="0" w:color="auto"/>
            </w:tcBorders>
            <w:shd w:val="clear" w:color="000000" w:fill="F2F2F2"/>
            <w:noWrap/>
            <w:vAlign w:val="bottom"/>
            <w:hideMark/>
          </w:tcPr>
          <w:p w14:paraId="17AD4E58"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12.36%</w:t>
            </w:r>
          </w:p>
        </w:tc>
        <w:tc>
          <w:tcPr>
            <w:tcW w:w="1127" w:type="dxa"/>
            <w:tcBorders>
              <w:top w:val="nil"/>
              <w:left w:val="nil"/>
              <w:bottom w:val="single" w:sz="4" w:space="0" w:color="auto"/>
              <w:right w:val="single" w:sz="4" w:space="0" w:color="auto"/>
            </w:tcBorders>
            <w:shd w:val="clear" w:color="000000" w:fill="F2F2F2"/>
            <w:noWrap/>
            <w:vAlign w:val="bottom"/>
            <w:hideMark/>
          </w:tcPr>
          <w:p w14:paraId="6EA33219"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4.41%</w:t>
            </w:r>
          </w:p>
        </w:tc>
        <w:tc>
          <w:tcPr>
            <w:tcW w:w="983" w:type="dxa"/>
            <w:tcBorders>
              <w:top w:val="nil"/>
              <w:left w:val="nil"/>
              <w:bottom w:val="single" w:sz="4" w:space="0" w:color="auto"/>
              <w:right w:val="single" w:sz="4" w:space="0" w:color="auto"/>
            </w:tcBorders>
            <w:shd w:val="clear" w:color="000000" w:fill="F2F2F2"/>
            <w:noWrap/>
            <w:vAlign w:val="bottom"/>
            <w:hideMark/>
          </w:tcPr>
          <w:p w14:paraId="05C5E8C4"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90.92%</w:t>
            </w:r>
          </w:p>
        </w:tc>
        <w:tc>
          <w:tcPr>
            <w:tcW w:w="1216" w:type="dxa"/>
            <w:tcBorders>
              <w:top w:val="nil"/>
              <w:left w:val="nil"/>
              <w:bottom w:val="single" w:sz="4" w:space="0" w:color="auto"/>
              <w:right w:val="single" w:sz="4" w:space="0" w:color="auto"/>
            </w:tcBorders>
            <w:shd w:val="clear" w:color="000000" w:fill="F2F2F2"/>
            <w:noWrap/>
            <w:vAlign w:val="bottom"/>
            <w:hideMark/>
          </w:tcPr>
          <w:p w14:paraId="147F481A"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87.46%</w:t>
            </w:r>
          </w:p>
        </w:tc>
        <w:tc>
          <w:tcPr>
            <w:tcW w:w="864" w:type="dxa"/>
            <w:tcBorders>
              <w:top w:val="nil"/>
              <w:left w:val="nil"/>
              <w:bottom w:val="single" w:sz="4" w:space="0" w:color="auto"/>
              <w:right w:val="single" w:sz="4" w:space="0" w:color="auto"/>
            </w:tcBorders>
            <w:shd w:val="clear" w:color="000000" w:fill="F2F2F2"/>
            <w:noWrap/>
            <w:vAlign w:val="bottom"/>
            <w:hideMark/>
          </w:tcPr>
          <w:p w14:paraId="71FDB6F4"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5.31%</w:t>
            </w:r>
          </w:p>
        </w:tc>
        <w:tc>
          <w:tcPr>
            <w:tcW w:w="816" w:type="dxa"/>
            <w:tcBorders>
              <w:top w:val="nil"/>
              <w:left w:val="nil"/>
              <w:bottom w:val="single" w:sz="4" w:space="0" w:color="auto"/>
              <w:right w:val="single" w:sz="4" w:space="0" w:color="auto"/>
            </w:tcBorders>
            <w:shd w:val="clear" w:color="000000" w:fill="F2F2F2"/>
            <w:noWrap/>
            <w:vAlign w:val="bottom"/>
            <w:hideMark/>
          </w:tcPr>
          <w:p w14:paraId="2D60A09C"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4.59%</w:t>
            </w:r>
          </w:p>
        </w:tc>
        <w:tc>
          <w:tcPr>
            <w:tcW w:w="733" w:type="dxa"/>
            <w:tcBorders>
              <w:top w:val="nil"/>
              <w:left w:val="nil"/>
              <w:bottom w:val="single" w:sz="4" w:space="0" w:color="auto"/>
              <w:right w:val="single" w:sz="4" w:space="0" w:color="auto"/>
            </w:tcBorders>
            <w:shd w:val="clear" w:color="000000" w:fill="F2F2F2"/>
            <w:noWrap/>
            <w:vAlign w:val="bottom"/>
            <w:hideMark/>
          </w:tcPr>
          <w:p w14:paraId="6EFE3EC9"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7.42%</w:t>
            </w:r>
          </w:p>
        </w:tc>
        <w:tc>
          <w:tcPr>
            <w:tcW w:w="999" w:type="dxa"/>
            <w:tcBorders>
              <w:top w:val="nil"/>
              <w:left w:val="nil"/>
              <w:bottom w:val="single" w:sz="4" w:space="0" w:color="auto"/>
              <w:right w:val="single" w:sz="4" w:space="0" w:color="auto"/>
            </w:tcBorders>
            <w:shd w:val="clear" w:color="000000" w:fill="F2F2F2"/>
            <w:noWrap/>
            <w:vAlign w:val="bottom"/>
            <w:hideMark/>
          </w:tcPr>
          <w:p w14:paraId="2ABB951D"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2.11%</w:t>
            </w:r>
          </w:p>
        </w:tc>
      </w:tr>
      <w:tr w:rsidR="00EB0778" w:rsidRPr="000F461B" w14:paraId="30676607" w14:textId="77777777" w:rsidTr="00475C6D">
        <w:trPr>
          <w:trHeight w:val="290"/>
        </w:trPr>
        <w:tc>
          <w:tcPr>
            <w:tcW w:w="1065" w:type="dxa"/>
            <w:tcBorders>
              <w:top w:val="nil"/>
              <w:left w:val="single" w:sz="4" w:space="0" w:color="auto"/>
              <w:bottom w:val="single" w:sz="4" w:space="0" w:color="auto"/>
              <w:right w:val="single" w:sz="4" w:space="0" w:color="auto"/>
            </w:tcBorders>
            <w:shd w:val="clear" w:color="F7CAAC" w:fill="F7CAAC"/>
            <w:noWrap/>
            <w:vAlign w:val="bottom"/>
            <w:hideMark/>
          </w:tcPr>
          <w:p w14:paraId="31886D23" w14:textId="77777777" w:rsidR="00EB0778" w:rsidRPr="000F461B" w:rsidRDefault="00EB0778" w:rsidP="00EB0778">
            <w:pPr>
              <w:spacing w:after="0"/>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SADBL</w:t>
            </w:r>
          </w:p>
        </w:tc>
        <w:tc>
          <w:tcPr>
            <w:tcW w:w="1065" w:type="dxa"/>
            <w:tcBorders>
              <w:top w:val="nil"/>
              <w:left w:val="nil"/>
              <w:bottom w:val="single" w:sz="4" w:space="0" w:color="auto"/>
              <w:right w:val="single" w:sz="4" w:space="0" w:color="auto"/>
            </w:tcBorders>
            <w:shd w:val="clear" w:color="000000" w:fill="F2F2F2"/>
            <w:noWrap/>
            <w:vAlign w:val="bottom"/>
            <w:hideMark/>
          </w:tcPr>
          <w:p w14:paraId="59CFA244" w14:textId="77777777" w:rsidR="00EB0778" w:rsidRPr="000F461B" w:rsidRDefault="00EB0778" w:rsidP="00EB0778">
            <w:pPr>
              <w:spacing w:after="0"/>
              <w:jc w:val="right"/>
              <w:rPr>
                <w:rFonts w:ascii="Times New Roman" w:eastAsia="Times New Roman" w:hAnsi="Times New Roman" w:cs="Times New Roman"/>
                <w:color w:val="00B0F0"/>
                <w:sz w:val="20"/>
                <w:szCs w:val="20"/>
              </w:rPr>
            </w:pPr>
            <w:r w:rsidRPr="000F461B">
              <w:rPr>
                <w:rFonts w:ascii="Times New Roman" w:eastAsia="Times New Roman" w:hAnsi="Times New Roman" w:cs="Times New Roman"/>
                <w:color w:val="00B0F0"/>
                <w:sz w:val="20"/>
                <w:szCs w:val="20"/>
              </w:rPr>
              <w:t>10.57%</w:t>
            </w:r>
          </w:p>
        </w:tc>
        <w:tc>
          <w:tcPr>
            <w:tcW w:w="833" w:type="dxa"/>
            <w:tcBorders>
              <w:top w:val="nil"/>
              <w:left w:val="nil"/>
              <w:bottom w:val="single" w:sz="4" w:space="0" w:color="auto"/>
              <w:right w:val="single" w:sz="4" w:space="0" w:color="auto"/>
            </w:tcBorders>
            <w:shd w:val="clear" w:color="000000" w:fill="F2F2F2"/>
            <w:noWrap/>
            <w:vAlign w:val="bottom"/>
            <w:hideMark/>
          </w:tcPr>
          <w:p w14:paraId="0D9100A5"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13.70%</w:t>
            </w:r>
          </w:p>
        </w:tc>
        <w:tc>
          <w:tcPr>
            <w:tcW w:w="1127" w:type="dxa"/>
            <w:tcBorders>
              <w:top w:val="nil"/>
              <w:left w:val="nil"/>
              <w:bottom w:val="single" w:sz="4" w:space="0" w:color="auto"/>
              <w:right w:val="single" w:sz="4" w:space="0" w:color="auto"/>
            </w:tcBorders>
            <w:shd w:val="clear" w:color="000000" w:fill="F2F2F2"/>
            <w:noWrap/>
            <w:vAlign w:val="bottom"/>
            <w:hideMark/>
          </w:tcPr>
          <w:p w14:paraId="0ED269AD"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4.97%</w:t>
            </w:r>
          </w:p>
        </w:tc>
        <w:tc>
          <w:tcPr>
            <w:tcW w:w="983" w:type="dxa"/>
            <w:tcBorders>
              <w:top w:val="nil"/>
              <w:left w:val="nil"/>
              <w:bottom w:val="single" w:sz="4" w:space="0" w:color="auto"/>
              <w:right w:val="single" w:sz="4" w:space="0" w:color="auto"/>
            </w:tcBorders>
            <w:shd w:val="clear" w:color="000000" w:fill="F2F2F2"/>
            <w:noWrap/>
            <w:vAlign w:val="bottom"/>
            <w:hideMark/>
          </w:tcPr>
          <w:p w14:paraId="392CBA03"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85.88%</w:t>
            </w:r>
          </w:p>
        </w:tc>
        <w:tc>
          <w:tcPr>
            <w:tcW w:w="1216" w:type="dxa"/>
            <w:tcBorders>
              <w:top w:val="nil"/>
              <w:left w:val="nil"/>
              <w:bottom w:val="single" w:sz="4" w:space="0" w:color="auto"/>
              <w:right w:val="single" w:sz="4" w:space="0" w:color="auto"/>
            </w:tcBorders>
            <w:shd w:val="clear" w:color="000000" w:fill="F2F2F2"/>
            <w:noWrap/>
            <w:vAlign w:val="bottom"/>
            <w:hideMark/>
          </w:tcPr>
          <w:p w14:paraId="03E8C65B"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83.75%</w:t>
            </w:r>
          </w:p>
        </w:tc>
        <w:tc>
          <w:tcPr>
            <w:tcW w:w="864" w:type="dxa"/>
            <w:tcBorders>
              <w:top w:val="nil"/>
              <w:left w:val="nil"/>
              <w:bottom w:val="single" w:sz="4" w:space="0" w:color="auto"/>
              <w:right w:val="single" w:sz="4" w:space="0" w:color="auto"/>
            </w:tcBorders>
            <w:shd w:val="clear" w:color="000000" w:fill="F2F2F2"/>
            <w:noWrap/>
            <w:vAlign w:val="bottom"/>
            <w:hideMark/>
          </w:tcPr>
          <w:p w14:paraId="140E4C8E"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5.39%</w:t>
            </w:r>
          </w:p>
        </w:tc>
        <w:tc>
          <w:tcPr>
            <w:tcW w:w="816" w:type="dxa"/>
            <w:tcBorders>
              <w:top w:val="nil"/>
              <w:left w:val="nil"/>
              <w:bottom w:val="single" w:sz="4" w:space="0" w:color="auto"/>
              <w:right w:val="single" w:sz="4" w:space="0" w:color="auto"/>
            </w:tcBorders>
            <w:shd w:val="clear" w:color="000000" w:fill="F2F2F2"/>
            <w:noWrap/>
            <w:vAlign w:val="bottom"/>
            <w:hideMark/>
          </w:tcPr>
          <w:p w14:paraId="039B9F9C"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4.04%</w:t>
            </w:r>
          </w:p>
        </w:tc>
        <w:tc>
          <w:tcPr>
            <w:tcW w:w="733" w:type="dxa"/>
            <w:tcBorders>
              <w:top w:val="nil"/>
              <w:left w:val="nil"/>
              <w:bottom w:val="single" w:sz="4" w:space="0" w:color="auto"/>
              <w:right w:val="single" w:sz="4" w:space="0" w:color="auto"/>
            </w:tcBorders>
            <w:shd w:val="clear" w:color="000000" w:fill="F2F2F2"/>
            <w:noWrap/>
            <w:vAlign w:val="bottom"/>
            <w:hideMark/>
          </w:tcPr>
          <w:p w14:paraId="0446C3BF"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7.45%</w:t>
            </w:r>
          </w:p>
        </w:tc>
        <w:tc>
          <w:tcPr>
            <w:tcW w:w="999" w:type="dxa"/>
            <w:tcBorders>
              <w:top w:val="nil"/>
              <w:left w:val="nil"/>
              <w:bottom w:val="single" w:sz="4" w:space="0" w:color="auto"/>
              <w:right w:val="single" w:sz="4" w:space="0" w:color="auto"/>
            </w:tcBorders>
            <w:shd w:val="clear" w:color="000000" w:fill="F2F2F2"/>
            <w:noWrap/>
            <w:vAlign w:val="bottom"/>
            <w:hideMark/>
          </w:tcPr>
          <w:p w14:paraId="29D01FF9"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2.06%</w:t>
            </w:r>
          </w:p>
        </w:tc>
      </w:tr>
      <w:tr w:rsidR="00EB0778" w:rsidRPr="000F461B" w14:paraId="11BDE0A4" w14:textId="77777777" w:rsidTr="00475C6D">
        <w:trPr>
          <w:trHeight w:val="290"/>
        </w:trPr>
        <w:tc>
          <w:tcPr>
            <w:tcW w:w="1065" w:type="dxa"/>
            <w:tcBorders>
              <w:top w:val="nil"/>
              <w:left w:val="single" w:sz="4" w:space="0" w:color="auto"/>
              <w:bottom w:val="single" w:sz="4" w:space="0" w:color="auto"/>
              <w:right w:val="single" w:sz="4" w:space="0" w:color="auto"/>
            </w:tcBorders>
            <w:shd w:val="clear" w:color="F7CAAC" w:fill="F7CAAC"/>
            <w:noWrap/>
            <w:vAlign w:val="bottom"/>
            <w:hideMark/>
          </w:tcPr>
          <w:p w14:paraId="09C1FAD4" w14:textId="77777777" w:rsidR="00EB0778" w:rsidRPr="000F461B" w:rsidRDefault="00EB0778" w:rsidP="00EB0778">
            <w:pPr>
              <w:spacing w:after="0"/>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KSBBL</w:t>
            </w:r>
          </w:p>
        </w:tc>
        <w:tc>
          <w:tcPr>
            <w:tcW w:w="1065" w:type="dxa"/>
            <w:tcBorders>
              <w:top w:val="nil"/>
              <w:left w:val="nil"/>
              <w:bottom w:val="single" w:sz="4" w:space="0" w:color="auto"/>
              <w:right w:val="single" w:sz="4" w:space="0" w:color="auto"/>
            </w:tcBorders>
            <w:shd w:val="clear" w:color="000000" w:fill="F2F2F2"/>
            <w:noWrap/>
            <w:vAlign w:val="bottom"/>
            <w:hideMark/>
          </w:tcPr>
          <w:p w14:paraId="71C05A26" w14:textId="77777777" w:rsidR="00EB0778" w:rsidRPr="000F461B" w:rsidRDefault="00EB0778" w:rsidP="00EB0778">
            <w:pPr>
              <w:spacing w:after="0"/>
              <w:jc w:val="right"/>
              <w:rPr>
                <w:rFonts w:ascii="Times New Roman" w:eastAsia="Times New Roman" w:hAnsi="Times New Roman" w:cs="Times New Roman"/>
                <w:color w:val="00B0F0"/>
                <w:sz w:val="20"/>
                <w:szCs w:val="20"/>
              </w:rPr>
            </w:pPr>
            <w:r w:rsidRPr="000F461B">
              <w:rPr>
                <w:rFonts w:ascii="Times New Roman" w:eastAsia="Times New Roman" w:hAnsi="Times New Roman" w:cs="Times New Roman"/>
                <w:color w:val="00B0F0"/>
                <w:sz w:val="20"/>
                <w:szCs w:val="20"/>
              </w:rPr>
              <w:t>10.14%</w:t>
            </w:r>
          </w:p>
        </w:tc>
        <w:tc>
          <w:tcPr>
            <w:tcW w:w="833" w:type="dxa"/>
            <w:tcBorders>
              <w:top w:val="nil"/>
              <w:left w:val="nil"/>
              <w:bottom w:val="single" w:sz="4" w:space="0" w:color="auto"/>
              <w:right w:val="single" w:sz="4" w:space="0" w:color="auto"/>
            </w:tcBorders>
            <w:shd w:val="clear" w:color="000000" w:fill="F2F2F2"/>
            <w:noWrap/>
            <w:vAlign w:val="bottom"/>
            <w:hideMark/>
          </w:tcPr>
          <w:p w14:paraId="7B4F5A6A"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12.86%</w:t>
            </w:r>
          </w:p>
        </w:tc>
        <w:tc>
          <w:tcPr>
            <w:tcW w:w="1127" w:type="dxa"/>
            <w:tcBorders>
              <w:top w:val="nil"/>
              <w:left w:val="nil"/>
              <w:bottom w:val="single" w:sz="4" w:space="0" w:color="auto"/>
              <w:right w:val="single" w:sz="4" w:space="0" w:color="auto"/>
            </w:tcBorders>
            <w:shd w:val="clear" w:color="000000" w:fill="F2F2F2"/>
            <w:noWrap/>
            <w:vAlign w:val="bottom"/>
            <w:hideMark/>
          </w:tcPr>
          <w:p w14:paraId="2E4C8307"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4.27%</w:t>
            </w:r>
          </w:p>
        </w:tc>
        <w:tc>
          <w:tcPr>
            <w:tcW w:w="983" w:type="dxa"/>
            <w:tcBorders>
              <w:top w:val="nil"/>
              <w:left w:val="nil"/>
              <w:bottom w:val="single" w:sz="4" w:space="0" w:color="auto"/>
              <w:right w:val="single" w:sz="4" w:space="0" w:color="auto"/>
            </w:tcBorders>
            <w:shd w:val="clear" w:color="000000" w:fill="F2F2F2"/>
            <w:noWrap/>
            <w:vAlign w:val="bottom"/>
            <w:hideMark/>
          </w:tcPr>
          <w:p w14:paraId="484B7A62"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104.64%</w:t>
            </w:r>
          </w:p>
        </w:tc>
        <w:tc>
          <w:tcPr>
            <w:tcW w:w="1216" w:type="dxa"/>
            <w:tcBorders>
              <w:top w:val="nil"/>
              <w:left w:val="nil"/>
              <w:bottom w:val="single" w:sz="4" w:space="0" w:color="auto"/>
              <w:right w:val="single" w:sz="4" w:space="0" w:color="auto"/>
            </w:tcBorders>
            <w:shd w:val="clear" w:color="000000" w:fill="F2F2F2"/>
            <w:noWrap/>
            <w:vAlign w:val="bottom"/>
            <w:hideMark/>
          </w:tcPr>
          <w:p w14:paraId="12A2EF73"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86.07%</w:t>
            </w:r>
          </w:p>
        </w:tc>
        <w:tc>
          <w:tcPr>
            <w:tcW w:w="864" w:type="dxa"/>
            <w:tcBorders>
              <w:top w:val="nil"/>
              <w:left w:val="nil"/>
              <w:bottom w:val="single" w:sz="4" w:space="0" w:color="auto"/>
              <w:right w:val="single" w:sz="4" w:space="0" w:color="auto"/>
            </w:tcBorders>
            <w:shd w:val="clear" w:color="000000" w:fill="F2F2F2"/>
            <w:noWrap/>
            <w:vAlign w:val="bottom"/>
            <w:hideMark/>
          </w:tcPr>
          <w:p w14:paraId="0FC8CD32"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5.41%</w:t>
            </w:r>
          </w:p>
        </w:tc>
        <w:tc>
          <w:tcPr>
            <w:tcW w:w="816" w:type="dxa"/>
            <w:tcBorders>
              <w:top w:val="nil"/>
              <w:left w:val="nil"/>
              <w:bottom w:val="single" w:sz="4" w:space="0" w:color="auto"/>
              <w:right w:val="single" w:sz="4" w:space="0" w:color="auto"/>
            </w:tcBorders>
            <w:shd w:val="clear" w:color="000000" w:fill="F2F2F2"/>
            <w:noWrap/>
            <w:vAlign w:val="bottom"/>
            <w:hideMark/>
          </w:tcPr>
          <w:p w14:paraId="2574B668"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4.30%</w:t>
            </w:r>
          </w:p>
        </w:tc>
        <w:tc>
          <w:tcPr>
            <w:tcW w:w="733" w:type="dxa"/>
            <w:tcBorders>
              <w:top w:val="nil"/>
              <w:left w:val="nil"/>
              <w:bottom w:val="single" w:sz="4" w:space="0" w:color="auto"/>
              <w:right w:val="single" w:sz="4" w:space="0" w:color="auto"/>
            </w:tcBorders>
            <w:shd w:val="clear" w:color="000000" w:fill="F2F2F2"/>
            <w:noWrap/>
            <w:vAlign w:val="bottom"/>
            <w:hideMark/>
          </w:tcPr>
          <w:p w14:paraId="098672F3"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7.42%</w:t>
            </w:r>
          </w:p>
        </w:tc>
        <w:tc>
          <w:tcPr>
            <w:tcW w:w="999" w:type="dxa"/>
            <w:tcBorders>
              <w:top w:val="nil"/>
              <w:left w:val="nil"/>
              <w:bottom w:val="single" w:sz="4" w:space="0" w:color="auto"/>
              <w:right w:val="single" w:sz="4" w:space="0" w:color="auto"/>
            </w:tcBorders>
            <w:shd w:val="clear" w:color="000000" w:fill="F2F2F2"/>
            <w:noWrap/>
            <w:vAlign w:val="bottom"/>
            <w:hideMark/>
          </w:tcPr>
          <w:p w14:paraId="05F48C7A"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2.01%</w:t>
            </w:r>
          </w:p>
        </w:tc>
      </w:tr>
      <w:tr w:rsidR="00EB0778" w:rsidRPr="000F461B" w14:paraId="430CF735" w14:textId="77777777" w:rsidTr="00475C6D">
        <w:trPr>
          <w:trHeight w:val="290"/>
        </w:trPr>
        <w:tc>
          <w:tcPr>
            <w:tcW w:w="1065" w:type="dxa"/>
            <w:tcBorders>
              <w:top w:val="nil"/>
              <w:left w:val="single" w:sz="4" w:space="0" w:color="auto"/>
              <w:bottom w:val="single" w:sz="4" w:space="0" w:color="auto"/>
              <w:right w:val="single" w:sz="4" w:space="0" w:color="auto"/>
            </w:tcBorders>
            <w:shd w:val="clear" w:color="F7CAAC" w:fill="F7CAAC"/>
            <w:noWrap/>
            <w:vAlign w:val="bottom"/>
            <w:hideMark/>
          </w:tcPr>
          <w:p w14:paraId="3C5FAF85" w14:textId="77777777" w:rsidR="00EB0778" w:rsidRPr="000F461B" w:rsidRDefault="00EB0778" w:rsidP="00EB0778">
            <w:pPr>
              <w:spacing w:after="0"/>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SHINE</w:t>
            </w:r>
          </w:p>
        </w:tc>
        <w:tc>
          <w:tcPr>
            <w:tcW w:w="1065" w:type="dxa"/>
            <w:tcBorders>
              <w:top w:val="nil"/>
              <w:left w:val="nil"/>
              <w:bottom w:val="single" w:sz="4" w:space="0" w:color="auto"/>
              <w:right w:val="single" w:sz="4" w:space="0" w:color="auto"/>
            </w:tcBorders>
            <w:shd w:val="clear" w:color="000000" w:fill="F2F2F2"/>
            <w:noWrap/>
            <w:vAlign w:val="bottom"/>
            <w:hideMark/>
          </w:tcPr>
          <w:p w14:paraId="3DDD6725" w14:textId="77777777" w:rsidR="00EB0778" w:rsidRPr="000F461B" w:rsidRDefault="00EB0778" w:rsidP="00EB0778">
            <w:pPr>
              <w:spacing w:after="0"/>
              <w:jc w:val="right"/>
              <w:rPr>
                <w:rFonts w:ascii="Times New Roman" w:eastAsia="Times New Roman" w:hAnsi="Times New Roman" w:cs="Times New Roman"/>
                <w:color w:val="00B0F0"/>
                <w:sz w:val="20"/>
                <w:szCs w:val="20"/>
              </w:rPr>
            </w:pPr>
            <w:r w:rsidRPr="000F461B">
              <w:rPr>
                <w:rFonts w:ascii="Times New Roman" w:eastAsia="Times New Roman" w:hAnsi="Times New Roman" w:cs="Times New Roman"/>
                <w:color w:val="00B0F0"/>
                <w:sz w:val="20"/>
                <w:szCs w:val="20"/>
              </w:rPr>
              <w:t>11.24%</w:t>
            </w:r>
          </w:p>
        </w:tc>
        <w:tc>
          <w:tcPr>
            <w:tcW w:w="833" w:type="dxa"/>
            <w:tcBorders>
              <w:top w:val="nil"/>
              <w:left w:val="nil"/>
              <w:bottom w:val="single" w:sz="4" w:space="0" w:color="auto"/>
              <w:right w:val="single" w:sz="4" w:space="0" w:color="auto"/>
            </w:tcBorders>
            <w:shd w:val="clear" w:color="000000" w:fill="F2F2F2"/>
            <w:noWrap/>
            <w:vAlign w:val="bottom"/>
            <w:hideMark/>
          </w:tcPr>
          <w:p w14:paraId="71CACA82"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12.59%</w:t>
            </w:r>
          </w:p>
        </w:tc>
        <w:tc>
          <w:tcPr>
            <w:tcW w:w="1127" w:type="dxa"/>
            <w:tcBorders>
              <w:top w:val="nil"/>
              <w:left w:val="nil"/>
              <w:bottom w:val="single" w:sz="4" w:space="0" w:color="auto"/>
              <w:right w:val="single" w:sz="4" w:space="0" w:color="auto"/>
            </w:tcBorders>
            <w:shd w:val="clear" w:color="000000" w:fill="F2F2F2"/>
            <w:noWrap/>
            <w:vAlign w:val="bottom"/>
            <w:hideMark/>
          </w:tcPr>
          <w:p w14:paraId="0BC7D5CA"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4.76%</w:t>
            </w:r>
          </w:p>
        </w:tc>
        <w:tc>
          <w:tcPr>
            <w:tcW w:w="983" w:type="dxa"/>
            <w:tcBorders>
              <w:top w:val="nil"/>
              <w:left w:val="nil"/>
              <w:bottom w:val="single" w:sz="4" w:space="0" w:color="auto"/>
              <w:right w:val="single" w:sz="4" w:space="0" w:color="auto"/>
            </w:tcBorders>
            <w:shd w:val="clear" w:color="000000" w:fill="F2F2F2"/>
            <w:noWrap/>
            <w:vAlign w:val="bottom"/>
            <w:hideMark/>
          </w:tcPr>
          <w:p w14:paraId="0C6163E7"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82.83%</w:t>
            </w:r>
          </w:p>
        </w:tc>
        <w:tc>
          <w:tcPr>
            <w:tcW w:w="1216" w:type="dxa"/>
            <w:tcBorders>
              <w:top w:val="nil"/>
              <w:left w:val="nil"/>
              <w:bottom w:val="single" w:sz="4" w:space="0" w:color="auto"/>
              <w:right w:val="single" w:sz="4" w:space="0" w:color="auto"/>
            </w:tcBorders>
            <w:shd w:val="clear" w:color="000000" w:fill="F2F2F2"/>
            <w:noWrap/>
            <w:vAlign w:val="bottom"/>
            <w:hideMark/>
          </w:tcPr>
          <w:p w14:paraId="0F424D44"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82.40%</w:t>
            </w:r>
          </w:p>
        </w:tc>
        <w:tc>
          <w:tcPr>
            <w:tcW w:w="864" w:type="dxa"/>
            <w:tcBorders>
              <w:top w:val="nil"/>
              <w:left w:val="nil"/>
              <w:bottom w:val="single" w:sz="4" w:space="0" w:color="auto"/>
              <w:right w:val="single" w:sz="4" w:space="0" w:color="auto"/>
            </w:tcBorders>
            <w:shd w:val="clear" w:color="000000" w:fill="F2F2F2"/>
            <w:noWrap/>
            <w:vAlign w:val="bottom"/>
            <w:hideMark/>
          </w:tcPr>
          <w:p w14:paraId="7D9AF3F4"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5.09%</w:t>
            </w:r>
          </w:p>
        </w:tc>
        <w:tc>
          <w:tcPr>
            <w:tcW w:w="816" w:type="dxa"/>
            <w:tcBorders>
              <w:top w:val="nil"/>
              <w:left w:val="nil"/>
              <w:bottom w:val="single" w:sz="4" w:space="0" w:color="auto"/>
              <w:right w:val="single" w:sz="4" w:space="0" w:color="auto"/>
            </w:tcBorders>
            <w:shd w:val="clear" w:color="000000" w:fill="F2F2F2"/>
            <w:noWrap/>
            <w:vAlign w:val="bottom"/>
            <w:hideMark/>
          </w:tcPr>
          <w:p w14:paraId="3C8DD811"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4.34%</w:t>
            </w:r>
          </w:p>
        </w:tc>
        <w:tc>
          <w:tcPr>
            <w:tcW w:w="733" w:type="dxa"/>
            <w:tcBorders>
              <w:top w:val="nil"/>
              <w:left w:val="nil"/>
              <w:bottom w:val="single" w:sz="4" w:space="0" w:color="auto"/>
              <w:right w:val="single" w:sz="4" w:space="0" w:color="auto"/>
            </w:tcBorders>
            <w:shd w:val="clear" w:color="000000" w:fill="F2F2F2"/>
            <w:noWrap/>
            <w:vAlign w:val="bottom"/>
            <w:hideMark/>
          </w:tcPr>
          <w:p w14:paraId="28A6EAE7"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6.99%</w:t>
            </w:r>
          </w:p>
        </w:tc>
        <w:tc>
          <w:tcPr>
            <w:tcW w:w="999" w:type="dxa"/>
            <w:tcBorders>
              <w:top w:val="nil"/>
              <w:left w:val="nil"/>
              <w:bottom w:val="single" w:sz="4" w:space="0" w:color="auto"/>
              <w:right w:val="single" w:sz="4" w:space="0" w:color="auto"/>
            </w:tcBorders>
            <w:shd w:val="clear" w:color="000000" w:fill="F2F2F2"/>
            <w:noWrap/>
            <w:vAlign w:val="bottom"/>
            <w:hideMark/>
          </w:tcPr>
          <w:p w14:paraId="268E7AE2"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1.90%</w:t>
            </w:r>
          </w:p>
        </w:tc>
      </w:tr>
      <w:tr w:rsidR="00EB0778" w:rsidRPr="000F461B" w14:paraId="16AD2CDE" w14:textId="77777777" w:rsidTr="00475C6D">
        <w:trPr>
          <w:trHeight w:val="290"/>
        </w:trPr>
        <w:tc>
          <w:tcPr>
            <w:tcW w:w="1065" w:type="dxa"/>
            <w:tcBorders>
              <w:top w:val="nil"/>
              <w:left w:val="single" w:sz="4" w:space="0" w:color="auto"/>
              <w:bottom w:val="single" w:sz="4" w:space="0" w:color="auto"/>
              <w:right w:val="single" w:sz="4" w:space="0" w:color="auto"/>
            </w:tcBorders>
            <w:shd w:val="clear" w:color="F7CAAC" w:fill="F7CAAC"/>
            <w:noWrap/>
            <w:vAlign w:val="bottom"/>
            <w:hideMark/>
          </w:tcPr>
          <w:p w14:paraId="6374948D" w14:textId="77777777" w:rsidR="00EB0778" w:rsidRPr="000F461B" w:rsidRDefault="00EB0778" w:rsidP="00EB0778">
            <w:pPr>
              <w:spacing w:after="0"/>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GBBL</w:t>
            </w:r>
          </w:p>
        </w:tc>
        <w:tc>
          <w:tcPr>
            <w:tcW w:w="1065" w:type="dxa"/>
            <w:tcBorders>
              <w:top w:val="nil"/>
              <w:left w:val="nil"/>
              <w:bottom w:val="single" w:sz="4" w:space="0" w:color="auto"/>
              <w:right w:val="single" w:sz="4" w:space="0" w:color="auto"/>
            </w:tcBorders>
            <w:shd w:val="clear" w:color="000000" w:fill="F2F2F2"/>
            <w:noWrap/>
            <w:vAlign w:val="bottom"/>
            <w:hideMark/>
          </w:tcPr>
          <w:p w14:paraId="0A73DF6F" w14:textId="77777777" w:rsidR="00EB0778" w:rsidRPr="000F461B" w:rsidRDefault="00EB0778" w:rsidP="00EB0778">
            <w:pPr>
              <w:spacing w:after="0"/>
              <w:jc w:val="right"/>
              <w:rPr>
                <w:rFonts w:ascii="Times New Roman" w:eastAsia="Times New Roman" w:hAnsi="Times New Roman" w:cs="Times New Roman"/>
                <w:color w:val="00B0F0"/>
                <w:sz w:val="20"/>
                <w:szCs w:val="20"/>
              </w:rPr>
            </w:pPr>
            <w:r w:rsidRPr="000F461B">
              <w:rPr>
                <w:rFonts w:ascii="Times New Roman" w:eastAsia="Times New Roman" w:hAnsi="Times New Roman" w:cs="Times New Roman"/>
                <w:color w:val="00B0F0"/>
                <w:sz w:val="20"/>
                <w:szCs w:val="20"/>
              </w:rPr>
              <w:t>10.98%</w:t>
            </w:r>
          </w:p>
        </w:tc>
        <w:tc>
          <w:tcPr>
            <w:tcW w:w="833" w:type="dxa"/>
            <w:tcBorders>
              <w:top w:val="nil"/>
              <w:left w:val="nil"/>
              <w:bottom w:val="single" w:sz="4" w:space="0" w:color="auto"/>
              <w:right w:val="single" w:sz="4" w:space="0" w:color="auto"/>
            </w:tcBorders>
            <w:shd w:val="clear" w:color="000000" w:fill="F2F2F2"/>
            <w:noWrap/>
            <w:vAlign w:val="bottom"/>
            <w:hideMark/>
          </w:tcPr>
          <w:p w14:paraId="1A4F629E"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13.09%</w:t>
            </w:r>
          </w:p>
        </w:tc>
        <w:tc>
          <w:tcPr>
            <w:tcW w:w="1127" w:type="dxa"/>
            <w:tcBorders>
              <w:top w:val="nil"/>
              <w:left w:val="nil"/>
              <w:bottom w:val="single" w:sz="4" w:space="0" w:color="auto"/>
              <w:right w:val="single" w:sz="4" w:space="0" w:color="auto"/>
            </w:tcBorders>
            <w:shd w:val="clear" w:color="000000" w:fill="F2F2F2"/>
            <w:noWrap/>
            <w:vAlign w:val="bottom"/>
            <w:hideMark/>
          </w:tcPr>
          <w:p w14:paraId="72871133"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4.78%</w:t>
            </w:r>
          </w:p>
        </w:tc>
        <w:tc>
          <w:tcPr>
            <w:tcW w:w="983" w:type="dxa"/>
            <w:tcBorders>
              <w:top w:val="nil"/>
              <w:left w:val="nil"/>
              <w:bottom w:val="single" w:sz="4" w:space="0" w:color="auto"/>
              <w:right w:val="single" w:sz="4" w:space="0" w:color="auto"/>
            </w:tcBorders>
            <w:shd w:val="clear" w:color="000000" w:fill="F2F2F2"/>
            <w:noWrap/>
            <w:vAlign w:val="bottom"/>
            <w:hideMark/>
          </w:tcPr>
          <w:p w14:paraId="42ABCE82"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111.06%</w:t>
            </w:r>
          </w:p>
        </w:tc>
        <w:tc>
          <w:tcPr>
            <w:tcW w:w="1216" w:type="dxa"/>
            <w:tcBorders>
              <w:top w:val="nil"/>
              <w:left w:val="nil"/>
              <w:bottom w:val="single" w:sz="4" w:space="0" w:color="auto"/>
              <w:right w:val="single" w:sz="4" w:space="0" w:color="auto"/>
            </w:tcBorders>
            <w:shd w:val="clear" w:color="000000" w:fill="F2F2F2"/>
            <w:noWrap/>
            <w:vAlign w:val="bottom"/>
            <w:hideMark/>
          </w:tcPr>
          <w:p w14:paraId="541E2A2A"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87.95%</w:t>
            </w:r>
          </w:p>
        </w:tc>
        <w:tc>
          <w:tcPr>
            <w:tcW w:w="864" w:type="dxa"/>
            <w:tcBorders>
              <w:top w:val="nil"/>
              <w:left w:val="nil"/>
              <w:bottom w:val="single" w:sz="4" w:space="0" w:color="auto"/>
              <w:right w:val="single" w:sz="4" w:space="0" w:color="auto"/>
            </w:tcBorders>
            <w:shd w:val="clear" w:color="000000" w:fill="F2F2F2"/>
            <w:noWrap/>
            <w:vAlign w:val="bottom"/>
            <w:hideMark/>
          </w:tcPr>
          <w:p w14:paraId="24447E67"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5.07%</w:t>
            </w:r>
          </w:p>
        </w:tc>
        <w:tc>
          <w:tcPr>
            <w:tcW w:w="816" w:type="dxa"/>
            <w:tcBorders>
              <w:top w:val="nil"/>
              <w:left w:val="nil"/>
              <w:bottom w:val="single" w:sz="4" w:space="0" w:color="auto"/>
              <w:right w:val="single" w:sz="4" w:space="0" w:color="auto"/>
            </w:tcBorders>
            <w:shd w:val="clear" w:color="000000" w:fill="F2F2F2"/>
            <w:noWrap/>
            <w:vAlign w:val="bottom"/>
            <w:hideMark/>
          </w:tcPr>
          <w:p w14:paraId="72B1F388"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4.56%</w:t>
            </w:r>
          </w:p>
        </w:tc>
        <w:tc>
          <w:tcPr>
            <w:tcW w:w="733" w:type="dxa"/>
            <w:tcBorders>
              <w:top w:val="nil"/>
              <w:left w:val="nil"/>
              <w:bottom w:val="single" w:sz="4" w:space="0" w:color="auto"/>
              <w:right w:val="single" w:sz="4" w:space="0" w:color="auto"/>
            </w:tcBorders>
            <w:shd w:val="clear" w:color="000000" w:fill="F2F2F2"/>
            <w:noWrap/>
            <w:vAlign w:val="bottom"/>
            <w:hideMark/>
          </w:tcPr>
          <w:p w14:paraId="2FD89880"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6.92%</w:t>
            </w:r>
          </w:p>
        </w:tc>
        <w:tc>
          <w:tcPr>
            <w:tcW w:w="999" w:type="dxa"/>
            <w:tcBorders>
              <w:top w:val="nil"/>
              <w:left w:val="nil"/>
              <w:bottom w:val="single" w:sz="4" w:space="0" w:color="auto"/>
              <w:right w:val="single" w:sz="4" w:space="0" w:color="auto"/>
            </w:tcBorders>
            <w:shd w:val="clear" w:color="000000" w:fill="F2F2F2"/>
            <w:noWrap/>
            <w:vAlign w:val="bottom"/>
            <w:hideMark/>
          </w:tcPr>
          <w:p w14:paraId="235F3627"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1.85%</w:t>
            </w:r>
          </w:p>
        </w:tc>
      </w:tr>
      <w:tr w:rsidR="00EB0778" w:rsidRPr="000F461B" w14:paraId="640E3EF5" w14:textId="77777777" w:rsidTr="00475C6D">
        <w:trPr>
          <w:trHeight w:val="290"/>
        </w:trPr>
        <w:tc>
          <w:tcPr>
            <w:tcW w:w="1065" w:type="dxa"/>
            <w:tcBorders>
              <w:top w:val="nil"/>
              <w:left w:val="single" w:sz="4" w:space="0" w:color="auto"/>
              <w:bottom w:val="single" w:sz="4" w:space="0" w:color="auto"/>
              <w:right w:val="single" w:sz="4" w:space="0" w:color="auto"/>
            </w:tcBorders>
            <w:shd w:val="clear" w:color="F7CAAC" w:fill="F7CAAC"/>
            <w:noWrap/>
            <w:vAlign w:val="bottom"/>
            <w:hideMark/>
          </w:tcPr>
          <w:p w14:paraId="0C9F0B0E" w14:textId="77777777" w:rsidR="00EB0778" w:rsidRPr="000F461B" w:rsidRDefault="00EB0778" w:rsidP="00EB0778">
            <w:pPr>
              <w:spacing w:after="0"/>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LBBL</w:t>
            </w:r>
          </w:p>
        </w:tc>
        <w:tc>
          <w:tcPr>
            <w:tcW w:w="1065" w:type="dxa"/>
            <w:tcBorders>
              <w:top w:val="nil"/>
              <w:left w:val="nil"/>
              <w:bottom w:val="single" w:sz="4" w:space="0" w:color="auto"/>
              <w:right w:val="single" w:sz="4" w:space="0" w:color="auto"/>
            </w:tcBorders>
            <w:shd w:val="clear" w:color="000000" w:fill="F2F2F2"/>
            <w:noWrap/>
            <w:vAlign w:val="bottom"/>
            <w:hideMark/>
          </w:tcPr>
          <w:p w14:paraId="4C77D9B9" w14:textId="77777777" w:rsidR="00EB0778" w:rsidRPr="000F461B" w:rsidRDefault="00EB0778" w:rsidP="00EB0778">
            <w:pPr>
              <w:spacing w:after="0"/>
              <w:jc w:val="right"/>
              <w:rPr>
                <w:rFonts w:ascii="Times New Roman" w:eastAsia="Times New Roman" w:hAnsi="Times New Roman" w:cs="Times New Roman"/>
                <w:color w:val="00B0F0"/>
                <w:sz w:val="20"/>
                <w:szCs w:val="20"/>
              </w:rPr>
            </w:pPr>
            <w:r w:rsidRPr="000F461B">
              <w:rPr>
                <w:rFonts w:ascii="Times New Roman" w:eastAsia="Times New Roman" w:hAnsi="Times New Roman" w:cs="Times New Roman"/>
                <w:color w:val="00B0F0"/>
                <w:sz w:val="20"/>
                <w:szCs w:val="20"/>
              </w:rPr>
              <w:t>9.46%</w:t>
            </w:r>
          </w:p>
        </w:tc>
        <w:tc>
          <w:tcPr>
            <w:tcW w:w="833" w:type="dxa"/>
            <w:tcBorders>
              <w:top w:val="nil"/>
              <w:left w:val="nil"/>
              <w:bottom w:val="single" w:sz="4" w:space="0" w:color="auto"/>
              <w:right w:val="single" w:sz="4" w:space="0" w:color="auto"/>
            </w:tcBorders>
            <w:shd w:val="clear" w:color="000000" w:fill="F2F2F2"/>
            <w:noWrap/>
            <w:vAlign w:val="bottom"/>
            <w:hideMark/>
          </w:tcPr>
          <w:p w14:paraId="2CE86C8B"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12.94%</w:t>
            </w:r>
          </w:p>
        </w:tc>
        <w:tc>
          <w:tcPr>
            <w:tcW w:w="1127" w:type="dxa"/>
            <w:tcBorders>
              <w:top w:val="nil"/>
              <w:left w:val="nil"/>
              <w:bottom w:val="single" w:sz="4" w:space="0" w:color="auto"/>
              <w:right w:val="single" w:sz="4" w:space="0" w:color="auto"/>
            </w:tcBorders>
            <w:shd w:val="clear" w:color="000000" w:fill="F2F2F2"/>
            <w:noWrap/>
            <w:vAlign w:val="bottom"/>
            <w:hideMark/>
          </w:tcPr>
          <w:p w14:paraId="6B98DE45"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7.18%</w:t>
            </w:r>
          </w:p>
        </w:tc>
        <w:tc>
          <w:tcPr>
            <w:tcW w:w="983" w:type="dxa"/>
            <w:tcBorders>
              <w:top w:val="nil"/>
              <w:left w:val="nil"/>
              <w:bottom w:val="single" w:sz="4" w:space="0" w:color="auto"/>
              <w:right w:val="single" w:sz="4" w:space="0" w:color="auto"/>
            </w:tcBorders>
            <w:shd w:val="clear" w:color="000000" w:fill="F2F2F2"/>
            <w:noWrap/>
            <w:vAlign w:val="bottom"/>
            <w:hideMark/>
          </w:tcPr>
          <w:p w14:paraId="6293EBBC"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78.46%</w:t>
            </w:r>
          </w:p>
        </w:tc>
        <w:tc>
          <w:tcPr>
            <w:tcW w:w="1216" w:type="dxa"/>
            <w:tcBorders>
              <w:top w:val="nil"/>
              <w:left w:val="nil"/>
              <w:bottom w:val="single" w:sz="4" w:space="0" w:color="auto"/>
              <w:right w:val="single" w:sz="4" w:space="0" w:color="auto"/>
            </w:tcBorders>
            <w:shd w:val="clear" w:color="000000" w:fill="F2F2F2"/>
            <w:noWrap/>
            <w:vAlign w:val="bottom"/>
            <w:hideMark/>
          </w:tcPr>
          <w:p w14:paraId="5FC77013"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87.14%</w:t>
            </w:r>
          </w:p>
        </w:tc>
        <w:tc>
          <w:tcPr>
            <w:tcW w:w="864" w:type="dxa"/>
            <w:tcBorders>
              <w:top w:val="nil"/>
              <w:left w:val="nil"/>
              <w:bottom w:val="single" w:sz="4" w:space="0" w:color="auto"/>
              <w:right w:val="single" w:sz="4" w:space="0" w:color="auto"/>
            </w:tcBorders>
            <w:shd w:val="clear" w:color="000000" w:fill="F2F2F2"/>
            <w:noWrap/>
            <w:vAlign w:val="bottom"/>
            <w:hideMark/>
          </w:tcPr>
          <w:p w14:paraId="01236E82"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5.83%</w:t>
            </w:r>
          </w:p>
        </w:tc>
        <w:tc>
          <w:tcPr>
            <w:tcW w:w="816" w:type="dxa"/>
            <w:tcBorders>
              <w:top w:val="nil"/>
              <w:left w:val="nil"/>
              <w:bottom w:val="single" w:sz="4" w:space="0" w:color="auto"/>
              <w:right w:val="single" w:sz="4" w:space="0" w:color="auto"/>
            </w:tcBorders>
            <w:shd w:val="clear" w:color="000000" w:fill="F2F2F2"/>
            <w:noWrap/>
            <w:vAlign w:val="bottom"/>
            <w:hideMark/>
          </w:tcPr>
          <w:p w14:paraId="47533064"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4.34%</w:t>
            </w:r>
          </w:p>
        </w:tc>
        <w:tc>
          <w:tcPr>
            <w:tcW w:w="733" w:type="dxa"/>
            <w:tcBorders>
              <w:top w:val="nil"/>
              <w:left w:val="nil"/>
              <w:bottom w:val="single" w:sz="4" w:space="0" w:color="auto"/>
              <w:right w:val="single" w:sz="4" w:space="0" w:color="auto"/>
            </w:tcBorders>
            <w:shd w:val="clear" w:color="000000" w:fill="F2F2F2"/>
            <w:noWrap/>
            <w:vAlign w:val="bottom"/>
            <w:hideMark/>
          </w:tcPr>
          <w:p w14:paraId="5D744AE3"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7.36%</w:t>
            </w:r>
          </w:p>
        </w:tc>
        <w:tc>
          <w:tcPr>
            <w:tcW w:w="999" w:type="dxa"/>
            <w:tcBorders>
              <w:top w:val="nil"/>
              <w:left w:val="nil"/>
              <w:bottom w:val="single" w:sz="4" w:space="0" w:color="auto"/>
              <w:right w:val="single" w:sz="4" w:space="0" w:color="auto"/>
            </w:tcBorders>
            <w:shd w:val="clear" w:color="000000" w:fill="F2F2F2"/>
            <w:noWrap/>
            <w:vAlign w:val="bottom"/>
            <w:hideMark/>
          </w:tcPr>
          <w:p w14:paraId="5169D49C" w14:textId="77777777" w:rsidR="00EB0778" w:rsidRPr="000F461B" w:rsidRDefault="00EB0778" w:rsidP="00EB0778">
            <w:pPr>
              <w:spacing w:after="0"/>
              <w:jc w:val="right"/>
              <w:rPr>
                <w:rFonts w:ascii="Times New Roman" w:eastAsia="Times New Roman" w:hAnsi="Times New Roman" w:cs="Times New Roman"/>
                <w:color w:val="000000"/>
                <w:sz w:val="20"/>
                <w:szCs w:val="20"/>
              </w:rPr>
            </w:pPr>
            <w:r w:rsidRPr="000F461B">
              <w:rPr>
                <w:rFonts w:ascii="Times New Roman" w:eastAsia="Times New Roman" w:hAnsi="Times New Roman" w:cs="Times New Roman"/>
                <w:color w:val="000000"/>
                <w:sz w:val="20"/>
                <w:szCs w:val="20"/>
              </w:rPr>
              <w:t>1.53%</w:t>
            </w:r>
          </w:p>
        </w:tc>
      </w:tr>
    </w:tbl>
    <w:p w14:paraId="1192387D" w14:textId="77777777" w:rsidR="00EB0778" w:rsidRPr="000F461B" w:rsidRDefault="00EB0778" w:rsidP="00EB0778">
      <w:pPr>
        <w:pStyle w:val="Heading2"/>
        <w:spacing w:line="360" w:lineRule="auto"/>
        <w:rPr>
          <w:rFonts w:cs="Times New Roman"/>
        </w:rPr>
      </w:pPr>
    </w:p>
    <w:p w14:paraId="318DD413" w14:textId="77777777" w:rsidR="00EB0778" w:rsidRPr="000F461B" w:rsidRDefault="00EB0778" w:rsidP="00EB0778">
      <w:pPr>
        <w:pStyle w:val="Heading2"/>
        <w:spacing w:line="360" w:lineRule="auto"/>
        <w:rPr>
          <w:rFonts w:cs="Times New Roman"/>
        </w:rPr>
      </w:pPr>
      <w:bookmarkStart w:id="8" w:name="_Toc204782572"/>
      <w:r w:rsidRPr="000F461B">
        <w:rPr>
          <w:rFonts w:cs="Times New Roman"/>
        </w:rPr>
        <w:t>Capital Adequacy</w:t>
      </w:r>
      <w:bookmarkEnd w:id="8"/>
    </w:p>
    <w:p w14:paraId="290DAD61" w14:textId="77777777" w:rsidR="00EB0778" w:rsidRPr="000F461B" w:rsidRDefault="00EB0778" w:rsidP="00EB0778">
      <w:pPr>
        <w:pStyle w:val="whitespace-pre-wrap"/>
        <w:spacing w:line="360" w:lineRule="auto"/>
      </w:pPr>
      <w:r w:rsidRPr="000F461B">
        <w:t xml:space="preserve">The sector maintains healthy capital buffers with an average Tier 1 capital ratio of 10.43% and total capital fund to RWA of 13.25%, well above regulatory minimums. MLBL leads with the strongest Tier 1 position (12.31%), followed by SHINE (11.24%) and GBBL (10.98%). Only JBBL shows concerning capital levels with a Tier 1 ratio of 8.53%, significantly below sector average though still compliant with regulatory requirements i.e. 8.5%. JBBL will have harder time to increase the business growth due to the lower Tier 1 capital growth. </w:t>
      </w:r>
    </w:p>
    <w:p w14:paraId="0CC118DD" w14:textId="77777777" w:rsidR="00EB0778" w:rsidRPr="000F461B" w:rsidRDefault="00EB0778" w:rsidP="00EB0778">
      <w:pPr>
        <w:pStyle w:val="Heading2"/>
        <w:spacing w:line="360" w:lineRule="auto"/>
        <w:rPr>
          <w:rFonts w:cs="Times New Roman"/>
          <w:szCs w:val="22"/>
        </w:rPr>
      </w:pPr>
      <w:bookmarkStart w:id="9" w:name="_Toc204782573"/>
      <w:r w:rsidRPr="000F461B">
        <w:rPr>
          <w:rFonts w:cs="Times New Roman"/>
          <w:szCs w:val="22"/>
        </w:rPr>
        <w:t>Profitability Metrics</w:t>
      </w:r>
      <w:bookmarkEnd w:id="9"/>
    </w:p>
    <w:p w14:paraId="66E399B8" w14:textId="77777777" w:rsidR="00EB0778" w:rsidRPr="000F461B" w:rsidRDefault="00EB0778" w:rsidP="00EB0778">
      <w:pPr>
        <w:pStyle w:val="whitespace-pre-wrap"/>
        <w:spacing w:line="360" w:lineRule="auto"/>
        <w:rPr>
          <w:sz w:val="22"/>
          <w:szCs w:val="22"/>
        </w:rPr>
      </w:pPr>
      <w:r w:rsidRPr="000F461B">
        <w:rPr>
          <w:sz w:val="22"/>
          <w:szCs w:val="22"/>
        </w:rPr>
        <w:t>Net interest spreads average 4.31% across the sector, with MNBBL (4.59%) and GBBL (4.56%) delivering the strongest margins. After adjusting for NPL impact, MNBBL maintains leadership with a risk-adjusted spread of 4.39%. LBBL shows the least efficient funding structure with the highest cost of funds (5.83% vs. sector average of 5.31%) and smallest base rate-to-cost differential (1.53%). GBBL demonstrates superior interest rate management with competitive rates (base rate of 6.92%) while maintaining healthy spreads.</w:t>
      </w:r>
    </w:p>
    <w:p w14:paraId="448D13F7" w14:textId="77777777" w:rsidR="00EB0778" w:rsidRPr="000F461B" w:rsidRDefault="00EB0778" w:rsidP="00EB0778">
      <w:pPr>
        <w:pStyle w:val="Heading2"/>
        <w:spacing w:line="360" w:lineRule="auto"/>
        <w:rPr>
          <w:rFonts w:cs="Times New Roman"/>
          <w:szCs w:val="22"/>
        </w:rPr>
      </w:pPr>
      <w:bookmarkStart w:id="10" w:name="_Toc204782574"/>
      <w:r w:rsidRPr="000F461B">
        <w:rPr>
          <w:rFonts w:cs="Times New Roman"/>
          <w:szCs w:val="22"/>
        </w:rPr>
        <w:lastRenderedPageBreak/>
        <w:t>Liquidity and Regulatory Compliance</w:t>
      </w:r>
      <w:bookmarkEnd w:id="10"/>
    </w:p>
    <w:p w14:paraId="7343C8B0" w14:textId="77777777" w:rsidR="00EB0778" w:rsidRPr="000F461B" w:rsidRDefault="00EB0778" w:rsidP="00EB0778">
      <w:pPr>
        <w:pStyle w:val="whitespace-pre-wrap"/>
        <w:spacing w:line="360" w:lineRule="auto"/>
        <w:rPr>
          <w:sz w:val="22"/>
          <w:szCs w:val="22"/>
        </w:rPr>
      </w:pPr>
      <w:r w:rsidRPr="000F461B">
        <w:rPr>
          <w:sz w:val="22"/>
          <w:szCs w:val="22"/>
        </w:rPr>
        <w:t>All banks maintain adequate liquidity positions and comply with regulatory requirements. The sector's average credit-deposit ratio of 85.75% suggests prudent liquidity management, though GBBL, MNBBL, MLBL, and LBBL show more aggressive lending relative to their deposit base, approaching the 90% regulatory threshold.</w:t>
      </w:r>
    </w:p>
    <w:p w14:paraId="0A76FF9A" w14:textId="77777777" w:rsidR="00EB0778" w:rsidRPr="000F461B" w:rsidRDefault="00EB0778" w:rsidP="00EB0778">
      <w:pPr>
        <w:pStyle w:val="Heading2"/>
        <w:spacing w:line="360" w:lineRule="auto"/>
        <w:rPr>
          <w:rFonts w:cs="Times New Roman"/>
          <w:szCs w:val="22"/>
        </w:rPr>
      </w:pPr>
      <w:bookmarkStart w:id="11" w:name="_Toc204782575"/>
      <w:r w:rsidRPr="000F461B">
        <w:rPr>
          <w:rFonts w:cs="Times New Roman"/>
          <w:szCs w:val="22"/>
        </w:rPr>
        <w:t>Overall Risk Assessment</w:t>
      </w:r>
      <w:bookmarkEnd w:id="11"/>
    </w:p>
    <w:p w14:paraId="12386D92" w14:textId="77777777" w:rsidR="00EB0778" w:rsidRPr="000F461B" w:rsidRDefault="00EB0778" w:rsidP="00EB0778">
      <w:pPr>
        <w:pStyle w:val="whitespace-pre-wrap"/>
        <w:spacing w:line="360" w:lineRule="auto"/>
        <w:rPr>
          <w:sz w:val="22"/>
          <w:szCs w:val="22"/>
        </w:rPr>
      </w:pPr>
      <w:r w:rsidRPr="000F461B">
        <w:rPr>
          <w:sz w:val="22"/>
          <w:szCs w:val="22"/>
        </w:rPr>
        <w:t>Based on a composite risk evaluation, KSBBL emerges as the most balanced institution with moderate risk metrics across all categories. LBBL presents the highest risk profile, combining capital weakness, poor asset quality, inadequate provisioning, and high funding costs. GBBL demonstrates the strongest overall fundamentals with robust capital, adequate provisioning, strong spreads, and efficient pricing.</w:t>
      </w:r>
    </w:p>
    <w:p w14:paraId="19D03D7A" w14:textId="77777777" w:rsidR="00EB0778" w:rsidRPr="000F461B" w:rsidRDefault="00EB0778" w:rsidP="00EB0778">
      <w:pPr>
        <w:pStyle w:val="Heading2"/>
        <w:spacing w:line="360" w:lineRule="auto"/>
        <w:rPr>
          <w:rFonts w:cs="Times New Roman"/>
        </w:rPr>
      </w:pPr>
      <w:bookmarkStart w:id="12" w:name="_Toc204782576"/>
      <w:r w:rsidRPr="000F461B">
        <w:rPr>
          <w:rFonts w:cs="Times New Roman"/>
        </w:rPr>
        <w:t>Growth Analysis</w:t>
      </w:r>
      <w:bookmarkEnd w:id="12"/>
      <w:r w:rsidRPr="000F461B">
        <w:rPr>
          <w:rFonts w:cs="Times New Roman"/>
        </w:rPr>
        <w:t xml:space="preserve"> </w:t>
      </w:r>
    </w:p>
    <w:p w14:paraId="64D33714" w14:textId="77777777" w:rsidR="00EB0778" w:rsidRPr="000F461B" w:rsidRDefault="00EB0778" w:rsidP="00EB0778">
      <w:pPr>
        <w:rPr>
          <w:rFonts w:ascii="Times New Roman" w:hAnsi="Times New Roman" w:cs="Times New Roman"/>
          <w:highlight w:val="yellow"/>
        </w:rPr>
      </w:pPr>
      <w:r w:rsidRPr="000F461B">
        <w:rPr>
          <w:rFonts w:ascii="Times New Roman" w:hAnsi="Times New Roman" w:cs="Times New Roman"/>
          <w:noProof/>
        </w:rPr>
        <w:drawing>
          <wp:inline distT="0" distB="0" distL="0" distR="0" wp14:anchorId="449E930F" wp14:editId="127C7E1E">
            <wp:extent cx="5901070" cy="4720855"/>
            <wp:effectExtent l="0" t="0" r="4445" b="3810"/>
            <wp:docPr id="39" name="Chart 39">
              <a:extLst xmlns:a="http://schemas.openxmlformats.org/drawingml/2006/main">
                <a:ext uri="{FF2B5EF4-FFF2-40B4-BE49-F238E27FC236}">
                  <a16:creationId xmlns:a16="http://schemas.microsoft.com/office/drawing/2014/main" id="{F5E3EFAF-E4F1-4A85-A5CA-B47955FD4D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5F4D83B" w14:textId="77777777" w:rsidR="00EB0778" w:rsidRPr="000F461B" w:rsidRDefault="00EB0778" w:rsidP="00EB0778">
      <w:pPr>
        <w:spacing w:after="0"/>
        <w:rPr>
          <w:rFonts w:ascii="Times New Roman" w:hAnsi="Times New Roman" w:cs="Times New Roman"/>
          <w:highlight w:val="yellow"/>
        </w:rPr>
      </w:pPr>
    </w:p>
    <w:p w14:paraId="6D17FA5D" w14:textId="77777777" w:rsidR="00EB0778" w:rsidRPr="000F461B" w:rsidRDefault="00EB0778" w:rsidP="00EB0778">
      <w:pPr>
        <w:spacing w:after="0"/>
        <w:rPr>
          <w:rFonts w:ascii="Times New Roman" w:hAnsi="Times New Roman" w:cs="Times New Roman"/>
          <w:highlight w:val="yellow"/>
        </w:rPr>
      </w:pPr>
    </w:p>
    <w:tbl>
      <w:tblPr>
        <w:tblW w:w="106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4"/>
        <w:gridCol w:w="1310"/>
        <w:gridCol w:w="1310"/>
        <w:gridCol w:w="889"/>
        <w:gridCol w:w="1174"/>
        <w:gridCol w:w="1380"/>
        <w:gridCol w:w="1380"/>
        <w:gridCol w:w="930"/>
        <w:gridCol w:w="1173"/>
      </w:tblGrid>
      <w:tr w:rsidR="00EB0778" w:rsidRPr="000F461B" w14:paraId="3ABA04B4" w14:textId="77777777" w:rsidTr="00475C6D">
        <w:trPr>
          <w:trHeight w:val="860"/>
        </w:trPr>
        <w:tc>
          <w:tcPr>
            <w:tcW w:w="0" w:type="auto"/>
            <w:shd w:val="clear" w:color="000000" w:fill="F2F2F2"/>
            <w:noWrap/>
            <w:vAlign w:val="bottom"/>
            <w:hideMark/>
          </w:tcPr>
          <w:p w14:paraId="4BECC50F"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lastRenderedPageBreak/>
              <w:t>ABB</w:t>
            </w:r>
          </w:p>
        </w:tc>
        <w:tc>
          <w:tcPr>
            <w:tcW w:w="0" w:type="auto"/>
            <w:shd w:val="clear" w:color="000000" w:fill="F2F2F2"/>
            <w:vAlign w:val="bottom"/>
            <w:hideMark/>
          </w:tcPr>
          <w:p w14:paraId="5550B347"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LOANS 2024/25Q3 </w:t>
            </w:r>
          </w:p>
        </w:tc>
        <w:tc>
          <w:tcPr>
            <w:tcW w:w="0" w:type="auto"/>
            <w:shd w:val="clear" w:color="000000" w:fill="F2F2F2"/>
            <w:vAlign w:val="bottom"/>
            <w:hideMark/>
          </w:tcPr>
          <w:p w14:paraId="13FA9B0A"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LOANS 2023/24Q3 </w:t>
            </w:r>
          </w:p>
        </w:tc>
        <w:tc>
          <w:tcPr>
            <w:tcW w:w="0" w:type="auto"/>
            <w:shd w:val="clear" w:color="000000" w:fill="F2F2F2"/>
            <w:noWrap/>
            <w:vAlign w:val="bottom"/>
            <w:hideMark/>
          </w:tcPr>
          <w:p w14:paraId="101A85DC"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Growth</w:t>
            </w:r>
          </w:p>
        </w:tc>
        <w:tc>
          <w:tcPr>
            <w:tcW w:w="1174" w:type="dxa"/>
            <w:shd w:val="clear" w:color="000000" w:fill="F2F2F2"/>
            <w:noWrap/>
            <w:vAlign w:val="bottom"/>
            <w:hideMark/>
          </w:tcPr>
          <w:p w14:paraId="648DF760"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Loan amount (in billion)</w:t>
            </w:r>
          </w:p>
        </w:tc>
        <w:tc>
          <w:tcPr>
            <w:tcW w:w="1380" w:type="dxa"/>
            <w:shd w:val="clear" w:color="000000" w:fill="F2F2F2"/>
            <w:vAlign w:val="bottom"/>
            <w:hideMark/>
          </w:tcPr>
          <w:p w14:paraId="35580F64"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DEPOSITS 2024/25Q3 </w:t>
            </w:r>
          </w:p>
        </w:tc>
        <w:tc>
          <w:tcPr>
            <w:tcW w:w="1380" w:type="dxa"/>
            <w:shd w:val="clear" w:color="000000" w:fill="F2F2F2"/>
            <w:vAlign w:val="bottom"/>
            <w:hideMark/>
          </w:tcPr>
          <w:p w14:paraId="0E53504A"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DEPOSITS 2023/24Q3 </w:t>
            </w:r>
          </w:p>
        </w:tc>
        <w:tc>
          <w:tcPr>
            <w:tcW w:w="930" w:type="dxa"/>
            <w:shd w:val="clear" w:color="000000" w:fill="F2F2F2"/>
            <w:noWrap/>
            <w:vAlign w:val="bottom"/>
            <w:hideMark/>
          </w:tcPr>
          <w:p w14:paraId="2D3BDC02"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Growth</w:t>
            </w:r>
          </w:p>
        </w:tc>
        <w:tc>
          <w:tcPr>
            <w:tcW w:w="1173" w:type="dxa"/>
            <w:shd w:val="clear" w:color="000000" w:fill="F2F2F2"/>
            <w:vAlign w:val="bottom"/>
            <w:hideMark/>
          </w:tcPr>
          <w:p w14:paraId="6C740A3F"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Deposit amount (in billion)</w:t>
            </w:r>
          </w:p>
        </w:tc>
      </w:tr>
      <w:tr w:rsidR="00EB0778" w:rsidRPr="000F461B" w14:paraId="1DADAB70" w14:textId="77777777" w:rsidTr="00475C6D">
        <w:trPr>
          <w:trHeight w:val="293"/>
        </w:trPr>
        <w:tc>
          <w:tcPr>
            <w:tcW w:w="0" w:type="auto"/>
            <w:shd w:val="clear" w:color="D0CECE" w:fill="D0CECE"/>
            <w:noWrap/>
            <w:vAlign w:val="bottom"/>
            <w:hideMark/>
          </w:tcPr>
          <w:p w14:paraId="0D5343F0"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KSBBL </w:t>
            </w:r>
          </w:p>
        </w:tc>
        <w:tc>
          <w:tcPr>
            <w:tcW w:w="0" w:type="auto"/>
            <w:shd w:val="clear" w:color="D0CECE" w:fill="D0CECE"/>
            <w:noWrap/>
            <w:vAlign w:val="bottom"/>
            <w:hideMark/>
          </w:tcPr>
          <w:p w14:paraId="4E61F9CC"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52,404,695 </w:t>
            </w:r>
          </w:p>
        </w:tc>
        <w:tc>
          <w:tcPr>
            <w:tcW w:w="0" w:type="auto"/>
            <w:shd w:val="clear" w:color="D0CECE" w:fill="D0CECE"/>
            <w:noWrap/>
            <w:vAlign w:val="bottom"/>
            <w:hideMark/>
          </w:tcPr>
          <w:p w14:paraId="1FB8D603"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48,611,606 </w:t>
            </w:r>
          </w:p>
        </w:tc>
        <w:tc>
          <w:tcPr>
            <w:tcW w:w="0" w:type="auto"/>
            <w:shd w:val="clear" w:color="D0CECE" w:fill="D0CECE"/>
            <w:noWrap/>
            <w:vAlign w:val="bottom"/>
            <w:hideMark/>
          </w:tcPr>
          <w:p w14:paraId="10F6EED5"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7.8%</w:t>
            </w:r>
          </w:p>
        </w:tc>
        <w:tc>
          <w:tcPr>
            <w:tcW w:w="1174" w:type="dxa"/>
            <w:shd w:val="clear" w:color="D0CECE" w:fill="D0CECE"/>
            <w:noWrap/>
            <w:vAlign w:val="bottom"/>
            <w:hideMark/>
          </w:tcPr>
          <w:p w14:paraId="6C352EA1"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3.79 </w:t>
            </w:r>
          </w:p>
        </w:tc>
        <w:tc>
          <w:tcPr>
            <w:tcW w:w="1380" w:type="dxa"/>
            <w:shd w:val="clear" w:color="D0CECE" w:fill="D0CECE"/>
            <w:noWrap/>
            <w:vAlign w:val="bottom"/>
            <w:hideMark/>
          </w:tcPr>
          <w:p w14:paraId="4F4ABABE"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61,887,395 </w:t>
            </w:r>
          </w:p>
        </w:tc>
        <w:tc>
          <w:tcPr>
            <w:tcW w:w="1380" w:type="dxa"/>
            <w:shd w:val="clear" w:color="D0CECE" w:fill="D0CECE"/>
            <w:noWrap/>
            <w:vAlign w:val="bottom"/>
            <w:hideMark/>
          </w:tcPr>
          <w:p w14:paraId="00EAE65D"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57,271,053 </w:t>
            </w:r>
          </w:p>
        </w:tc>
        <w:tc>
          <w:tcPr>
            <w:tcW w:w="930" w:type="dxa"/>
            <w:shd w:val="clear" w:color="D0CECE" w:fill="D0CECE"/>
            <w:noWrap/>
            <w:vAlign w:val="bottom"/>
            <w:hideMark/>
          </w:tcPr>
          <w:p w14:paraId="4E94415F"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8.1%</w:t>
            </w:r>
          </w:p>
        </w:tc>
        <w:tc>
          <w:tcPr>
            <w:tcW w:w="1173" w:type="dxa"/>
            <w:shd w:val="clear" w:color="D0CECE" w:fill="D0CECE"/>
            <w:noWrap/>
            <w:vAlign w:val="bottom"/>
            <w:hideMark/>
          </w:tcPr>
          <w:p w14:paraId="289CAD36"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4.62 </w:t>
            </w:r>
          </w:p>
        </w:tc>
      </w:tr>
      <w:tr w:rsidR="00EB0778" w:rsidRPr="000F461B" w14:paraId="6D220FF3" w14:textId="77777777" w:rsidTr="00475C6D">
        <w:trPr>
          <w:trHeight w:val="293"/>
        </w:trPr>
        <w:tc>
          <w:tcPr>
            <w:tcW w:w="0" w:type="auto"/>
            <w:shd w:val="clear" w:color="000000" w:fill="F2F2F2"/>
            <w:noWrap/>
            <w:vAlign w:val="bottom"/>
            <w:hideMark/>
          </w:tcPr>
          <w:p w14:paraId="2A96B1B8"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GBBL </w:t>
            </w:r>
          </w:p>
        </w:tc>
        <w:tc>
          <w:tcPr>
            <w:tcW w:w="0" w:type="auto"/>
            <w:shd w:val="clear" w:color="000000" w:fill="F2F2F2"/>
            <w:noWrap/>
            <w:vAlign w:val="bottom"/>
            <w:hideMark/>
          </w:tcPr>
          <w:p w14:paraId="722CA500"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73,778,197 </w:t>
            </w:r>
          </w:p>
        </w:tc>
        <w:tc>
          <w:tcPr>
            <w:tcW w:w="0" w:type="auto"/>
            <w:shd w:val="clear" w:color="000000" w:fill="F2F2F2"/>
            <w:noWrap/>
            <w:vAlign w:val="bottom"/>
            <w:hideMark/>
          </w:tcPr>
          <w:p w14:paraId="35C2E3F1"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69,346,584 </w:t>
            </w:r>
          </w:p>
        </w:tc>
        <w:tc>
          <w:tcPr>
            <w:tcW w:w="0" w:type="auto"/>
            <w:shd w:val="clear" w:color="000000" w:fill="F2F2F2"/>
            <w:noWrap/>
            <w:vAlign w:val="bottom"/>
            <w:hideMark/>
          </w:tcPr>
          <w:p w14:paraId="10AF609B"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6.4%</w:t>
            </w:r>
          </w:p>
        </w:tc>
        <w:tc>
          <w:tcPr>
            <w:tcW w:w="1174" w:type="dxa"/>
            <w:shd w:val="clear" w:color="000000" w:fill="F2F2F2"/>
            <w:noWrap/>
            <w:vAlign w:val="bottom"/>
            <w:hideMark/>
          </w:tcPr>
          <w:p w14:paraId="3319DBCC"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4.43 </w:t>
            </w:r>
          </w:p>
        </w:tc>
        <w:tc>
          <w:tcPr>
            <w:tcW w:w="1380" w:type="dxa"/>
            <w:shd w:val="clear" w:color="000000" w:fill="F2F2F2"/>
            <w:noWrap/>
            <w:vAlign w:val="bottom"/>
            <w:hideMark/>
          </w:tcPr>
          <w:p w14:paraId="0211F183"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85,786,910 </w:t>
            </w:r>
          </w:p>
        </w:tc>
        <w:tc>
          <w:tcPr>
            <w:tcW w:w="1380" w:type="dxa"/>
            <w:shd w:val="clear" w:color="000000" w:fill="F2F2F2"/>
            <w:noWrap/>
            <w:vAlign w:val="bottom"/>
            <w:hideMark/>
          </w:tcPr>
          <w:p w14:paraId="056ADE40"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82,827,015 </w:t>
            </w:r>
          </w:p>
        </w:tc>
        <w:tc>
          <w:tcPr>
            <w:tcW w:w="930" w:type="dxa"/>
            <w:shd w:val="clear" w:color="000000" w:fill="F2F2F2"/>
            <w:noWrap/>
            <w:vAlign w:val="bottom"/>
            <w:hideMark/>
          </w:tcPr>
          <w:p w14:paraId="6FDCDE71"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3.6%</w:t>
            </w:r>
          </w:p>
        </w:tc>
        <w:tc>
          <w:tcPr>
            <w:tcW w:w="1173" w:type="dxa"/>
            <w:shd w:val="clear" w:color="000000" w:fill="F2F2F2"/>
            <w:noWrap/>
            <w:vAlign w:val="bottom"/>
            <w:hideMark/>
          </w:tcPr>
          <w:p w14:paraId="074E97CC"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2.96 </w:t>
            </w:r>
          </w:p>
        </w:tc>
      </w:tr>
      <w:tr w:rsidR="00EB0778" w:rsidRPr="000F461B" w14:paraId="1919DB00" w14:textId="77777777" w:rsidTr="00475C6D">
        <w:trPr>
          <w:trHeight w:val="293"/>
        </w:trPr>
        <w:tc>
          <w:tcPr>
            <w:tcW w:w="0" w:type="auto"/>
            <w:shd w:val="clear" w:color="D0CECE" w:fill="D0CECE"/>
            <w:noWrap/>
            <w:vAlign w:val="bottom"/>
            <w:hideMark/>
          </w:tcPr>
          <w:p w14:paraId="4ECAC8E0"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SHINE </w:t>
            </w:r>
          </w:p>
        </w:tc>
        <w:tc>
          <w:tcPr>
            <w:tcW w:w="0" w:type="auto"/>
            <w:shd w:val="clear" w:color="D0CECE" w:fill="D0CECE"/>
            <w:noWrap/>
            <w:vAlign w:val="bottom"/>
            <w:hideMark/>
          </w:tcPr>
          <w:p w14:paraId="54890CEB"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56,044,353 </w:t>
            </w:r>
          </w:p>
        </w:tc>
        <w:tc>
          <w:tcPr>
            <w:tcW w:w="0" w:type="auto"/>
            <w:shd w:val="clear" w:color="D0CECE" w:fill="D0CECE"/>
            <w:noWrap/>
            <w:vAlign w:val="bottom"/>
            <w:hideMark/>
          </w:tcPr>
          <w:p w14:paraId="28C18184"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53,437,300 </w:t>
            </w:r>
          </w:p>
        </w:tc>
        <w:tc>
          <w:tcPr>
            <w:tcW w:w="0" w:type="auto"/>
            <w:shd w:val="clear" w:color="D0CECE" w:fill="D0CECE"/>
            <w:noWrap/>
            <w:vAlign w:val="bottom"/>
            <w:hideMark/>
          </w:tcPr>
          <w:p w14:paraId="22927F3E"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4.9%</w:t>
            </w:r>
          </w:p>
        </w:tc>
        <w:tc>
          <w:tcPr>
            <w:tcW w:w="1174" w:type="dxa"/>
            <w:shd w:val="clear" w:color="D0CECE" w:fill="D0CECE"/>
            <w:noWrap/>
            <w:vAlign w:val="bottom"/>
            <w:hideMark/>
          </w:tcPr>
          <w:p w14:paraId="692842A4"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2.61 </w:t>
            </w:r>
          </w:p>
        </w:tc>
        <w:tc>
          <w:tcPr>
            <w:tcW w:w="1380" w:type="dxa"/>
            <w:shd w:val="clear" w:color="D0CECE" w:fill="D0CECE"/>
            <w:noWrap/>
            <w:vAlign w:val="bottom"/>
            <w:hideMark/>
          </w:tcPr>
          <w:p w14:paraId="4891749B"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69,084,126 </w:t>
            </w:r>
          </w:p>
        </w:tc>
        <w:tc>
          <w:tcPr>
            <w:tcW w:w="1380" w:type="dxa"/>
            <w:shd w:val="clear" w:color="D0CECE" w:fill="D0CECE"/>
            <w:noWrap/>
            <w:vAlign w:val="bottom"/>
            <w:hideMark/>
          </w:tcPr>
          <w:p w14:paraId="0F332EC9"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62,776,430 </w:t>
            </w:r>
          </w:p>
        </w:tc>
        <w:tc>
          <w:tcPr>
            <w:tcW w:w="930" w:type="dxa"/>
            <w:shd w:val="clear" w:color="D0CECE" w:fill="D0CECE"/>
            <w:noWrap/>
            <w:vAlign w:val="bottom"/>
            <w:hideMark/>
          </w:tcPr>
          <w:p w14:paraId="39968BA5"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10.0%</w:t>
            </w:r>
          </w:p>
        </w:tc>
        <w:tc>
          <w:tcPr>
            <w:tcW w:w="1173" w:type="dxa"/>
            <w:shd w:val="clear" w:color="D0CECE" w:fill="D0CECE"/>
            <w:noWrap/>
            <w:vAlign w:val="bottom"/>
            <w:hideMark/>
          </w:tcPr>
          <w:p w14:paraId="5F77FC60"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6.31 </w:t>
            </w:r>
          </w:p>
        </w:tc>
      </w:tr>
      <w:tr w:rsidR="00EB0778" w:rsidRPr="000F461B" w14:paraId="50AF30E2" w14:textId="77777777" w:rsidTr="00475C6D">
        <w:trPr>
          <w:trHeight w:val="318"/>
        </w:trPr>
        <w:tc>
          <w:tcPr>
            <w:tcW w:w="0" w:type="auto"/>
            <w:shd w:val="clear" w:color="000000" w:fill="F2F2F2"/>
            <w:noWrap/>
            <w:vAlign w:val="bottom"/>
            <w:hideMark/>
          </w:tcPr>
          <w:p w14:paraId="0FF3469A"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SADBL </w:t>
            </w:r>
          </w:p>
        </w:tc>
        <w:tc>
          <w:tcPr>
            <w:tcW w:w="0" w:type="auto"/>
            <w:shd w:val="clear" w:color="000000" w:fill="F2F2F2"/>
            <w:noWrap/>
            <w:vAlign w:val="bottom"/>
            <w:hideMark/>
          </w:tcPr>
          <w:p w14:paraId="02E82CE2"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46,894,693 </w:t>
            </w:r>
          </w:p>
        </w:tc>
        <w:tc>
          <w:tcPr>
            <w:tcW w:w="0" w:type="auto"/>
            <w:shd w:val="clear" w:color="000000" w:fill="F2F2F2"/>
            <w:noWrap/>
            <w:vAlign w:val="bottom"/>
            <w:hideMark/>
          </w:tcPr>
          <w:p w14:paraId="200E90A7"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44,879,675 </w:t>
            </w:r>
          </w:p>
        </w:tc>
        <w:tc>
          <w:tcPr>
            <w:tcW w:w="0" w:type="auto"/>
            <w:shd w:val="clear" w:color="000000" w:fill="F2F2F2"/>
            <w:noWrap/>
            <w:vAlign w:val="bottom"/>
            <w:hideMark/>
          </w:tcPr>
          <w:p w14:paraId="69D01323"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4.5%</w:t>
            </w:r>
          </w:p>
        </w:tc>
        <w:tc>
          <w:tcPr>
            <w:tcW w:w="1174" w:type="dxa"/>
            <w:shd w:val="clear" w:color="000000" w:fill="F2F2F2"/>
            <w:noWrap/>
            <w:vAlign w:val="bottom"/>
            <w:hideMark/>
          </w:tcPr>
          <w:p w14:paraId="6E7B0698"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2.02 </w:t>
            </w:r>
          </w:p>
        </w:tc>
        <w:tc>
          <w:tcPr>
            <w:tcW w:w="1380" w:type="dxa"/>
            <w:shd w:val="clear" w:color="000000" w:fill="F2F2F2"/>
            <w:noWrap/>
            <w:vAlign w:val="bottom"/>
            <w:hideMark/>
          </w:tcPr>
          <w:p w14:paraId="00B8F01B"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54,789,519 </w:t>
            </w:r>
          </w:p>
        </w:tc>
        <w:tc>
          <w:tcPr>
            <w:tcW w:w="1380" w:type="dxa"/>
            <w:shd w:val="clear" w:color="000000" w:fill="F2F2F2"/>
            <w:noWrap/>
            <w:vAlign w:val="bottom"/>
            <w:hideMark/>
          </w:tcPr>
          <w:p w14:paraId="51DFEB16"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52,659,016 </w:t>
            </w:r>
          </w:p>
        </w:tc>
        <w:tc>
          <w:tcPr>
            <w:tcW w:w="930" w:type="dxa"/>
            <w:shd w:val="clear" w:color="000000" w:fill="F2F2F2"/>
            <w:noWrap/>
            <w:vAlign w:val="bottom"/>
            <w:hideMark/>
          </w:tcPr>
          <w:p w14:paraId="164A9C70"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4.0%</w:t>
            </w:r>
          </w:p>
        </w:tc>
        <w:tc>
          <w:tcPr>
            <w:tcW w:w="1173" w:type="dxa"/>
            <w:shd w:val="clear" w:color="000000" w:fill="F2F2F2"/>
            <w:noWrap/>
            <w:vAlign w:val="bottom"/>
            <w:hideMark/>
          </w:tcPr>
          <w:p w14:paraId="476033C7"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2.13 </w:t>
            </w:r>
          </w:p>
        </w:tc>
      </w:tr>
      <w:tr w:rsidR="00EB0778" w:rsidRPr="000F461B" w14:paraId="1A5888AE" w14:textId="77777777" w:rsidTr="00475C6D">
        <w:trPr>
          <w:trHeight w:val="318"/>
        </w:trPr>
        <w:tc>
          <w:tcPr>
            <w:tcW w:w="0" w:type="auto"/>
            <w:shd w:val="clear" w:color="D0CECE" w:fill="D0CECE"/>
            <w:noWrap/>
            <w:vAlign w:val="bottom"/>
            <w:hideMark/>
          </w:tcPr>
          <w:p w14:paraId="6BF334E7"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LBBL </w:t>
            </w:r>
          </w:p>
        </w:tc>
        <w:tc>
          <w:tcPr>
            <w:tcW w:w="0" w:type="auto"/>
            <w:shd w:val="clear" w:color="D0CECE" w:fill="D0CECE"/>
            <w:noWrap/>
            <w:vAlign w:val="bottom"/>
            <w:hideMark/>
          </w:tcPr>
          <w:p w14:paraId="6C4163D9"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47,877,881 </w:t>
            </w:r>
          </w:p>
        </w:tc>
        <w:tc>
          <w:tcPr>
            <w:tcW w:w="0" w:type="auto"/>
            <w:shd w:val="clear" w:color="D0CECE" w:fill="D0CECE"/>
            <w:noWrap/>
            <w:vAlign w:val="bottom"/>
            <w:hideMark/>
          </w:tcPr>
          <w:p w14:paraId="23A06542"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46,473,590 </w:t>
            </w:r>
          </w:p>
        </w:tc>
        <w:tc>
          <w:tcPr>
            <w:tcW w:w="0" w:type="auto"/>
            <w:shd w:val="clear" w:color="D0CECE" w:fill="D0CECE"/>
            <w:noWrap/>
            <w:vAlign w:val="bottom"/>
            <w:hideMark/>
          </w:tcPr>
          <w:p w14:paraId="5B595E54"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3.0%</w:t>
            </w:r>
          </w:p>
        </w:tc>
        <w:tc>
          <w:tcPr>
            <w:tcW w:w="1174" w:type="dxa"/>
            <w:shd w:val="clear" w:color="D0CECE" w:fill="D0CECE"/>
            <w:noWrap/>
            <w:vAlign w:val="bottom"/>
            <w:hideMark/>
          </w:tcPr>
          <w:p w14:paraId="0E84B60D"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1.40 </w:t>
            </w:r>
          </w:p>
        </w:tc>
        <w:tc>
          <w:tcPr>
            <w:tcW w:w="1380" w:type="dxa"/>
            <w:shd w:val="clear" w:color="D0CECE" w:fill="D0CECE"/>
            <w:noWrap/>
            <w:vAlign w:val="bottom"/>
            <w:hideMark/>
          </w:tcPr>
          <w:p w14:paraId="1448DC07"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56,925,249 </w:t>
            </w:r>
          </w:p>
        </w:tc>
        <w:tc>
          <w:tcPr>
            <w:tcW w:w="1380" w:type="dxa"/>
            <w:shd w:val="clear" w:color="D0CECE" w:fill="D0CECE"/>
            <w:noWrap/>
            <w:vAlign w:val="bottom"/>
            <w:hideMark/>
          </w:tcPr>
          <w:p w14:paraId="4A2DC113"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57,764,906 </w:t>
            </w:r>
          </w:p>
        </w:tc>
        <w:tc>
          <w:tcPr>
            <w:tcW w:w="930" w:type="dxa"/>
            <w:shd w:val="clear" w:color="D0CECE" w:fill="D0CECE"/>
            <w:noWrap/>
            <w:vAlign w:val="bottom"/>
            <w:hideMark/>
          </w:tcPr>
          <w:p w14:paraId="5854C926"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-1.5%</w:t>
            </w:r>
          </w:p>
        </w:tc>
        <w:tc>
          <w:tcPr>
            <w:tcW w:w="1173" w:type="dxa"/>
            <w:shd w:val="clear" w:color="D0CECE" w:fill="D0CECE"/>
            <w:noWrap/>
            <w:vAlign w:val="bottom"/>
            <w:hideMark/>
          </w:tcPr>
          <w:p w14:paraId="47B58913"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(0.84)</w:t>
            </w:r>
          </w:p>
        </w:tc>
      </w:tr>
      <w:tr w:rsidR="00EB0778" w:rsidRPr="000F461B" w14:paraId="7320980F" w14:textId="77777777" w:rsidTr="00475C6D">
        <w:trPr>
          <w:trHeight w:val="318"/>
        </w:trPr>
        <w:tc>
          <w:tcPr>
            <w:tcW w:w="0" w:type="auto"/>
            <w:shd w:val="clear" w:color="000000" w:fill="F2F2F2"/>
            <w:noWrap/>
            <w:vAlign w:val="bottom"/>
            <w:hideMark/>
          </w:tcPr>
          <w:p w14:paraId="51802878"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MNBBL </w:t>
            </w:r>
          </w:p>
        </w:tc>
        <w:tc>
          <w:tcPr>
            <w:tcW w:w="0" w:type="auto"/>
            <w:shd w:val="clear" w:color="000000" w:fill="F2F2F2"/>
            <w:noWrap/>
            <w:vAlign w:val="bottom"/>
            <w:hideMark/>
          </w:tcPr>
          <w:p w14:paraId="3C9D5258"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97,933,545 </w:t>
            </w:r>
          </w:p>
        </w:tc>
        <w:tc>
          <w:tcPr>
            <w:tcW w:w="0" w:type="auto"/>
            <w:shd w:val="clear" w:color="000000" w:fill="F2F2F2"/>
            <w:noWrap/>
            <w:vAlign w:val="bottom"/>
            <w:hideMark/>
          </w:tcPr>
          <w:p w14:paraId="7A6CD022"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95,168,381 </w:t>
            </w:r>
          </w:p>
        </w:tc>
        <w:tc>
          <w:tcPr>
            <w:tcW w:w="0" w:type="auto"/>
            <w:shd w:val="clear" w:color="000000" w:fill="F2F2F2"/>
            <w:noWrap/>
            <w:vAlign w:val="bottom"/>
            <w:hideMark/>
          </w:tcPr>
          <w:p w14:paraId="3B79A435"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2.9%</w:t>
            </w:r>
          </w:p>
        </w:tc>
        <w:tc>
          <w:tcPr>
            <w:tcW w:w="1174" w:type="dxa"/>
            <w:shd w:val="clear" w:color="000000" w:fill="F2F2F2"/>
            <w:noWrap/>
            <w:vAlign w:val="bottom"/>
            <w:hideMark/>
          </w:tcPr>
          <w:p w14:paraId="449D68D5"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2.77 </w:t>
            </w:r>
          </w:p>
        </w:tc>
        <w:tc>
          <w:tcPr>
            <w:tcW w:w="1380" w:type="dxa"/>
            <w:shd w:val="clear" w:color="000000" w:fill="F2F2F2"/>
            <w:noWrap/>
            <w:vAlign w:val="bottom"/>
            <w:hideMark/>
          </w:tcPr>
          <w:p w14:paraId="65CB9C94"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113,330,953 </w:t>
            </w:r>
          </w:p>
        </w:tc>
        <w:tc>
          <w:tcPr>
            <w:tcW w:w="1380" w:type="dxa"/>
            <w:shd w:val="clear" w:color="000000" w:fill="F2F2F2"/>
            <w:noWrap/>
            <w:vAlign w:val="bottom"/>
            <w:hideMark/>
          </w:tcPr>
          <w:p w14:paraId="4F42B481"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110,405,509 </w:t>
            </w:r>
          </w:p>
        </w:tc>
        <w:tc>
          <w:tcPr>
            <w:tcW w:w="930" w:type="dxa"/>
            <w:shd w:val="clear" w:color="000000" w:fill="F2F2F2"/>
            <w:noWrap/>
            <w:vAlign w:val="bottom"/>
            <w:hideMark/>
          </w:tcPr>
          <w:p w14:paraId="4D13916E"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2.6%</w:t>
            </w:r>
          </w:p>
        </w:tc>
        <w:tc>
          <w:tcPr>
            <w:tcW w:w="1173" w:type="dxa"/>
            <w:shd w:val="clear" w:color="000000" w:fill="F2F2F2"/>
            <w:noWrap/>
            <w:vAlign w:val="bottom"/>
            <w:hideMark/>
          </w:tcPr>
          <w:p w14:paraId="02BEF744"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2.93 </w:t>
            </w:r>
          </w:p>
        </w:tc>
      </w:tr>
      <w:tr w:rsidR="00EB0778" w:rsidRPr="000F461B" w14:paraId="1CC6CB0E" w14:textId="77777777" w:rsidTr="00475C6D">
        <w:trPr>
          <w:trHeight w:val="318"/>
        </w:trPr>
        <w:tc>
          <w:tcPr>
            <w:tcW w:w="0" w:type="auto"/>
            <w:shd w:val="clear" w:color="D0CECE" w:fill="D0CECE"/>
            <w:noWrap/>
            <w:vAlign w:val="bottom"/>
            <w:hideMark/>
          </w:tcPr>
          <w:p w14:paraId="447665AC"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MLBL </w:t>
            </w:r>
          </w:p>
        </w:tc>
        <w:tc>
          <w:tcPr>
            <w:tcW w:w="0" w:type="auto"/>
            <w:shd w:val="clear" w:color="D0CECE" w:fill="D0CECE"/>
            <w:noWrap/>
            <w:vAlign w:val="bottom"/>
            <w:hideMark/>
          </w:tcPr>
          <w:p w14:paraId="0D274962"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46,130,173 </w:t>
            </w:r>
          </w:p>
        </w:tc>
        <w:tc>
          <w:tcPr>
            <w:tcW w:w="0" w:type="auto"/>
            <w:shd w:val="clear" w:color="D0CECE" w:fill="D0CECE"/>
            <w:noWrap/>
            <w:vAlign w:val="bottom"/>
            <w:hideMark/>
          </w:tcPr>
          <w:p w14:paraId="3736FC89"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44,891,235 </w:t>
            </w:r>
          </w:p>
        </w:tc>
        <w:tc>
          <w:tcPr>
            <w:tcW w:w="0" w:type="auto"/>
            <w:shd w:val="clear" w:color="D0CECE" w:fill="D0CECE"/>
            <w:noWrap/>
            <w:vAlign w:val="bottom"/>
            <w:hideMark/>
          </w:tcPr>
          <w:p w14:paraId="5382D5A1"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2.8%</w:t>
            </w:r>
          </w:p>
        </w:tc>
        <w:tc>
          <w:tcPr>
            <w:tcW w:w="1174" w:type="dxa"/>
            <w:shd w:val="clear" w:color="D0CECE" w:fill="D0CECE"/>
            <w:noWrap/>
            <w:vAlign w:val="bottom"/>
            <w:hideMark/>
          </w:tcPr>
          <w:p w14:paraId="5D4A74BA"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1.24 </w:t>
            </w:r>
          </w:p>
        </w:tc>
        <w:tc>
          <w:tcPr>
            <w:tcW w:w="1380" w:type="dxa"/>
            <w:shd w:val="clear" w:color="D0CECE" w:fill="D0CECE"/>
            <w:noWrap/>
            <w:vAlign w:val="bottom"/>
            <w:hideMark/>
          </w:tcPr>
          <w:p w14:paraId="0C6CEB59"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53,203,643 </w:t>
            </w:r>
          </w:p>
        </w:tc>
        <w:tc>
          <w:tcPr>
            <w:tcW w:w="1380" w:type="dxa"/>
            <w:shd w:val="clear" w:color="D0CECE" w:fill="D0CECE"/>
            <w:noWrap/>
            <w:vAlign w:val="bottom"/>
            <w:hideMark/>
          </w:tcPr>
          <w:p w14:paraId="498D7EC3"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53,063,479 </w:t>
            </w:r>
          </w:p>
        </w:tc>
        <w:tc>
          <w:tcPr>
            <w:tcW w:w="930" w:type="dxa"/>
            <w:shd w:val="clear" w:color="D0CECE" w:fill="D0CECE"/>
            <w:noWrap/>
            <w:vAlign w:val="bottom"/>
            <w:hideMark/>
          </w:tcPr>
          <w:p w14:paraId="5444D8FA"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0.3%</w:t>
            </w:r>
          </w:p>
        </w:tc>
        <w:tc>
          <w:tcPr>
            <w:tcW w:w="1173" w:type="dxa"/>
            <w:shd w:val="clear" w:color="D0CECE" w:fill="D0CECE"/>
            <w:noWrap/>
            <w:vAlign w:val="bottom"/>
            <w:hideMark/>
          </w:tcPr>
          <w:p w14:paraId="7044DC5D"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0.14 </w:t>
            </w:r>
          </w:p>
        </w:tc>
      </w:tr>
      <w:tr w:rsidR="00EB0778" w:rsidRPr="000F461B" w14:paraId="2E4D5013" w14:textId="77777777" w:rsidTr="00475C6D">
        <w:trPr>
          <w:trHeight w:val="318"/>
        </w:trPr>
        <w:tc>
          <w:tcPr>
            <w:tcW w:w="0" w:type="auto"/>
            <w:shd w:val="clear" w:color="000000" w:fill="F2F2F2"/>
            <w:noWrap/>
            <w:vAlign w:val="bottom"/>
            <w:hideMark/>
          </w:tcPr>
          <w:p w14:paraId="1168A7E3"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JBBL </w:t>
            </w:r>
          </w:p>
        </w:tc>
        <w:tc>
          <w:tcPr>
            <w:tcW w:w="0" w:type="auto"/>
            <w:shd w:val="clear" w:color="000000" w:fill="F2F2F2"/>
            <w:noWrap/>
            <w:vAlign w:val="bottom"/>
            <w:hideMark/>
          </w:tcPr>
          <w:p w14:paraId="76FD7419"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47,796,166 </w:t>
            </w:r>
          </w:p>
        </w:tc>
        <w:tc>
          <w:tcPr>
            <w:tcW w:w="0" w:type="auto"/>
            <w:shd w:val="clear" w:color="000000" w:fill="F2F2F2"/>
            <w:noWrap/>
            <w:vAlign w:val="bottom"/>
            <w:hideMark/>
          </w:tcPr>
          <w:p w14:paraId="745BCB9B"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53,896,753 </w:t>
            </w:r>
          </w:p>
        </w:tc>
        <w:tc>
          <w:tcPr>
            <w:tcW w:w="0" w:type="auto"/>
            <w:shd w:val="clear" w:color="000000" w:fill="F2F2F2"/>
            <w:noWrap/>
            <w:vAlign w:val="bottom"/>
            <w:hideMark/>
          </w:tcPr>
          <w:p w14:paraId="009EE223"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-11.3%</w:t>
            </w:r>
          </w:p>
        </w:tc>
        <w:tc>
          <w:tcPr>
            <w:tcW w:w="1174" w:type="dxa"/>
            <w:shd w:val="clear" w:color="000000" w:fill="F2F2F2"/>
            <w:noWrap/>
            <w:vAlign w:val="bottom"/>
            <w:hideMark/>
          </w:tcPr>
          <w:p w14:paraId="6A5610AF"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(6.10)</w:t>
            </w:r>
          </w:p>
        </w:tc>
        <w:tc>
          <w:tcPr>
            <w:tcW w:w="1380" w:type="dxa"/>
            <w:shd w:val="clear" w:color="000000" w:fill="F2F2F2"/>
            <w:noWrap/>
            <w:vAlign w:val="bottom"/>
            <w:hideMark/>
          </w:tcPr>
          <w:p w14:paraId="02CAFDB8"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58,752,819 </w:t>
            </w:r>
          </w:p>
        </w:tc>
        <w:tc>
          <w:tcPr>
            <w:tcW w:w="1380" w:type="dxa"/>
            <w:shd w:val="clear" w:color="000000" w:fill="F2F2F2"/>
            <w:noWrap/>
            <w:vAlign w:val="bottom"/>
            <w:hideMark/>
          </w:tcPr>
          <w:p w14:paraId="40742940"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63,425,432 </w:t>
            </w:r>
          </w:p>
        </w:tc>
        <w:tc>
          <w:tcPr>
            <w:tcW w:w="930" w:type="dxa"/>
            <w:shd w:val="clear" w:color="000000" w:fill="F2F2F2"/>
            <w:noWrap/>
            <w:vAlign w:val="bottom"/>
            <w:hideMark/>
          </w:tcPr>
          <w:p w14:paraId="435F58F0"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-7.4%</w:t>
            </w:r>
          </w:p>
        </w:tc>
        <w:tc>
          <w:tcPr>
            <w:tcW w:w="1173" w:type="dxa"/>
            <w:shd w:val="clear" w:color="000000" w:fill="F2F2F2"/>
            <w:noWrap/>
            <w:vAlign w:val="bottom"/>
            <w:hideMark/>
          </w:tcPr>
          <w:p w14:paraId="3BE3D41E"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(4.67)</w:t>
            </w:r>
          </w:p>
        </w:tc>
      </w:tr>
    </w:tbl>
    <w:p w14:paraId="6705C630" w14:textId="77777777" w:rsidR="00EB0778" w:rsidRPr="000F461B" w:rsidRDefault="00EB0778" w:rsidP="00EB0778">
      <w:pPr>
        <w:spacing w:after="0"/>
        <w:rPr>
          <w:rFonts w:ascii="Times New Roman" w:hAnsi="Times New Roman" w:cs="Times New Roman"/>
          <w:highlight w:val="yellow"/>
        </w:rPr>
      </w:pPr>
    </w:p>
    <w:p w14:paraId="6390FEBF" w14:textId="77777777" w:rsidR="00EB0778" w:rsidRPr="000F461B" w:rsidRDefault="00EB0778" w:rsidP="00EB0778">
      <w:pPr>
        <w:spacing w:after="0"/>
        <w:rPr>
          <w:rFonts w:ascii="Times New Roman" w:hAnsi="Times New Roman" w:cs="Times New Roman"/>
          <w:highlight w:val="yellow"/>
        </w:rPr>
      </w:pPr>
    </w:p>
    <w:p w14:paraId="4C89C106" w14:textId="77777777" w:rsidR="00EB0778" w:rsidRPr="000F461B" w:rsidRDefault="00EB0778" w:rsidP="00EB0778">
      <w:pPr>
        <w:jc w:val="both"/>
        <w:rPr>
          <w:rFonts w:ascii="Times New Roman" w:hAnsi="Times New Roman" w:cs="Times New Roman"/>
        </w:rPr>
      </w:pPr>
      <w:r w:rsidRPr="000F461B">
        <w:rPr>
          <w:rFonts w:ascii="Times New Roman" w:hAnsi="Times New Roman" w:cs="Times New Roman"/>
        </w:rPr>
        <w:t xml:space="preserve">The table and chart show the loan and deposit growth for different development banks from Q3 of 2022/23 to Q3 of 2024/25. </w:t>
      </w:r>
    </w:p>
    <w:p w14:paraId="5BBEE2A3" w14:textId="77777777" w:rsidR="00EB0778" w:rsidRPr="000F461B" w:rsidRDefault="00EB0778" w:rsidP="00EB0778">
      <w:pPr>
        <w:jc w:val="both"/>
        <w:rPr>
          <w:rFonts w:ascii="Times New Roman" w:hAnsi="Times New Roman" w:cs="Times New Roman"/>
        </w:rPr>
      </w:pPr>
      <w:r w:rsidRPr="000F461B">
        <w:rPr>
          <w:rFonts w:ascii="Times New Roman" w:hAnsi="Times New Roman" w:cs="Times New Roman"/>
          <w:b/>
          <w:bCs/>
        </w:rPr>
        <w:t>KSBB, GBBL</w:t>
      </w:r>
      <w:r w:rsidRPr="000F461B">
        <w:rPr>
          <w:rFonts w:ascii="Times New Roman" w:hAnsi="Times New Roman" w:cs="Times New Roman"/>
        </w:rPr>
        <w:t xml:space="preserve"> and </w:t>
      </w:r>
      <w:r w:rsidRPr="000F461B">
        <w:rPr>
          <w:rFonts w:ascii="Times New Roman" w:hAnsi="Times New Roman" w:cs="Times New Roman"/>
          <w:b/>
          <w:bCs/>
        </w:rPr>
        <w:t>SHINE</w:t>
      </w:r>
      <w:r w:rsidRPr="000F461B">
        <w:rPr>
          <w:rFonts w:ascii="Times New Roman" w:hAnsi="Times New Roman" w:cs="Times New Roman"/>
        </w:rPr>
        <w:t xml:space="preserve"> show robust growth in both loans and deposits, suggesting financial stability and market confidence. </w:t>
      </w:r>
      <w:r w:rsidRPr="000F461B">
        <w:rPr>
          <w:rFonts w:ascii="Times New Roman" w:hAnsi="Times New Roman" w:cs="Times New Roman"/>
          <w:b/>
          <w:bCs/>
        </w:rPr>
        <w:t>GBBL</w:t>
      </w:r>
      <w:r w:rsidRPr="000F461B">
        <w:rPr>
          <w:rFonts w:ascii="Times New Roman" w:hAnsi="Times New Roman" w:cs="Times New Roman"/>
        </w:rPr>
        <w:t xml:space="preserve"> demonstrates strong deposit growth, increasing liquidity. </w:t>
      </w:r>
      <w:r w:rsidRPr="000F461B">
        <w:rPr>
          <w:rFonts w:ascii="Times New Roman" w:hAnsi="Times New Roman" w:cs="Times New Roman"/>
          <w:b/>
          <w:bCs/>
        </w:rPr>
        <w:t>JBBL</w:t>
      </w:r>
      <w:r w:rsidRPr="000F461B">
        <w:rPr>
          <w:rFonts w:ascii="Times New Roman" w:hAnsi="Times New Roman" w:cs="Times New Roman"/>
        </w:rPr>
        <w:t xml:space="preserve"> and </w:t>
      </w:r>
      <w:r w:rsidRPr="000F461B">
        <w:rPr>
          <w:rFonts w:ascii="Times New Roman" w:hAnsi="Times New Roman" w:cs="Times New Roman"/>
          <w:b/>
          <w:bCs/>
        </w:rPr>
        <w:t>LBBL</w:t>
      </w:r>
      <w:r w:rsidRPr="000F461B">
        <w:rPr>
          <w:rFonts w:ascii="Times New Roman" w:hAnsi="Times New Roman" w:cs="Times New Roman"/>
        </w:rPr>
        <w:t xml:space="preserve"> experienced declines in loan growth, JBBL may further need to decrease the loan due the near Tire1 CAR. </w:t>
      </w:r>
    </w:p>
    <w:p w14:paraId="2EE71FC6" w14:textId="77777777" w:rsidR="00EB0778" w:rsidRPr="000F461B" w:rsidRDefault="00EB0778" w:rsidP="00EB0778">
      <w:pPr>
        <w:jc w:val="both"/>
        <w:rPr>
          <w:rFonts w:ascii="Times New Roman" w:hAnsi="Times New Roman" w:cs="Times New Roman"/>
        </w:rPr>
      </w:pPr>
    </w:p>
    <w:p w14:paraId="73BAC458" w14:textId="77777777" w:rsidR="00EB0778" w:rsidRPr="000F461B" w:rsidRDefault="00EB0778" w:rsidP="00EB0778">
      <w:pPr>
        <w:jc w:val="both"/>
        <w:rPr>
          <w:rFonts w:ascii="Times New Roman" w:hAnsi="Times New Roman" w:cs="Times New Roman"/>
          <w:b/>
        </w:rPr>
      </w:pPr>
      <w:r w:rsidRPr="000F461B">
        <w:rPr>
          <w:rFonts w:ascii="Times New Roman" w:hAnsi="Times New Roman" w:cs="Times New Roman"/>
          <w:b/>
        </w:rPr>
        <w:t xml:space="preserve">Change in Net Interest Income (NII) </w:t>
      </w:r>
    </w:p>
    <w:tbl>
      <w:tblPr>
        <w:tblW w:w="8612" w:type="dxa"/>
        <w:tblInd w:w="-5" w:type="dxa"/>
        <w:tblLook w:val="04A0" w:firstRow="1" w:lastRow="0" w:firstColumn="1" w:lastColumn="0" w:noHBand="0" w:noVBand="1"/>
      </w:tblPr>
      <w:tblGrid>
        <w:gridCol w:w="1136"/>
        <w:gridCol w:w="1198"/>
        <w:gridCol w:w="1255"/>
        <w:gridCol w:w="1255"/>
        <w:gridCol w:w="1255"/>
        <w:gridCol w:w="1255"/>
        <w:gridCol w:w="1258"/>
      </w:tblGrid>
      <w:tr w:rsidR="00EB0778" w:rsidRPr="000F461B" w14:paraId="1CEE41A7" w14:textId="77777777" w:rsidTr="00475C6D">
        <w:trPr>
          <w:trHeight w:val="555"/>
        </w:trPr>
        <w:tc>
          <w:tcPr>
            <w:tcW w:w="1136" w:type="dxa"/>
            <w:vMerge w:val="restart"/>
            <w:tcBorders>
              <w:top w:val="single" w:sz="4" w:space="0" w:color="auto"/>
              <w:left w:val="single" w:sz="4" w:space="0" w:color="auto"/>
              <w:bottom w:val="single" w:sz="4" w:space="0" w:color="auto"/>
              <w:right w:val="single" w:sz="4" w:space="0" w:color="auto"/>
            </w:tcBorders>
            <w:shd w:val="clear" w:color="000000" w:fill="F2F2F2"/>
            <w:vAlign w:val="bottom"/>
            <w:hideMark/>
          </w:tcPr>
          <w:p w14:paraId="5F0B66DE" w14:textId="77777777" w:rsidR="00EB0778" w:rsidRPr="000F461B" w:rsidRDefault="00EB0778" w:rsidP="00EB0778">
            <w:pPr>
              <w:spacing w:after="0"/>
              <w:jc w:val="center"/>
              <w:rPr>
                <w:rFonts w:ascii="Times New Roman" w:eastAsia="Times New Roman" w:hAnsi="Times New Roman" w:cs="Times New Roman"/>
                <w:color w:val="000000"/>
              </w:rPr>
            </w:pPr>
            <w:r w:rsidRPr="000F461B">
              <w:rPr>
                <w:rFonts w:ascii="Times New Roman" w:eastAsia="Times New Roman" w:hAnsi="Times New Roman" w:cs="Times New Roman"/>
                <w:color w:val="000000"/>
              </w:rPr>
              <w:t>ABB</w:t>
            </w:r>
          </w:p>
        </w:tc>
        <w:tc>
          <w:tcPr>
            <w:tcW w:w="1198" w:type="dxa"/>
            <w:vMerge w:val="restart"/>
            <w:tcBorders>
              <w:top w:val="single" w:sz="4" w:space="0" w:color="auto"/>
              <w:left w:val="single" w:sz="4" w:space="0" w:color="auto"/>
              <w:bottom w:val="single" w:sz="4" w:space="0" w:color="auto"/>
              <w:right w:val="single" w:sz="4" w:space="0" w:color="auto"/>
            </w:tcBorders>
            <w:shd w:val="clear" w:color="000000" w:fill="F2F2F2"/>
            <w:vAlign w:val="bottom"/>
            <w:hideMark/>
          </w:tcPr>
          <w:p w14:paraId="53763913" w14:textId="77777777" w:rsidR="00EB0778" w:rsidRPr="000F461B" w:rsidRDefault="00EB0778" w:rsidP="00EB0778">
            <w:pPr>
              <w:spacing w:after="0"/>
              <w:jc w:val="center"/>
              <w:rPr>
                <w:rFonts w:ascii="Times New Roman" w:eastAsia="Times New Roman" w:hAnsi="Times New Roman" w:cs="Times New Roman"/>
                <w:color w:val="000000"/>
              </w:rPr>
            </w:pPr>
            <w:r w:rsidRPr="000F461B">
              <w:rPr>
                <w:rFonts w:ascii="Times New Roman" w:eastAsia="Times New Roman" w:hAnsi="Times New Roman" w:cs="Times New Roman"/>
                <w:color w:val="000000"/>
              </w:rPr>
              <w:t>YOY% Growth</w:t>
            </w:r>
          </w:p>
        </w:tc>
        <w:tc>
          <w:tcPr>
            <w:tcW w:w="6278" w:type="dxa"/>
            <w:gridSpan w:val="5"/>
            <w:tcBorders>
              <w:top w:val="single" w:sz="4" w:space="0" w:color="auto"/>
              <w:left w:val="nil"/>
              <w:bottom w:val="single" w:sz="4" w:space="0" w:color="auto"/>
              <w:right w:val="single" w:sz="4" w:space="0" w:color="auto"/>
            </w:tcBorders>
            <w:shd w:val="clear" w:color="000000" w:fill="F2F2F2"/>
            <w:vAlign w:val="bottom"/>
            <w:hideMark/>
          </w:tcPr>
          <w:p w14:paraId="7978735A" w14:textId="77777777" w:rsidR="00EB0778" w:rsidRPr="000F461B" w:rsidRDefault="00EB0778" w:rsidP="00EB0778">
            <w:pPr>
              <w:spacing w:after="0"/>
              <w:jc w:val="center"/>
              <w:rPr>
                <w:rFonts w:ascii="Times New Roman" w:eastAsia="Times New Roman" w:hAnsi="Times New Roman" w:cs="Times New Roman"/>
                <w:color w:val="000000"/>
              </w:rPr>
            </w:pPr>
            <w:r w:rsidRPr="000F461B">
              <w:rPr>
                <w:rFonts w:ascii="Times New Roman" w:eastAsia="Times New Roman" w:hAnsi="Times New Roman" w:cs="Times New Roman"/>
                <w:color w:val="000000"/>
              </w:rPr>
              <w:t>Net Interest Income (Data in Billions)</w:t>
            </w:r>
          </w:p>
        </w:tc>
      </w:tr>
      <w:tr w:rsidR="00EB0778" w:rsidRPr="000F461B" w14:paraId="0E504711" w14:textId="77777777" w:rsidTr="00475C6D">
        <w:trPr>
          <w:trHeight w:val="281"/>
        </w:trPr>
        <w:tc>
          <w:tcPr>
            <w:tcW w:w="1136" w:type="dxa"/>
            <w:vMerge/>
            <w:tcBorders>
              <w:top w:val="single" w:sz="4" w:space="0" w:color="auto"/>
              <w:left w:val="single" w:sz="4" w:space="0" w:color="auto"/>
              <w:bottom w:val="single" w:sz="4" w:space="0" w:color="auto"/>
              <w:right w:val="single" w:sz="4" w:space="0" w:color="auto"/>
            </w:tcBorders>
            <w:vAlign w:val="center"/>
            <w:hideMark/>
          </w:tcPr>
          <w:p w14:paraId="7B59642E" w14:textId="77777777" w:rsidR="00EB0778" w:rsidRPr="000F461B" w:rsidRDefault="00EB0778" w:rsidP="00EB0778">
            <w:pPr>
              <w:spacing w:after="0"/>
              <w:rPr>
                <w:rFonts w:ascii="Times New Roman" w:eastAsia="Times New Roman" w:hAnsi="Times New Roman" w:cs="Times New Roman"/>
                <w:color w:val="000000"/>
              </w:rPr>
            </w:pPr>
          </w:p>
        </w:tc>
        <w:tc>
          <w:tcPr>
            <w:tcW w:w="1198" w:type="dxa"/>
            <w:vMerge/>
            <w:tcBorders>
              <w:top w:val="single" w:sz="4" w:space="0" w:color="auto"/>
              <w:left w:val="single" w:sz="4" w:space="0" w:color="auto"/>
              <w:bottom w:val="single" w:sz="4" w:space="0" w:color="auto"/>
              <w:right w:val="single" w:sz="4" w:space="0" w:color="auto"/>
            </w:tcBorders>
            <w:vAlign w:val="center"/>
            <w:hideMark/>
          </w:tcPr>
          <w:p w14:paraId="2F65219D" w14:textId="77777777" w:rsidR="00EB0778" w:rsidRPr="000F461B" w:rsidRDefault="00EB0778" w:rsidP="00EB0778">
            <w:pPr>
              <w:spacing w:after="0"/>
              <w:rPr>
                <w:rFonts w:ascii="Times New Roman" w:eastAsia="Times New Roman" w:hAnsi="Times New Roman" w:cs="Times New Roman"/>
                <w:color w:val="000000"/>
              </w:rPr>
            </w:pPr>
          </w:p>
        </w:tc>
        <w:tc>
          <w:tcPr>
            <w:tcW w:w="1255" w:type="dxa"/>
            <w:tcBorders>
              <w:top w:val="nil"/>
              <w:left w:val="nil"/>
              <w:bottom w:val="single" w:sz="4" w:space="0" w:color="auto"/>
              <w:right w:val="single" w:sz="4" w:space="0" w:color="auto"/>
            </w:tcBorders>
            <w:shd w:val="clear" w:color="000000" w:fill="F2F2F2"/>
            <w:noWrap/>
            <w:vAlign w:val="bottom"/>
            <w:hideMark/>
          </w:tcPr>
          <w:p w14:paraId="55C742E6"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2024/25</w:t>
            </w:r>
          </w:p>
        </w:tc>
        <w:tc>
          <w:tcPr>
            <w:tcW w:w="1255" w:type="dxa"/>
            <w:tcBorders>
              <w:top w:val="nil"/>
              <w:left w:val="nil"/>
              <w:bottom w:val="single" w:sz="4" w:space="0" w:color="auto"/>
              <w:right w:val="single" w:sz="4" w:space="0" w:color="auto"/>
            </w:tcBorders>
            <w:shd w:val="clear" w:color="000000" w:fill="F2F2F2"/>
            <w:noWrap/>
            <w:vAlign w:val="bottom"/>
            <w:hideMark/>
          </w:tcPr>
          <w:p w14:paraId="585E5A9A"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2024/25</w:t>
            </w:r>
          </w:p>
        </w:tc>
        <w:tc>
          <w:tcPr>
            <w:tcW w:w="1255" w:type="dxa"/>
            <w:tcBorders>
              <w:top w:val="nil"/>
              <w:left w:val="nil"/>
              <w:bottom w:val="single" w:sz="4" w:space="0" w:color="auto"/>
              <w:right w:val="single" w:sz="4" w:space="0" w:color="auto"/>
            </w:tcBorders>
            <w:shd w:val="clear" w:color="000000" w:fill="F2F2F2"/>
            <w:noWrap/>
            <w:vAlign w:val="bottom"/>
            <w:hideMark/>
          </w:tcPr>
          <w:p w14:paraId="36C6B91C"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2024/25</w:t>
            </w:r>
          </w:p>
        </w:tc>
        <w:tc>
          <w:tcPr>
            <w:tcW w:w="1255" w:type="dxa"/>
            <w:tcBorders>
              <w:top w:val="nil"/>
              <w:left w:val="nil"/>
              <w:bottom w:val="single" w:sz="4" w:space="0" w:color="auto"/>
              <w:right w:val="single" w:sz="4" w:space="0" w:color="auto"/>
            </w:tcBorders>
            <w:shd w:val="clear" w:color="000000" w:fill="F2F2F2"/>
            <w:noWrap/>
            <w:vAlign w:val="bottom"/>
            <w:hideMark/>
          </w:tcPr>
          <w:p w14:paraId="00B847FC"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2023/24</w:t>
            </w:r>
          </w:p>
        </w:tc>
        <w:tc>
          <w:tcPr>
            <w:tcW w:w="1258" w:type="dxa"/>
            <w:tcBorders>
              <w:top w:val="nil"/>
              <w:left w:val="nil"/>
              <w:bottom w:val="single" w:sz="4" w:space="0" w:color="auto"/>
              <w:right w:val="single" w:sz="4" w:space="0" w:color="auto"/>
            </w:tcBorders>
            <w:shd w:val="clear" w:color="000000" w:fill="F2F2F2"/>
            <w:noWrap/>
            <w:vAlign w:val="bottom"/>
            <w:hideMark/>
          </w:tcPr>
          <w:p w14:paraId="38AE35BC"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2023/24</w:t>
            </w:r>
          </w:p>
        </w:tc>
      </w:tr>
      <w:tr w:rsidR="00EB0778" w:rsidRPr="000F461B" w14:paraId="6A0B8CE4" w14:textId="77777777" w:rsidTr="00475C6D">
        <w:trPr>
          <w:trHeight w:val="281"/>
        </w:trPr>
        <w:tc>
          <w:tcPr>
            <w:tcW w:w="1136" w:type="dxa"/>
            <w:tcBorders>
              <w:top w:val="nil"/>
              <w:left w:val="single" w:sz="4" w:space="0" w:color="auto"/>
              <w:bottom w:val="single" w:sz="4" w:space="0" w:color="auto"/>
              <w:right w:val="single" w:sz="4" w:space="0" w:color="auto"/>
            </w:tcBorders>
            <w:shd w:val="clear" w:color="000000" w:fill="F2F2F2"/>
            <w:vAlign w:val="bottom"/>
            <w:hideMark/>
          </w:tcPr>
          <w:p w14:paraId="38C306FB"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w:t>
            </w:r>
          </w:p>
        </w:tc>
        <w:tc>
          <w:tcPr>
            <w:tcW w:w="1198" w:type="dxa"/>
            <w:tcBorders>
              <w:top w:val="nil"/>
              <w:left w:val="nil"/>
              <w:bottom w:val="single" w:sz="4" w:space="0" w:color="auto"/>
              <w:right w:val="single" w:sz="4" w:space="0" w:color="auto"/>
            </w:tcBorders>
            <w:shd w:val="clear" w:color="auto" w:fill="auto"/>
            <w:noWrap/>
            <w:vAlign w:val="bottom"/>
            <w:hideMark/>
          </w:tcPr>
          <w:p w14:paraId="2CEFA0AE"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w:t>
            </w:r>
          </w:p>
        </w:tc>
        <w:tc>
          <w:tcPr>
            <w:tcW w:w="1255" w:type="dxa"/>
            <w:tcBorders>
              <w:top w:val="nil"/>
              <w:left w:val="nil"/>
              <w:bottom w:val="single" w:sz="4" w:space="0" w:color="auto"/>
              <w:right w:val="single" w:sz="4" w:space="0" w:color="auto"/>
            </w:tcBorders>
            <w:shd w:val="clear" w:color="000000" w:fill="F2F2F2"/>
            <w:noWrap/>
            <w:vAlign w:val="bottom"/>
            <w:hideMark/>
          </w:tcPr>
          <w:p w14:paraId="7FF3F059"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Q3</w:t>
            </w:r>
          </w:p>
        </w:tc>
        <w:tc>
          <w:tcPr>
            <w:tcW w:w="1255" w:type="dxa"/>
            <w:tcBorders>
              <w:top w:val="nil"/>
              <w:left w:val="nil"/>
              <w:bottom w:val="single" w:sz="4" w:space="0" w:color="auto"/>
              <w:right w:val="single" w:sz="4" w:space="0" w:color="auto"/>
            </w:tcBorders>
            <w:shd w:val="clear" w:color="000000" w:fill="F2F2F2"/>
            <w:noWrap/>
            <w:vAlign w:val="bottom"/>
            <w:hideMark/>
          </w:tcPr>
          <w:p w14:paraId="4C588EED"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Q2</w:t>
            </w:r>
          </w:p>
        </w:tc>
        <w:tc>
          <w:tcPr>
            <w:tcW w:w="1255" w:type="dxa"/>
            <w:tcBorders>
              <w:top w:val="nil"/>
              <w:left w:val="nil"/>
              <w:bottom w:val="single" w:sz="4" w:space="0" w:color="auto"/>
              <w:right w:val="single" w:sz="4" w:space="0" w:color="auto"/>
            </w:tcBorders>
            <w:shd w:val="clear" w:color="000000" w:fill="F2F2F2"/>
            <w:noWrap/>
            <w:vAlign w:val="bottom"/>
            <w:hideMark/>
          </w:tcPr>
          <w:p w14:paraId="7C6FF907"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Q1</w:t>
            </w:r>
          </w:p>
        </w:tc>
        <w:tc>
          <w:tcPr>
            <w:tcW w:w="1255" w:type="dxa"/>
            <w:tcBorders>
              <w:top w:val="nil"/>
              <w:left w:val="nil"/>
              <w:bottom w:val="single" w:sz="4" w:space="0" w:color="auto"/>
              <w:right w:val="single" w:sz="4" w:space="0" w:color="auto"/>
            </w:tcBorders>
            <w:shd w:val="clear" w:color="000000" w:fill="F2F2F2"/>
            <w:noWrap/>
            <w:vAlign w:val="bottom"/>
            <w:hideMark/>
          </w:tcPr>
          <w:p w14:paraId="6EB18710"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Q4</w:t>
            </w:r>
          </w:p>
        </w:tc>
        <w:tc>
          <w:tcPr>
            <w:tcW w:w="1258" w:type="dxa"/>
            <w:tcBorders>
              <w:top w:val="nil"/>
              <w:left w:val="nil"/>
              <w:bottom w:val="single" w:sz="4" w:space="0" w:color="auto"/>
              <w:right w:val="single" w:sz="4" w:space="0" w:color="auto"/>
            </w:tcBorders>
            <w:shd w:val="clear" w:color="000000" w:fill="F2F2F2"/>
            <w:noWrap/>
            <w:vAlign w:val="bottom"/>
            <w:hideMark/>
          </w:tcPr>
          <w:p w14:paraId="2B976507"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Q3</w:t>
            </w:r>
          </w:p>
        </w:tc>
      </w:tr>
      <w:tr w:rsidR="00EB0778" w:rsidRPr="000F461B" w14:paraId="1353FD5D" w14:textId="77777777" w:rsidTr="00475C6D">
        <w:trPr>
          <w:trHeight w:val="281"/>
        </w:trPr>
        <w:tc>
          <w:tcPr>
            <w:tcW w:w="1136" w:type="dxa"/>
            <w:tcBorders>
              <w:top w:val="nil"/>
              <w:left w:val="single" w:sz="4" w:space="0" w:color="auto"/>
              <w:bottom w:val="single" w:sz="4" w:space="0" w:color="auto"/>
              <w:right w:val="single" w:sz="4" w:space="0" w:color="auto"/>
            </w:tcBorders>
            <w:shd w:val="clear" w:color="000000" w:fill="F2F2F2"/>
            <w:noWrap/>
            <w:vAlign w:val="bottom"/>
            <w:hideMark/>
          </w:tcPr>
          <w:p w14:paraId="5828EE61"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SHINE</w:t>
            </w:r>
          </w:p>
        </w:tc>
        <w:tc>
          <w:tcPr>
            <w:tcW w:w="1198" w:type="dxa"/>
            <w:tcBorders>
              <w:top w:val="nil"/>
              <w:left w:val="nil"/>
              <w:bottom w:val="single" w:sz="4" w:space="0" w:color="auto"/>
              <w:right w:val="single" w:sz="4" w:space="0" w:color="auto"/>
            </w:tcBorders>
            <w:shd w:val="clear" w:color="000000" w:fill="F2F2F2"/>
            <w:noWrap/>
            <w:vAlign w:val="bottom"/>
            <w:hideMark/>
          </w:tcPr>
          <w:p w14:paraId="354DDA21"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18.4%</w:t>
            </w:r>
          </w:p>
        </w:tc>
        <w:tc>
          <w:tcPr>
            <w:tcW w:w="1255" w:type="dxa"/>
            <w:tcBorders>
              <w:top w:val="nil"/>
              <w:left w:val="nil"/>
              <w:bottom w:val="single" w:sz="4" w:space="0" w:color="auto"/>
              <w:right w:val="single" w:sz="4" w:space="0" w:color="auto"/>
            </w:tcBorders>
            <w:shd w:val="clear" w:color="000000" w:fill="F2F2F2"/>
            <w:noWrap/>
            <w:vAlign w:val="bottom"/>
            <w:hideMark/>
          </w:tcPr>
          <w:p w14:paraId="06B5E421"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0.63 </w:t>
            </w:r>
          </w:p>
        </w:tc>
        <w:tc>
          <w:tcPr>
            <w:tcW w:w="1255" w:type="dxa"/>
            <w:tcBorders>
              <w:top w:val="nil"/>
              <w:left w:val="nil"/>
              <w:bottom w:val="single" w:sz="4" w:space="0" w:color="auto"/>
              <w:right w:val="single" w:sz="4" w:space="0" w:color="auto"/>
            </w:tcBorders>
            <w:shd w:val="clear" w:color="000000" w:fill="F2F2F2"/>
            <w:noWrap/>
            <w:vAlign w:val="bottom"/>
            <w:hideMark/>
          </w:tcPr>
          <w:p w14:paraId="0AFD8C0D"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0.64 </w:t>
            </w:r>
          </w:p>
        </w:tc>
        <w:tc>
          <w:tcPr>
            <w:tcW w:w="1255" w:type="dxa"/>
            <w:tcBorders>
              <w:top w:val="nil"/>
              <w:left w:val="nil"/>
              <w:bottom w:val="single" w:sz="4" w:space="0" w:color="auto"/>
              <w:right w:val="single" w:sz="4" w:space="0" w:color="auto"/>
            </w:tcBorders>
            <w:shd w:val="clear" w:color="000000" w:fill="F2F2F2"/>
            <w:noWrap/>
            <w:vAlign w:val="bottom"/>
            <w:hideMark/>
          </w:tcPr>
          <w:p w14:paraId="3BF27BD4"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0.66 </w:t>
            </w:r>
          </w:p>
        </w:tc>
        <w:tc>
          <w:tcPr>
            <w:tcW w:w="1255" w:type="dxa"/>
            <w:tcBorders>
              <w:top w:val="nil"/>
              <w:left w:val="nil"/>
              <w:bottom w:val="single" w:sz="4" w:space="0" w:color="auto"/>
              <w:right w:val="single" w:sz="4" w:space="0" w:color="auto"/>
            </w:tcBorders>
            <w:shd w:val="clear" w:color="000000" w:fill="F2F2F2"/>
            <w:noWrap/>
            <w:vAlign w:val="bottom"/>
            <w:hideMark/>
          </w:tcPr>
          <w:p w14:paraId="60855B31"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0.62 </w:t>
            </w:r>
          </w:p>
        </w:tc>
        <w:tc>
          <w:tcPr>
            <w:tcW w:w="1258" w:type="dxa"/>
            <w:tcBorders>
              <w:top w:val="nil"/>
              <w:left w:val="nil"/>
              <w:bottom w:val="single" w:sz="4" w:space="0" w:color="auto"/>
              <w:right w:val="single" w:sz="4" w:space="0" w:color="auto"/>
            </w:tcBorders>
            <w:shd w:val="clear" w:color="000000" w:fill="F2F2F2"/>
            <w:noWrap/>
            <w:vAlign w:val="bottom"/>
            <w:hideMark/>
          </w:tcPr>
          <w:p w14:paraId="77084535"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0.59 </w:t>
            </w:r>
          </w:p>
        </w:tc>
      </w:tr>
      <w:tr w:rsidR="00EB0778" w:rsidRPr="000F461B" w14:paraId="3E491491" w14:textId="77777777" w:rsidTr="00475C6D">
        <w:trPr>
          <w:trHeight w:val="281"/>
        </w:trPr>
        <w:tc>
          <w:tcPr>
            <w:tcW w:w="1136" w:type="dxa"/>
            <w:tcBorders>
              <w:top w:val="nil"/>
              <w:left w:val="single" w:sz="4" w:space="0" w:color="auto"/>
              <w:bottom w:val="single" w:sz="4" w:space="0" w:color="auto"/>
              <w:right w:val="single" w:sz="4" w:space="0" w:color="auto"/>
            </w:tcBorders>
            <w:shd w:val="clear" w:color="000000" w:fill="F2F2F2"/>
            <w:noWrap/>
            <w:vAlign w:val="bottom"/>
            <w:hideMark/>
          </w:tcPr>
          <w:p w14:paraId="182B9D0C"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KSBBL</w:t>
            </w:r>
          </w:p>
        </w:tc>
        <w:tc>
          <w:tcPr>
            <w:tcW w:w="1198" w:type="dxa"/>
            <w:tcBorders>
              <w:top w:val="nil"/>
              <w:left w:val="nil"/>
              <w:bottom w:val="single" w:sz="4" w:space="0" w:color="auto"/>
              <w:right w:val="single" w:sz="4" w:space="0" w:color="auto"/>
            </w:tcBorders>
            <w:shd w:val="clear" w:color="000000" w:fill="F2F2F2"/>
            <w:noWrap/>
            <w:vAlign w:val="bottom"/>
            <w:hideMark/>
          </w:tcPr>
          <w:p w14:paraId="5C349B0B"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14.1%</w:t>
            </w:r>
          </w:p>
        </w:tc>
        <w:tc>
          <w:tcPr>
            <w:tcW w:w="1255" w:type="dxa"/>
            <w:tcBorders>
              <w:top w:val="nil"/>
              <w:left w:val="nil"/>
              <w:bottom w:val="single" w:sz="4" w:space="0" w:color="auto"/>
              <w:right w:val="single" w:sz="4" w:space="0" w:color="auto"/>
            </w:tcBorders>
            <w:shd w:val="clear" w:color="000000" w:fill="F2F2F2"/>
            <w:noWrap/>
            <w:vAlign w:val="bottom"/>
            <w:hideMark/>
          </w:tcPr>
          <w:p w14:paraId="692CCBFC"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0.57 </w:t>
            </w:r>
          </w:p>
        </w:tc>
        <w:tc>
          <w:tcPr>
            <w:tcW w:w="1255" w:type="dxa"/>
            <w:tcBorders>
              <w:top w:val="nil"/>
              <w:left w:val="nil"/>
              <w:bottom w:val="single" w:sz="4" w:space="0" w:color="auto"/>
              <w:right w:val="single" w:sz="4" w:space="0" w:color="auto"/>
            </w:tcBorders>
            <w:shd w:val="clear" w:color="000000" w:fill="F2F2F2"/>
            <w:noWrap/>
            <w:vAlign w:val="bottom"/>
            <w:hideMark/>
          </w:tcPr>
          <w:p w14:paraId="769A7E53"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0.57 </w:t>
            </w:r>
          </w:p>
        </w:tc>
        <w:tc>
          <w:tcPr>
            <w:tcW w:w="1255" w:type="dxa"/>
            <w:tcBorders>
              <w:top w:val="nil"/>
              <w:left w:val="nil"/>
              <w:bottom w:val="single" w:sz="4" w:space="0" w:color="auto"/>
              <w:right w:val="single" w:sz="4" w:space="0" w:color="auto"/>
            </w:tcBorders>
            <w:shd w:val="clear" w:color="000000" w:fill="F2F2F2"/>
            <w:noWrap/>
            <w:vAlign w:val="bottom"/>
            <w:hideMark/>
          </w:tcPr>
          <w:p w14:paraId="1FED390E"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0.52 </w:t>
            </w:r>
          </w:p>
        </w:tc>
        <w:tc>
          <w:tcPr>
            <w:tcW w:w="1255" w:type="dxa"/>
            <w:tcBorders>
              <w:top w:val="nil"/>
              <w:left w:val="nil"/>
              <w:bottom w:val="single" w:sz="4" w:space="0" w:color="auto"/>
              <w:right w:val="single" w:sz="4" w:space="0" w:color="auto"/>
            </w:tcBorders>
            <w:shd w:val="clear" w:color="000000" w:fill="F2F2F2"/>
            <w:noWrap/>
            <w:vAlign w:val="bottom"/>
            <w:hideMark/>
          </w:tcPr>
          <w:p w14:paraId="6AB28E26"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0.67 </w:t>
            </w:r>
          </w:p>
        </w:tc>
        <w:tc>
          <w:tcPr>
            <w:tcW w:w="1258" w:type="dxa"/>
            <w:tcBorders>
              <w:top w:val="nil"/>
              <w:left w:val="nil"/>
              <w:bottom w:val="single" w:sz="4" w:space="0" w:color="auto"/>
              <w:right w:val="single" w:sz="4" w:space="0" w:color="auto"/>
            </w:tcBorders>
            <w:shd w:val="clear" w:color="000000" w:fill="F2F2F2"/>
            <w:noWrap/>
            <w:vAlign w:val="bottom"/>
            <w:hideMark/>
          </w:tcPr>
          <w:p w14:paraId="5F042D42"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0.50 </w:t>
            </w:r>
          </w:p>
        </w:tc>
      </w:tr>
      <w:tr w:rsidR="00EB0778" w:rsidRPr="000F461B" w14:paraId="280887EF" w14:textId="77777777" w:rsidTr="00475C6D">
        <w:trPr>
          <w:trHeight w:val="281"/>
        </w:trPr>
        <w:tc>
          <w:tcPr>
            <w:tcW w:w="1136" w:type="dxa"/>
            <w:tcBorders>
              <w:top w:val="nil"/>
              <w:left w:val="single" w:sz="4" w:space="0" w:color="auto"/>
              <w:bottom w:val="single" w:sz="4" w:space="0" w:color="auto"/>
              <w:right w:val="single" w:sz="4" w:space="0" w:color="auto"/>
            </w:tcBorders>
            <w:shd w:val="clear" w:color="000000" w:fill="F2F2F2"/>
            <w:noWrap/>
            <w:vAlign w:val="bottom"/>
            <w:hideMark/>
          </w:tcPr>
          <w:p w14:paraId="14A6E57B"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GBBL</w:t>
            </w:r>
          </w:p>
        </w:tc>
        <w:tc>
          <w:tcPr>
            <w:tcW w:w="1198" w:type="dxa"/>
            <w:tcBorders>
              <w:top w:val="nil"/>
              <w:left w:val="nil"/>
              <w:bottom w:val="single" w:sz="4" w:space="0" w:color="auto"/>
              <w:right w:val="single" w:sz="4" w:space="0" w:color="auto"/>
            </w:tcBorders>
            <w:shd w:val="clear" w:color="000000" w:fill="F2F2F2"/>
            <w:noWrap/>
            <w:vAlign w:val="bottom"/>
            <w:hideMark/>
          </w:tcPr>
          <w:p w14:paraId="61BE5B40"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6.0%</w:t>
            </w:r>
          </w:p>
        </w:tc>
        <w:tc>
          <w:tcPr>
            <w:tcW w:w="1255" w:type="dxa"/>
            <w:tcBorders>
              <w:top w:val="nil"/>
              <w:left w:val="nil"/>
              <w:bottom w:val="single" w:sz="4" w:space="0" w:color="auto"/>
              <w:right w:val="single" w:sz="4" w:space="0" w:color="auto"/>
            </w:tcBorders>
            <w:shd w:val="clear" w:color="000000" w:fill="F2F2F2"/>
            <w:noWrap/>
            <w:vAlign w:val="bottom"/>
            <w:hideMark/>
          </w:tcPr>
          <w:p w14:paraId="5EBF8F99"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0.83 </w:t>
            </w:r>
          </w:p>
        </w:tc>
        <w:tc>
          <w:tcPr>
            <w:tcW w:w="1255" w:type="dxa"/>
            <w:tcBorders>
              <w:top w:val="nil"/>
              <w:left w:val="nil"/>
              <w:bottom w:val="single" w:sz="4" w:space="0" w:color="auto"/>
              <w:right w:val="single" w:sz="4" w:space="0" w:color="auto"/>
            </w:tcBorders>
            <w:shd w:val="clear" w:color="000000" w:fill="F2F2F2"/>
            <w:noWrap/>
            <w:vAlign w:val="bottom"/>
            <w:hideMark/>
          </w:tcPr>
          <w:p w14:paraId="75F4C941"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0.86 </w:t>
            </w:r>
          </w:p>
        </w:tc>
        <w:tc>
          <w:tcPr>
            <w:tcW w:w="1255" w:type="dxa"/>
            <w:tcBorders>
              <w:top w:val="nil"/>
              <w:left w:val="nil"/>
              <w:bottom w:val="single" w:sz="4" w:space="0" w:color="auto"/>
              <w:right w:val="single" w:sz="4" w:space="0" w:color="auto"/>
            </w:tcBorders>
            <w:shd w:val="clear" w:color="000000" w:fill="F2F2F2"/>
            <w:noWrap/>
            <w:vAlign w:val="bottom"/>
            <w:hideMark/>
          </w:tcPr>
          <w:p w14:paraId="4AD9B94D"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0.99 </w:t>
            </w:r>
          </w:p>
        </w:tc>
        <w:tc>
          <w:tcPr>
            <w:tcW w:w="1255" w:type="dxa"/>
            <w:tcBorders>
              <w:top w:val="nil"/>
              <w:left w:val="nil"/>
              <w:bottom w:val="single" w:sz="4" w:space="0" w:color="auto"/>
              <w:right w:val="single" w:sz="4" w:space="0" w:color="auto"/>
            </w:tcBorders>
            <w:shd w:val="clear" w:color="000000" w:fill="F2F2F2"/>
            <w:noWrap/>
            <w:vAlign w:val="bottom"/>
            <w:hideMark/>
          </w:tcPr>
          <w:p w14:paraId="1DA68E06"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0.95 </w:t>
            </w:r>
          </w:p>
        </w:tc>
        <w:tc>
          <w:tcPr>
            <w:tcW w:w="1258" w:type="dxa"/>
            <w:tcBorders>
              <w:top w:val="nil"/>
              <w:left w:val="nil"/>
              <w:bottom w:val="single" w:sz="4" w:space="0" w:color="auto"/>
              <w:right w:val="single" w:sz="4" w:space="0" w:color="auto"/>
            </w:tcBorders>
            <w:shd w:val="clear" w:color="000000" w:fill="F2F2F2"/>
            <w:noWrap/>
            <w:vAlign w:val="bottom"/>
            <w:hideMark/>
          </w:tcPr>
          <w:p w14:paraId="19A347DC"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0.71 </w:t>
            </w:r>
          </w:p>
        </w:tc>
      </w:tr>
      <w:tr w:rsidR="00EB0778" w:rsidRPr="000F461B" w14:paraId="07A35745" w14:textId="77777777" w:rsidTr="00475C6D">
        <w:trPr>
          <w:trHeight w:val="281"/>
        </w:trPr>
        <w:tc>
          <w:tcPr>
            <w:tcW w:w="1136" w:type="dxa"/>
            <w:tcBorders>
              <w:top w:val="nil"/>
              <w:left w:val="single" w:sz="4" w:space="0" w:color="auto"/>
              <w:bottom w:val="single" w:sz="4" w:space="0" w:color="auto"/>
              <w:right w:val="single" w:sz="4" w:space="0" w:color="auto"/>
            </w:tcBorders>
            <w:shd w:val="clear" w:color="000000" w:fill="F2F2F2"/>
            <w:noWrap/>
            <w:vAlign w:val="bottom"/>
            <w:hideMark/>
          </w:tcPr>
          <w:p w14:paraId="6A539A76"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LBBL</w:t>
            </w:r>
          </w:p>
        </w:tc>
        <w:tc>
          <w:tcPr>
            <w:tcW w:w="1198" w:type="dxa"/>
            <w:tcBorders>
              <w:top w:val="nil"/>
              <w:left w:val="nil"/>
              <w:bottom w:val="single" w:sz="4" w:space="0" w:color="auto"/>
              <w:right w:val="single" w:sz="4" w:space="0" w:color="auto"/>
            </w:tcBorders>
            <w:shd w:val="clear" w:color="000000" w:fill="F2F2F2"/>
            <w:noWrap/>
            <w:vAlign w:val="bottom"/>
            <w:hideMark/>
          </w:tcPr>
          <w:p w14:paraId="24599B61"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5.8%</w:t>
            </w:r>
          </w:p>
        </w:tc>
        <w:tc>
          <w:tcPr>
            <w:tcW w:w="1255" w:type="dxa"/>
            <w:tcBorders>
              <w:top w:val="nil"/>
              <w:left w:val="nil"/>
              <w:bottom w:val="single" w:sz="4" w:space="0" w:color="auto"/>
              <w:right w:val="single" w:sz="4" w:space="0" w:color="auto"/>
            </w:tcBorders>
            <w:shd w:val="clear" w:color="000000" w:fill="F2F2F2"/>
            <w:noWrap/>
            <w:vAlign w:val="bottom"/>
            <w:hideMark/>
          </w:tcPr>
          <w:p w14:paraId="1CAA8B0B"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0.43 </w:t>
            </w:r>
          </w:p>
        </w:tc>
        <w:tc>
          <w:tcPr>
            <w:tcW w:w="1255" w:type="dxa"/>
            <w:tcBorders>
              <w:top w:val="nil"/>
              <w:left w:val="nil"/>
              <w:bottom w:val="single" w:sz="4" w:space="0" w:color="auto"/>
              <w:right w:val="single" w:sz="4" w:space="0" w:color="auto"/>
            </w:tcBorders>
            <w:shd w:val="clear" w:color="000000" w:fill="F2F2F2"/>
            <w:noWrap/>
            <w:vAlign w:val="bottom"/>
            <w:hideMark/>
          </w:tcPr>
          <w:p w14:paraId="55A4DE51"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0.47 </w:t>
            </w:r>
          </w:p>
        </w:tc>
        <w:tc>
          <w:tcPr>
            <w:tcW w:w="1255" w:type="dxa"/>
            <w:tcBorders>
              <w:top w:val="nil"/>
              <w:left w:val="nil"/>
              <w:bottom w:val="single" w:sz="4" w:space="0" w:color="auto"/>
              <w:right w:val="single" w:sz="4" w:space="0" w:color="auto"/>
            </w:tcBorders>
            <w:shd w:val="clear" w:color="000000" w:fill="F2F2F2"/>
            <w:noWrap/>
            <w:vAlign w:val="bottom"/>
            <w:hideMark/>
          </w:tcPr>
          <w:p w14:paraId="30F1A18B"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0.46 </w:t>
            </w:r>
          </w:p>
        </w:tc>
        <w:tc>
          <w:tcPr>
            <w:tcW w:w="1255" w:type="dxa"/>
            <w:tcBorders>
              <w:top w:val="nil"/>
              <w:left w:val="nil"/>
              <w:bottom w:val="single" w:sz="4" w:space="0" w:color="auto"/>
              <w:right w:val="single" w:sz="4" w:space="0" w:color="auto"/>
            </w:tcBorders>
            <w:shd w:val="clear" w:color="000000" w:fill="F2F2F2"/>
            <w:noWrap/>
            <w:vAlign w:val="bottom"/>
            <w:hideMark/>
          </w:tcPr>
          <w:p w14:paraId="40CF1C5A"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0.53 </w:t>
            </w:r>
          </w:p>
        </w:tc>
        <w:tc>
          <w:tcPr>
            <w:tcW w:w="1258" w:type="dxa"/>
            <w:tcBorders>
              <w:top w:val="nil"/>
              <w:left w:val="nil"/>
              <w:bottom w:val="single" w:sz="4" w:space="0" w:color="auto"/>
              <w:right w:val="single" w:sz="4" w:space="0" w:color="auto"/>
            </w:tcBorders>
            <w:shd w:val="clear" w:color="000000" w:fill="F2F2F2"/>
            <w:noWrap/>
            <w:vAlign w:val="bottom"/>
            <w:hideMark/>
          </w:tcPr>
          <w:p w14:paraId="647F6DC7"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0.42 </w:t>
            </w:r>
          </w:p>
        </w:tc>
      </w:tr>
      <w:tr w:rsidR="00EB0778" w:rsidRPr="000F461B" w14:paraId="2CB12A08" w14:textId="77777777" w:rsidTr="00475C6D">
        <w:trPr>
          <w:trHeight w:val="281"/>
        </w:trPr>
        <w:tc>
          <w:tcPr>
            <w:tcW w:w="1136" w:type="dxa"/>
            <w:tcBorders>
              <w:top w:val="nil"/>
              <w:left w:val="single" w:sz="4" w:space="0" w:color="auto"/>
              <w:bottom w:val="single" w:sz="4" w:space="0" w:color="auto"/>
              <w:right w:val="single" w:sz="4" w:space="0" w:color="auto"/>
            </w:tcBorders>
            <w:shd w:val="clear" w:color="000000" w:fill="F2F2F2"/>
            <w:noWrap/>
            <w:vAlign w:val="bottom"/>
            <w:hideMark/>
          </w:tcPr>
          <w:p w14:paraId="20579BBB"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MNBBL</w:t>
            </w:r>
          </w:p>
        </w:tc>
        <w:tc>
          <w:tcPr>
            <w:tcW w:w="1198" w:type="dxa"/>
            <w:tcBorders>
              <w:top w:val="nil"/>
              <w:left w:val="nil"/>
              <w:bottom w:val="single" w:sz="4" w:space="0" w:color="auto"/>
              <w:right w:val="single" w:sz="4" w:space="0" w:color="auto"/>
            </w:tcBorders>
            <w:shd w:val="clear" w:color="000000" w:fill="F2F2F2"/>
            <w:noWrap/>
            <w:vAlign w:val="bottom"/>
            <w:hideMark/>
          </w:tcPr>
          <w:p w14:paraId="5BFE081C"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5.0%</w:t>
            </w:r>
          </w:p>
        </w:tc>
        <w:tc>
          <w:tcPr>
            <w:tcW w:w="1255" w:type="dxa"/>
            <w:tcBorders>
              <w:top w:val="nil"/>
              <w:left w:val="nil"/>
              <w:bottom w:val="single" w:sz="4" w:space="0" w:color="auto"/>
              <w:right w:val="single" w:sz="4" w:space="0" w:color="auto"/>
            </w:tcBorders>
            <w:shd w:val="clear" w:color="000000" w:fill="F2F2F2"/>
            <w:noWrap/>
            <w:vAlign w:val="bottom"/>
            <w:hideMark/>
          </w:tcPr>
          <w:p w14:paraId="3B89F656"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1.09 </w:t>
            </w:r>
          </w:p>
        </w:tc>
        <w:tc>
          <w:tcPr>
            <w:tcW w:w="1255" w:type="dxa"/>
            <w:tcBorders>
              <w:top w:val="nil"/>
              <w:left w:val="nil"/>
              <w:bottom w:val="single" w:sz="4" w:space="0" w:color="auto"/>
              <w:right w:val="single" w:sz="4" w:space="0" w:color="auto"/>
            </w:tcBorders>
            <w:shd w:val="clear" w:color="000000" w:fill="F2F2F2"/>
            <w:noWrap/>
            <w:vAlign w:val="bottom"/>
            <w:hideMark/>
          </w:tcPr>
          <w:p w14:paraId="36BC04C1"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1.08 </w:t>
            </w:r>
          </w:p>
        </w:tc>
        <w:tc>
          <w:tcPr>
            <w:tcW w:w="1255" w:type="dxa"/>
            <w:tcBorders>
              <w:top w:val="nil"/>
              <w:left w:val="nil"/>
              <w:bottom w:val="single" w:sz="4" w:space="0" w:color="auto"/>
              <w:right w:val="single" w:sz="4" w:space="0" w:color="auto"/>
            </w:tcBorders>
            <w:shd w:val="clear" w:color="000000" w:fill="F2F2F2"/>
            <w:noWrap/>
            <w:vAlign w:val="bottom"/>
            <w:hideMark/>
          </w:tcPr>
          <w:p w14:paraId="660F2CD6"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1.11 </w:t>
            </w:r>
          </w:p>
        </w:tc>
        <w:tc>
          <w:tcPr>
            <w:tcW w:w="1255" w:type="dxa"/>
            <w:tcBorders>
              <w:top w:val="nil"/>
              <w:left w:val="nil"/>
              <w:bottom w:val="single" w:sz="4" w:space="0" w:color="auto"/>
              <w:right w:val="single" w:sz="4" w:space="0" w:color="auto"/>
            </w:tcBorders>
            <w:shd w:val="clear" w:color="000000" w:fill="F2F2F2"/>
            <w:noWrap/>
            <w:vAlign w:val="bottom"/>
            <w:hideMark/>
          </w:tcPr>
          <w:p w14:paraId="6F380DF1"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1.05 </w:t>
            </w:r>
          </w:p>
        </w:tc>
        <w:tc>
          <w:tcPr>
            <w:tcW w:w="1258" w:type="dxa"/>
            <w:tcBorders>
              <w:top w:val="nil"/>
              <w:left w:val="nil"/>
              <w:bottom w:val="single" w:sz="4" w:space="0" w:color="auto"/>
              <w:right w:val="single" w:sz="4" w:space="0" w:color="auto"/>
            </w:tcBorders>
            <w:shd w:val="clear" w:color="000000" w:fill="F2F2F2"/>
            <w:noWrap/>
            <w:vAlign w:val="bottom"/>
            <w:hideMark/>
          </w:tcPr>
          <w:p w14:paraId="547BCE96"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1.04 </w:t>
            </w:r>
          </w:p>
        </w:tc>
      </w:tr>
      <w:tr w:rsidR="00EB0778" w:rsidRPr="000F461B" w14:paraId="2993D4E5" w14:textId="77777777" w:rsidTr="00475C6D">
        <w:trPr>
          <w:trHeight w:val="281"/>
        </w:trPr>
        <w:tc>
          <w:tcPr>
            <w:tcW w:w="1136" w:type="dxa"/>
            <w:tcBorders>
              <w:top w:val="nil"/>
              <w:left w:val="single" w:sz="4" w:space="0" w:color="auto"/>
              <w:bottom w:val="single" w:sz="4" w:space="0" w:color="auto"/>
              <w:right w:val="single" w:sz="4" w:space="0" w:color="auto"/>
            </w:tcBorders>
            <w:shd w:val="clear" w:color="000000" w:fill="F2F2F2"/>
            <w:noWrap/>
            <w:vAlign w:val="bottom"/>
            <w:hideMark/>
          </w:tcPr>
          <w:p w14:paraId="23A65112"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MLBL</w:t>
            </w:r>
          </w:p>
        </w:tc>
        <w:tc>
          <w:tcPr>
            <w:tcW w:w="1198" w:type="dxa"/>
            <w:tcBorders>
              <w:top w:val="nil"/>
              <w:left w:val="nil"/>
              <w:bottom w:val="single" w:sz="4" w:space="0" w:color="auto"/>
              <w:right w:val="single" w:sz="4" w:space="0" w:color="auto"/>
            </w:tcBorders>
            <w:shd w:val="clear" w:color="000000" w:fill="F2F2F2"/>
            <w:noWrap/>
            <w:vAlign w:val="bottom"/>
            <w:hideMark/>
          </w:tcPr>
          <w:p w14:paraId="3E80E30D"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3.8%</w:t>
            </w:r>
          </w:p>
        </w:tc>
        <w:tc>
          <w:tcPr>
            <w:tcW w:w="1255" w:type="dxa"/>
            <w:tcBorders>
              <w:top w:val="nil"/>
              <w:left w:val="nil"/>
              <w:bottom w:val="single" w:sz="4" w:space="0" w:color="auto"/>
              <w:right w:val="single" w:sz="4" w:space="0" w:color="auto"/>
            </w:tcBorders>
            <w:shd w:val="clear" w:color="000000" w:fill="F2F2F2"/>
            <w:noWrap/>
            <w:vAlign w:val="bottom"/>
            <w:hideMark/>
          </w:tcPr>
          <w:p w14:paraId="71933672"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0.52 </w:t>
            </w:r>
          </w:p>
        </w:tc>
        <w:tc>
          <w:tcPr>
            <w:tcW w:w="1255" w:type="dxa"/>
            <w:tcBorders>
              <w:top w:val="nil"/>
              <w:left w:val="nil"/>
              <w:bottom w:val="single" w:sz="4" w:space="0" w:color="auto"/>
              <w:right w:val="single" w:sz="4" w:space="0" w:color="auto"/>
            </w:tcBorders>
            <w:shd w:val="clear" w:color="000000" w:fill="F2F2F2"/>
            <w:noWrap/>
            <w:vAlign w:val="bottom"/>
            <w:hideMark/>
          </w:tcPr>
          <w:p w14:paraId="379CB39E"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0.54 </w:t>
            </w:r>
          </w:p>
        </w:tc>
        <w:tc>
          <w:tcPr>
            <w:tcW w:w="1255" w:type="dxa"/>
            <w:tcBorders>
              <w:top w:val="nil"/>
              <w:left w:val="nil"/>
              <w:bottom w:val="single" w:sz="4" w:space="0" w:color="auto"/>
              <w:right w:val="single" w:sz="4" w:space="0" w:color="auto"/>
            </w:tcBorders>
            <w:shd w:val="clear" w:color="000000" w:fill="F2F2F2"/>
            <w:noWrap/>
            <w:vAlign w:val="bottom"/>
            <w:hideMark/>
          </w:tcPr>
          <w:p w14:paraId="11A38626"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0.48 </w:t>
            </w:r>
          </w:p>
        </w:tc>
        <w:tc>
          <w:tcPr>
            <w:tcW w:w="1255" w:type="dxa"/>
            <w:tcBorders>
              <w:top w:val="nil"/>
              <w:left w:val="nil"/>
              <w:bottom w:val="single" w:sz="4" w:space="0" w:color="auto"/>
              <w:right w:val="single" w:sz="4" w:space="0" w:color="auto"/>
            </w:tcBorders>
            <w:shd w:val="clear" w:color="000000" w:fill="F2F2F2"/>
            <w:noWrap/>
            <w:vAlign w:val="bottom"/>
            <w:hideMark/>
          </w:tcPr>
          <w:p w14:paraId="495E19CD"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0.45 </w:t>
            </w:r>
          </w:p>
        </w:tc>
        <w:tc>
          <w:tcPr>
            <w:tcW w:w="1258" w:type="dxa"/>
            <w:tcBorders>
              <w:top w:val="nil"/>
              <w:left w:val="nil"/>
              <w:bottom w:val="single" w:sz="4" w:space="0" w:color="auto"/>
              <w:right w:val="single" w:sz="4" w:space="0" w:color="auto"/>
            </w:tcBorders>
            <w:shd w:val="clear" w:color="000000" w:fill="F2F2F2"/>
            <w:noWrap/>
            <w:vAlign w:val="bottom"/>
            <w:hideMark/>
          </w:tcPr>
          <w:p w14:paraId="3A109794"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0.59 </w:t>
            </w:r>
          </w:p>
        </w:tc>
      </w:tr>
      <w:tr w:rsidR="00EB0778" w:rsidRPr="000F461B" w14:paraId="045AA246" w14:textId="77777777" w:rsidTr="00475C6D">
        <w:trPr>
          <w:trHeight w:val="292"/>
        </w:trPr>
        <w:tc>
          <w:tcPr>
            <w:tcW w:w="1136" w:type="dxa"/>
            <w:tcBorders>
              <w:top w:val="nil"/>
              <w:left w:val="single" w:sz="4" w:space="0" w:color="auto"/>
              <w:bottom w:val="single" w:sz="4" w:space="0" w:color="auto"/>
              <w:right w:val="single" w:sz="4" w:space="0" w:color="auto"/>
            </w:tcBorders>
            <w:shd w:val="clear" w:color="000000" w:fill="F2F2F2"/>
            <w:noWrap/>
            <w:vAlign w:val="bottom"/>
            <w:hideMark/>
          </w:tcPr>
          <w:p w14:paraId="275B1DA6"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SADBL</w:t>
            </w:r>
          </w:p>
        </w:tc>
        <w:tc>
          <w:tcPr>
            <w:tcW w:w="1198" w:type="dxa"/>
            <w:tcBorders>
              <w:top w:val="nil"/>
              <w:left w:val="nil"/>
              <w:bottom w:val="single" w:sz="4" w:space="0" w:color="auto"/>
              <w:right w:val="single" w:sz="4" w:space="0" w:color="auto"/>
            </w:tcBorders>
            <w:shd w:val="clear" w:color="000000" w:fill="F2F2F2"/>
            <w:noWrap/>
            <w:vAlign w:val="bottom"/>
            <w:hideMark/>
          </w:tcPr>
          <w:p w14:paraId="6D8D3594"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-1.3%</w:t>
            </w:r>
          </w:p>
        </w:tc>
        <w:tc>
          <w:tcPr>
            <w:tcW w:w="1255" w:type="dxa"/>
            <w:tcBorders>
              <w:top w:val="nil"/>
              <w:left w:val="nil"/>
              <w:bottom w:val="single" w:sz="4" w:space="0" w:color="auto"/>
              <w:right w:val="single" w:sz="4" w:space="0" w:color="auto"/>
            </w:tcBorders>
            <w:shd w:val="clear" w:color="000000" w:fill="F2F2F2"/>
            <w:noWrap/>
            <w:vAlign w:val="bottom"/>
            <w:hideMark/>
          </w:tcPr>
          <w:p w14:paraId="5D4D6B85"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0.51 </w:t>
            </w:r>
          </w:p>
        </w:tc>
        <w:tc>
          <w:tcPr>
            <w:tcW w:w="1255" w:type="dxa"/>
            <w:tcBorders>
              <w:top w:val="nil"/>
              <w:left w:val="nil"/>
              <w:bottom w:val="single" w:sz="4" w:space="0" w:color="auto"/>
              <w:right w:val="single" w:sz="4" w:space="0" w:color="auto"/>
            </w:tcBorders>
            <w:shd w:val="clear" w:color="000000" w:fill="F2F2F2"/>
            <w:noWrap/>
            <w:vAlign w:val="bottom"/>
            <w:hideMark/>
          </w:tcPr>
          <w:p w14:paraId="7E22B7C9"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0.37 </w:t>
            </w:r>
          </w:p>
        </w:tc>
        <w:tc>
          <w:tcPr>
            <w:tcW w:w="1255" w:type="dxa"/>
            <w:tcBorders>
              <w:top w:val="nil"/>
              <w:left w:val="nil"/>
              <w:bottom w:val="single" w:sz="4" w:space="0" w:color="auto"/>
              <w:right w:val="single" w:sz="4" w:space="0" w:color="auto"/>
            </w:tcBorders>
            <w:shd w:val="clear" w:color="000000" w:fill="F2F2F2"/>
            <w:noWrap/>
            <w:vAlign w:val="bottom"/>
            <w:hideMark/>
          </w:tcPr>
          <w:p w14:paraId="14F19E7F"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0.55 </w:t>
            </w:r>
          </w:p>
        </w:tc>
        <w:tc>
          <w:tcPr>
            <w:tcW w:w="1255" w:type="dxa"/>
            <w:tcBorders>
              <w:top w:val="nil"/>
              <w:left w:val="nil"/>
              <w:bottom w:val="single" w:sz="4" w:space="0" w:color="auto"/>
              <w:right w:val="single" w:sz="4" w:space="0" w:color="auto"/>
            </w:tcBorders>
            <w:shd w:val="clear" w:color="000000" w:fill="F2F2F2"/>
            <w:noWrap/>
            <w:vAlign w:val="bottom"/>
            <w:hideMark/>
          </w:tcPr>
          <w:p w14:paraId="145A2703"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0.43 </w:t>
            </w:r>
          </w:p>
        </w:tc>
        <w:tc>
          <w:tcPr>
            <w:tcW w:w="1258" w:type="dxa"/>
            <w:tcBorders>
              <w:top w:val="nil"/>
              <w:left w:val="nil"/>
              <w:bottom w:val="single" w:sz="4" w:space="0" w:color="auto"/>
              <w:right w:val="single" w:sz="4" w:space="0" w:color="auto"/>
            </w:tcBorders>
            <w:shd w:val="clear" w:color="000000" w:fill="F2F2F2"/>
            <w:noWrap/>
            <w:vAlign w:val="bottom"/>
            <w:hideMark/>
          </w:tcPr>
          <w:p w14:paraId="61974C65"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0.50 </w:t>
            </w:r>
          </w:p>
        </w:tc>
      </w:tr>
      <w:tr w:rsidR="00EB0778" w:rsidRPr="000F461B" w14:paraId="7D7873DF" w14:textId="77777777" w:rsidTr="00475C6D">
        <w:trPr>
          <w:trHeight w:val="292"/>
        </w:trPr>
        <w:tc>
          <w:tcPr>
            <w:tcW w:w="1136" w:type="dxa"/>
            <w:tcBorders>
              <w:top w:val="nil"/>
              <w:left w:val="single" w:sz="4" w:space="0" w:color="auto"/>
              <w:bottom w:val="single" w:sz="4" w:space="0" w:color="auto"/>
              <w:right w:val="single" w:sz="4" w:space="0" w:color="auto"/>
            </w:tcBorders>
            <w:shd w:val="clear" w:color="000000" w:fill="F2F2F2"/>
            <w:noWrap/>
            <w:vAlign w:val="bottom"/>
            <w:hideMark/>
          </w:tcPr>
          <w:p w14:paraId="24101A45"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JBBL</w:t>
            </w:r>
          </w:p>
        </w:tc>
        <w:tc>
          <w:tcPr>
            <w:tcW w:w="1198" w:type="dxa"/>
            <w:tcBorders>
              <w:top w:val="nil"/>
              <w:left w:val="nil"/>
              <w:bottom w:val="single" w:sz="4" w:space="0" w:color="auto"/>
              <w:right w:val="single" w:sz="4" w:space="0" w:color="auto"/>
            </w:tcBorders>
            <w:shd w:val="clear" w:color="000000" w:fill="F2F2F2"/>
            <w:noWrap/>
            <w:vAlign w:val="bottom"/>
            <w:hideMark/>
          </w:tcPr>
          <w:p w14:paraId="18CC7D72"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-7.2%</w:t>
            </w:r>
          </w:p>
        </w:tc>
        <w:tc>
          <w:tcPr>
            <w:tcW w:w="1255" w:type="dxa"/>
            <w:tcBorders>
              <w:top w:val="nil"/>
              <w:left w:val="nil"/>
              <w:bottom w:val="single" w:sz="4" w:space="0" w:color="auto"/>
              <w:right w:val="single" w:sz="4" w:space="0" w:color="auto"/>
            </w:tcBorders>
            <w:shd w:val="clear" w:color="000000" w:fill="F2F2F2"/>
            <w:noWrap/>
            <w:vAlign w:val="bottom"/>
            <w:hideMark/>
          </w:tcPr>
          <w:p w14:paraId="77F5309D"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0.46 </w:t>
            </w:r>
          </w:p>
        </w:tc>
        <w:tc>
          <w:tcPr>
            <w:tcW w:w="1255" w:type="dxa"/>
            <w:tcBorders>
              <w:top w:val="nil"/>
              <w:left w:val="nil"/>
              <w:bottom w:val="single" w:sz="4" w:space="0" w:color="auto"/>
              <w:right w:val="single" w:sz="4" w:space="0" w:color="auto"/>
            </w:tcBorders>
            <w:shd w:val="clear" w:color="000000" w:fill="F2F2F2"/>
            <w:noWrap/>
            <w:vAlign w:val="bottom"/>
            <w:hideMark/>
          </w:tcPr>
          <w:p w14:paraId="1456EBB4"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0.54 </w:t>
            </w:r>
          </w:p>
        </w:tc>
        <w:tc>
          <w:tcPr>
            <w:tcW w:w="1255" w:type="dxa"/>
            <w:tcBorders>
              <w:top w:val="nil"/>
              <w:left w:val="nil"/>
              <w:bottom w:val="single" w:sz="4" w:space="0" w:color="auto"/>
              <w:right w:val="single" w:sz="4" w:space="0" w:color="auto"/>
            </w:tcBorders>
            <w:shd w:val="clear" w:color="000000" w:fill="F2F2F2"/>
            <w:noWrap/>
            <w:vAlign w:val="bottom"/>
            <w:hideMark/>
          </w:tcPr>
          <w:p w14:paraId="659D04D2"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0.57 </w:t>
            </w:r>
          </w:p>
        </w:tc>
        <w:tc>
          <w:tcPr>
            <w:tcW w:w="1255" w:type="dxa"/>
            <w:tcBorders>
              <w:top w:val="nil"/>
              <w:left w:val="nil"/>
              <w:bottom w:val="single" w:sz="4" w:space="0" w:color="auto"/>
              <w:right w:val="single" w:sz="4" w:space="0" w:color="auto"/>
            </w:tcBorders>
            <w:shd w:val="clear" w:color="000000" w:fill="F2F2F2"/>
            <w:noWrap/>
            <w:vAlign w:val="bottom"/>
            <w:hideMark/>
          </w:tcPr>
          <w:p w14:paraId="53CEE17A"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0.66 </w:t>
            </w:r>
          </w:p>
        </w:tc>
        <w:tc>
          <w:tcPr>
            <w:tcW w:w="1258" w:type="dxa"/>
            <w:tcBorders>
              <w:top w:val="nil"/>
              <w:left w:val="nil"/>
              <w:bottom w:val="single" w:sz="4" w:space="0" w:color="auto"/>
              <w:right w:val="single" w:sz="4" w:space="0" w:color="auto"/>
            </w:tcBorders>
            <w:shd w:val="clear" w:color="000000" w:fill="F2F2F2"/>
            <w:noWrap/>
            <w:vAlign w:val="bottom"/>
            <w:hideMark/>
          </w:tcPr>
          <w:p w14:paraId="42ACE275"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0.58 </w:t>
            </w:r>
          </w:p>
        </w:tc>
      </w:tr>
    </w:tbl>
    <w:p w14:paraId="11023C42" w14:textId="77777777" w:rsidR="00EB0778" w:rsidRPr="000F461B" w:rsidRDefault="00EB0778" w:rsidP="00EB0778">
      <w:pPr>
        <w:jc w:val="both"/>
        <w:rPr>
          <w:rFonts w:ascii="Times New Roman" w:hAnsi="Times New Roman" w:cs="Times New Roman"/>
          <w:highlight w:val="yellow"/>
        </w:rPr>
      </w:pPr>
    </w:p>
    <w:p w14:paraId="1DCE6866" w14:textId="77777777" w:rsidR="00EB0778" w:rsidRPr="000F461B" w:rsidRDefault="00EB0778" w:rsidP="00EB0778">
      <w:pPr>
        <w:jc w:val="both"/>
        <w:rPr>
          <w:rFonts w:ascii="Times New Roman" w:hAnsi="Times New Roman" w:cs="Times New Roman"/>
        </w:rPr>
      </w:pPr>
      <w:r w:rsidRPr="000F461B">
        <w:rPr>
          <w:rFonts w:ascii="Times New Roman" w:hAnsi="Times New Roman" w:cs="Times New Roman"/>
        </w:rPr>
        <w:lastRenderedPageBreak/>
        <w:t>This table provides Year-Over-Year (YOY) growth of Net Interest Income (NII) and NII for various quarters over the last five quarter NII is key and core income for the banks hence it is very important to analyze the NII.</w:t>
      </w:r>
    </w:p>
    <w:p w14:paraId="1287E248" w14:textId="77777777" w:rsidR="00EB0778" w:rsidRPr="000F461B" w:rsidRDefault="00EB0778" w:rsidP="00EB0778">
      <w:pPr>
        <w:pStyle w:val="Heading2"/>
        <w:spacing w:line="360" w:lineRule="auto"/>
        <w:rPr>
          <w:rFonts w:cs="Times New Roman"/>
        </w:rPr>
      </w:pPr>
      <w:bookmarkStart w:id="13" w:name="_Toc204782577"/>
      <w:r w:rsidRPr="000F461B">
        <w:rPr>
          <w:rFonts w:cs="Times New Roman"/>
        </w:rPr>
        <w:t>Change in Net Profit (Loss)</w:t>
      </w:r>
      <w:bookmarkEnd w:id="13"/>
    </w:p>
    <w:tbl>
      <w:tblPr>
        <w:tblW w:w="8950" w:type="dxa"/>
        <w:tblInd w:w="-5" w:type="dxa"/>
        <w:tblLook w:val="04A0" w:firstRow="1" w:lastRow="0" w:firstColumn="1" w:lastColumn="0" w:noHBand="0" w:noVBand="1"/>
      </w:tblPr>
      <w:tblGrid>
        <w:gridCol w:w="1055"/>
        <w:gridCol w:w="1819"/>
        <w:gridCol w:w="1114"/>
        <w:gridCol w:w="1621"/>
        <w:gridCol w:w="1114"/>
        <w:gridCol w:w="1114"/>
        <w:gridCol w:w="1113"/>
      </w:tblGrid>
      <w:tr w:rsidR="00EB0778" w:rsidRPr="000F461B" w14:paraId="1FD90111" w14:textId="77777777" w:rsidTr="00475C6D">
        <w:trPr>
          <w:trHeight w:val="476"/>
        </w:trPr>
        <w:tc>
          <w:tcPr>
            <w:tcW w:w="1055" w:type="dxa"/>
            <w:vMerge w:val="restart"/>
            <w:tcBorders>
              <w:top w:val="single" w:sz="4" w:space="0" w:color="auto"/>
              <w:left w:val="single" w:sz="4" w:space="0" w:color="auto"/>
              <w:bottom w:val="single" w:sz="4" w:space="0" w:color="auto"/>
              <w:right w:val="single" w:sz="4" w:space="0" w:color="auto"/>
            </w:tcBorders>
            <w:shd w:val="clear" w:color="000000" w:fill="F2F2F2"/>
            <w:vAlign w:val="bottom"/>
            <w:hideMark/>
          </w:tcPr>
          <w:p w14:paraId="020093BD" w14:textId="77777777" w:rsidR="00EB0778" w:rsidRPr="000F461B" w:rsidRDefault="00EB0778" w:rsidP="00EB0778">
            <w:pPr>
              <w:spacing w:after="0"/>
              <w:jc w:val="center"/>
              <w:rPr>
                <w:rFonts w:ascii="Times New Roman" w:eastAsia="Times New Roman" w:hAnsi="Times New Roman" w:cs="Times New Roman"/>
                <w:color w:val="000000"/>
              </w:rPr>
            </w:pPr>
            <w:r w:rsidRPr="000F461B">
              <w:rPr>
                <w:rFonts w:ascii="Times New Roman" w:eastAsia="Times New Roman" w:hAnsi="Times New Roman" w:cs="Times New Roman"/>
                <w:color w:val="000000"/>
              </w:rPr>
              <w:t>ABB</w:t>
            </w:r>
          </w:p>
        </w:tc>
        <w:tc>
          <w:tcPr>
            <w:tcW w:w="1819" w:type="dxa"/>
            <w:vMerge w:val="restart"/>
            <w:tcBorders>
              <w:top w:val="single" w:sz="4" w:space="0" w:color="auto"/>
              <w:left w:val="single" w:sz="4" w:space="0" w:color="auto"/>
              <w:bottom w:val="single" w:sz="4" w:space="0" w:color="auto"/>
              <w:right w:val="single" w:sz="4" w:space="0" w:color="auto"/>
            </w:tcBorders>
            <w:shd w:val="clear" w:color="000000" w:fill="F2F2F2"/>
            <w:vAlign w:val="bottom"/>
            <w:hideMark/>
          </w:tcPr>
          <w:p w14:paraId="6B307A3F" w14:textId="77777777" w:rsidR="00EB0778" w:rsidRPr="000F461B" w:rsidRDefault="00EB0778" w:rsidP="00EB0778">
            <w:pPr>
              <w:spacing w:after="0"/>
              <w:jc w:val="center"/>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YOY% </w:t>
            </w:r>
          </w:p>
          <w:p w14:paraId="3DCEB2C2" w14:textId="77777777" w:rsidR="00EB0778" w:rsidRPr="000F461B" w:rsidRDefault="00EB0778" w:rsidP="00EB0778">
            <w:pPr>
              <w:spacing w:after="0"/>
              <w:jc w:val="center"/>
              <w:rPr>
                <w:rFonts w:ascii="Times New Roman" w:eastAsia="Times New Roman" w:hAnsi="Times New Roman" w:cs="Times New Roman"/>
                <w:color w:val="000000"/>
              </w:rPr>
            </w:pPr>
            <w:r w:rsidRPr="000F461B">
              <w:rPr>
                <w:rFonts w:ascii="Times New Roman" w:eastAsia="Times New Roman" w:hAnsi="Times New Roman" w:cs="Times New Roman"/>
                <w:color w:val="000000"/>
              </w:rPr>
              <w:t>Growth</w:t>
            </w:r>
          </w:p>
        </w:tc>
        <w:tc>
          <w:tcPr>
            <w:tcW w:w="6076" w:type="dxa"/>
            <w:gridSpan w:val="5"/>
            <w:tcBorders>
              <w:top w:val="single" w:sz="4" w:space="0" w:color="auto"/>
              <w:left w:val="nil"/>
              <w:bottom w:val="single" w:sz="4" w:space="0" w:color="auto"/>
              <w:right w:val="single" w:sz="4" w:space="0" w:color="auto"/>
            </w:tcBorders>
            <w:shd w:val="clear" w:color="000000" w:fill="F2F2F2"/>
            <w:vAlign w:val="bottom"/>
            <w:hideMark/>
          </w:tcPr>
          <w:p w14:paraId="3DAC8E39" w14:textId="77777777" w:rsidR="00EB0778" w:rsidRPr="000F461B" w:rsidRDefault="00EB0778" w:rsidP="00EB0778">
            <w:pPr>
              <w:spacing w:after="0"/>
              <w:jc w:val="center"/>
              <w:rPr>
                <w:rFonts w:ascii="Times New Roman" w:eastAsia="Times New Roman" w:hAnsi="Times New Roman" w:cs="Times New Roman"/>
                <w:color w:val="000000"/>
              </w:rPr>
            </w:pPr>
            <w:r w:rsidRPr="000F461B">
              <w:rPr>
                <w:rFonts w:ascii="Times New Roman" w:eastAsia="Times New Roman" w:hAnsi="Times New Roman" w:cs="Times New Roman"/>
                <w:color w:val="000000"/>
              </w:rPr>
              <w:t>Net Profit/Loss as per profit or loss (Data in Billions)</w:t>
            </w:r>
          </w:p>
        </w:tc>
      </w:tr>
      <w:tr w:rsidR="00EB0778" w:rsidRPr="000F461B" w14:paraId="5F248EE1" w14:textId="77777777" w:rsidTr="00475C6D">
        <w:trPr>
          <w:trHeight w:val="242"/>
        </w:trPr>
        <w:tc>
          <w:tcPr>
            <w:tcW w:w="1055" w:type="dxa"/>
            <w:vMerge/>
            <w:tcBorders>
              <w:top w:val="single" w:sz="4" w:space="0" w:color="auto"/>
              <w:left w:val="single" w:sz="4" w:space="0" w:color="auto"/>
              <w:bottom w:val="single" w:sz="4" w:space="0" w:color="auto"/>
              <w:right w:val="single" w:sz="4" w:space="0" w:color="auto"/>
            </w:tcBorders>
            <w:vAlign w:val="center"/>
            <w:hideMark/>
          </w:tcPr>
          <w:p w14:paraId="630AB347" w14:textId="77777777" w:rsidR="00EB0778" w:rsidRPr="000F461B" w:rsidRDefault="00EB0778" w:rsidP="00EB0778">
            <w:pPr>
              <w:spacing w:after="0"/>
              <w:rPr>
                <w:rFonts w:ascii="Times New Roman" w:eastAsia="Times New Roman" w:hAnsi="Times New Roman" w:cs="Times New Roman"/>
                <w:color w:val="000000"/>
              </w:rPr>
            </w:pPr>
          </w:p>
        </w:tc>
        <w:tc>
          <w:tcPr>
            <w:tcW w:w="1819" w:type="dxa"/>
            <w:vMerge/>
            <w:tcBorders>
              <w:top w:val="single" w:sz="4" w:space="0" w:color="auto"/>
              <w:left w:val="single" w:sz="4" w:space="0" w:color="auto"/>
              <w:bottom w:val="single" w:sz="4" w:space="0" w:color="auto"/>
              <w:right w:val="single" w:sz="4" w:space="0" w:color="auto"/>
            </w:tcBorders>
            <w:vAlign w:val="center"/>
            <w:hideMark/>
          </w:tcPr>
          <w:p w14:paraId="2C8C9D49" w14:textId="77777777" w:rsidR="00EB0778" w:rsidRPr="000F461B" w:rsidRDefault="00EB0778" w:rsidP="00EB0778">
            <w:pPr>
              <w:spacing w:after="0"/>
              <w:rPr>
                <w:rFonts w:ascii="Times New Roman" w:eastAsia="Times New Roman" w:hAnsi="Times New Roman" w:cs="Times New Roman"/>
                <w:color w:val="000000"/>
              </w:rPr>
            </w:pPr>
          </w:p>
        </w:tc>
        <w:tc>
          <w:tcPr>
            <w:tcW w:w="1114" w:type="dxa"/>
            <w:tcBorders>
              <w:top w:val="nil"/>
              <w:left w:val="nil"/>
              <w:bottom w:val="single" w:sz="4" w:space="0" w:color="auto"/>
              <w:right w:val="single" w:sz="4" w:space="0" w:color="auto"/>
            </w:tcBorders>
            <w:shd w:val="clear" w:color="000000" w:fill="F2F2F2"/>
            <w:noWrap/>
            <w:vAlign w:val="bottom"/>
            <w:hideMark/>
          </w:tcPr>
          <w:p w14:paraId="297AC1FA"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2024/25</w:t>
            </w:r>
          </w:p>
        </w:tc>
        <w:tc>
          <w:tcPr>
            <w:tcW w:w="1621" w:type="dxa"/>
            <w:tcBorders>
              <w:top w:val="nil"/>
              <w:left w:val="nil"/>
              <w:bottom w:val="single" w:sz="4" w:space="0" w:color="auto"/>
              <w:right w:val="single" w:sz="4" w:space="0" w:color="auto"/>
            </w:tcBorders>
            <w:shd w:val="clear" w:color="000000" w:fill="F2F2F2"/>
            <w:noWrap/>
            <w:vAlign w:val="bottom"/>
            <w:hideMark/>
          </w:tcPr>
          <w:p w14:paraId="65706018"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2024/25</w:t>
            </w:r>
          </w:p>
        </w:tc>
        <w:tc>
          <w:tcPr>
            <w:tcW w:w="1114" w:type="dxa"/>
            <w:tcBorders>
              <w:top w:val="nil"/>
              <w:left w:val="nil"/>
              <w:bottom w:val="single" w:sz="4" w:space="0" w:color="auto"/>
              <w:right w:val="single" w:sz="4" w:space="0" w:color="auto"/>
            </w:tcBorders>
            <w:shd w:val="clear" w:color="000000" w:fill="F2F2F2"/>
            <w:noWrap/>
            <w:vAlign w:val="bottom"/>
            <w:hideMark/>
          </w:tcPr>
          <w:p w14:paraId="2323757A"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2024/25</w:t>
            </w:r>
          </w:p>
        </w:tc>
        <w:tc>
          <w:tcPr>
            <w:tcW w:w="1114" w:type="dxa"/>
            <w:tcBorders>
              <w:top w:val="nil"/>
              <w:left w:val="nil"/>
              <w:bottom w:val="single" w:sz="4" w:space="0" w:color="auto"/>
              <w:right w:val="single" w:sz="4" w:space="0" w:color="auto"/>
            </w:tcBorders>
            <w:shd w:val="clear" w:color="000000" w:fill="F2F2F2"/>
            <w:noWrap/>
            <w:vAlign w:val="bottom"/>
            <w:hideMark/>
          </w:tcPr>
          <w:p w14:paraId="225E8D5B"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2023/24</w:t>
            </w:r>
          </w:p>
        </w:tc>
        <w:tc>
          <w:tcPr>
            <w:tcW w:w="1112" w:type="dxa"/>
            <w:tcBorders>
              <w:top w:val="nil"/>
              <w:left w:val="nil"/>
              <w:bottom w:val="single" w:sz="4" w:space="0" w:color="auto"/>
              <w:right w:val="single" w:sz="4" w:space="0" w:color="auto"/>
            </w:tcBorders>
            <w:shd w:val="clear" w:color="000000" w:fill="F2F2F2"/>
            <w:noWrap/>
            <w:vAlign w:val="bottom"/>
            <w:hideMark/>
          </w:tcPr>
          <w:p w14:paraId="2061B334"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2023/24</w:t>
            </w:r>
          </w:p>
        </w:tc>
      </w:tr>
      <w:tr w:rsidR="00EB0778" w:rsidRPr="000F461B" w14:paraId="58945EC1" w14:textId="77777777" w:rsidTr="00475C6D">
        <w:trPr>
          <w:trHeight w:val="242"/>
        </w:trPr>
        <w:tc>
          <w:tcPr>
            <w:tcW w:w="1055" w:type="dxa"/>
            <w:tcBorders>
              <w:top w:val="nil"/>
              <w:left w:val="single" w:sz="4" w:space="0" w:color="auto"/>
              <w:bottom w:val="single" w:sz="4" w:space="0" w:color="auto"/>
              <w:right w:val="single" w:sz="4" w:space="0" w:color="auto"/>
            </w:tcBorders>
            <w:shd w:val="clear" w:color="000000" w:fill="F2F2F2"/>
            <w:vAlign w:val="bottom"/>
            <w:hideMark/>
          </w:tcPr>
          <w:p w14:paraId="188A4866"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w:t>
            </w:r>
          </w:p>
        </w:tc>
        <w:tc>
          <w:tcPr>
            <w:tcW w:w="1819" w:type="dxa"/>
            <w:tcBorders>
              <w:top w:val="nil"/>
              <w:left w:val="nil"/>
              <w:bottom w:val="single" w:sz="4" w:space="0" w:color="auto"/>
              <w:right w:val="single" w:sz="4" w:space="0" w:color="auto"/>
            </w:tcBorders>
            <w:shd w:val="clear" w:color="auto" w:fill="auto"/>
            <w:noWrap/>
            <w:vAlign w:val="bottom"/>
            <w:hideMark/>
          </w:tcPr>
          <w:p w14:paraId="0C0831CC"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w:t>
            </w:r>
          </w:p>
        </w:tc>
        <w:tc>
          <w:tcPr>
            <w:tcW w:w="1114" w:type="dxa"/>
            <w:tcBorders>
              <w:top w:val="nil"/>
              <w:left w:val="nil"/>
              <w:bottom w:val="single" w:sz="4" w:space="0" w:color="auto"/>
              <w:right w:val="single" w:sz="4" w:space="0" w:color="auto"/>
            </w:tcBorders>
            <w:shd w:val="clear" w:color="000000" w:fill="F2F2F2"/>
            <w:noWrap/>
            <w:vAlign w:val="bottom"/>
            <w:hideMark/>
          </w:tcPr>
          <w:p w14:paraId="316B1030"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Q3</w:t>
            </w:r>
          </w:p>
        </w:tc>
        <w:tc>
          <w:tcPr>
            <w:tcW w:w="1621" w:type="dxa"/>
            <w:tcBorders>
              <w:top w:val="nil"/>
              <w:left w:val="nil"/>
              <w:bottom w:val="single" w:sz="4" w:space="0" w:color="auto"/>
              <w:right w:val="single" w:sz="4" w:space="0" w:color="auto"/>
            </w:tcBorders>
            <w:shd w:val="clear" w:color="000000" w:fill="F2F2F2"/>
            <w:noWrap/>
            <w:vAlign w:val="bottom"/>
            <w:hideMark/>
          </w:tcPr>
          <w:p w14:paraId="7358DA4D"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Q2</w:t>
            </w:r>
          </w:p>
        </w:tc>
        <w:tc>
          <w:tcPr>
            <w:tcW w:w="1114" w:type="dxa"/>
            <w:tcBorders>
              <w:top w:val="nil"/>
              <w:left w:val="nil"/>
              <w:bottom w:val="single" w:sz="4" w:space="0" w:color="auto"/>
              <w:right w:val="single" w:sz="4" w:space="0" w:color="auto"/>
            </w:tcBorders>
            <w:shd w:val="clear" w:color="000000" w:fill="F2F2F2"/>
            <w:noWrap/>
            <w:vAlign w:val="bottom"/>
            <w:hideMark/>
          </w:tcPr>
          <w:p w14:paraId="32BBA626"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Q1</w:t>
            </w:r>
          </w:p>
        </w:tc>
        <w:tc>
          <w:tcPr>
            <w:tcW w:w="1114" w:type="dxa"/>
            <w:tcBorders>
              <w:top w:val="nil"/>
              <w:left w:val="nil"/>
              <w:bottom w:val="single" w:sz="4" w:space="0" w:color="auto"/>
              <w:right w:val="single" w:sz="4" w:space="0" w:color="auto"/>
            </w:tcBorders>
            <w:shd w:val="clear" w:color="000000" w:fill="F2F2F2"/>
            <w:noWrap/>
            <w:vAlign w:val="bottom"/>
            <w:hideMark/>
          </w:tcPr>
          <w:p w14:paraId="63E1C21D"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Q4</w:t>
            </w:r>
          </w:p>
        </w:tc>
        <w:tc>
          <w:tcPr>
            <w:tcW w:w="1112" w:type="dxa"/>
            <w:tcBorders>
              <w:top w:val="nil"/>
              <w:left w:val="nil"/>
              <w:bottom w:val="single" w:sz="4" w:space="0" w:color="auto"/>
              <w:right w:val="single" w:sz="4" w:space="0" w:color="auto"/>
            </w:tcBorders>
            <w:shd w:val="clear" w:color="000000" w:fill="F2F2F2"/>
            <w:noWrap/>
            <w:vAlign w:val="bottom"/>
            <w:hideMark/>
          </w:tcPr>
          <w:p w14:paraId="66E0C938"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Q3</w:t>
            </w:r>
          </w:p>
        </w:tc>
      </w:tr>
      <w:tr w:rsidR="00EB0778" w:rsidRPr="000F461B" w14:paraId="4DDCE274" w14:textId="77777777" w:rsidTr="00475C6D">
        <w:trPr>
          <w:trHeight w:val="242"/>
        </w:trPr>
        <w:tc>
          <w:tcPr>
            <w:tcW w:w="1055" w:type="dxa"/>
            <w:tcBorders>
              <w:top w:val="nil"/>
              <w:left w:val="single" w:sz="4" w:space="0" w:color="auto"/>
              <w:bottom w:val="single" w:sz="4" w:space="0" w:color="auto"/>
              <w:right w:val="single" w:sz="4" w:space="0" w:color="auto"/>
            </w:tcBorders>
            <w:shd w:val="clear" w:color="000000" w:fill="F2F2F2"/>
            <w:noWrap/>
            <w:vAlign w:val="bottom"/>
            <w:hideMark/>
          </w:tcPr>
          <w:p w14:paraId="4F040427"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SHINE</w:t>
            </w:r>
          </w:p>
        </w:tc>
        <w:tc>
          <w:tcPr>
            <w:tcW w:w="1819" w:type="dxa"/>
            <w:tcBorders>
              <w:top w:val="nil"/>
              <w:left w:val="nil"/>
              <w:bottom w:val="single" w:sz="4" w:space="0" w:color="auto"/>
              <w:right w:val="single" w:sz="4" w:space="0" w:color="auto"/>
            </w:tcBorders>
            <w:shd w:val="clear" w:color="000000" w:fill="F2F2F2"/>
            <w:noWrap/>
            <w:vAlign w:val="bottom"/>
            <w:hideMark/>
          </w:tcPr>
          <w:p w14:paraId="6820378A"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-0.1%</w:t>
            </w:r>
          </w:p>
        </w:tc>
        <w:tc>
          <w:tcPr>
            <w:tcW w:w="1114" w:type="dxa"/>
            <w:tcBorders>
              <w:top w:val="nil"/>
              <w:left w:val="nil"/>
              <w:bottom w:val="single" w:sz="4" w:space="0" w:color="auto"/>
              <w:right w:val="single" w:sz="4" w:space="0" w:color="auto"/>
            </w:tcBorders>
            <w:shd w:val="clear" w:color="000000" w:fill="F2F2F2"/>
            <w:noWrap/>
            <w:vAlign w:val="bottom"/>
            <w:hideMark/>
          </w:tcPr>
          <w:p w14:paraId="36FF8E23"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0.18 </w:t>
            </w:r>
          </w:p>
        </w:tc>
        <w:tc>
          <w:tcPr>
            <w:tcW w:w="1621" w:type="dxa"/>
            <w:tcBorders>
              <w:top w:val="nil"/>
              <w:left w:val="nil"/>
              <w:bottom w:val="single" w:sz="4" w:space="0" w:color="auto"/>
              <w:right w:val="single" w:sz="4" w:space="0" w:color="auto"/>
            </w:tcBorders>
            <w:shd w:val="clear" w:color="000000" w:fill="F2F2F2"/>
            <w:noWrap/>
            <w:vAlign w:val="bottom"/>
            <w:hideMark/>
          </w:tcPr>
          <w:p w14:paraId="04FCA8DD"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0.09 </w:t>
            </w:r>
          </w:p>
        </w:tc>
        <w:tc>
          <w:tcPr>
            <w:tcW w:w="1114" w:type="dxa"/>
            <w:tcBorders>
              <w:top w:val="nil"/>
              <w:left w:val="nil"/>
              <w:bottom w:val="single" w:sz="4" w:space="0" w:color="auto"/>
              <w:right w:val="single" w:sz="4" w:space="0" w:color="auto"/>
            </w:tcBorders>
            <w:shd w:val="clear" w:color="000000" w:fill="F2F2F2"/>
            <w:noWrap/>
            <w:vAlign w:val="bottom"/>
            <w:hideMark/>
          </w:tcPr>
          <w:p w14:paraId="6BE6D916"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0.24 </w:t>
            </w:r>
          </w:p>
        </w:tc>
        <w:tc>
          <w:tcPr>
            <w:tcW w:w="1114" w:type="dxa"/>
            <w:tcBorders>
              <w:top w:val="nil"/>
              <w:left w:val="nil"/>
              <w:bottom w:val="single" w:sz="4" w:space="0" w:color="auto"/>
              <w:right w:val="single" w:sz="4" w:space="0" w:color="auto"/>
            </w:tcBorders>
            <w:shd w:val="clear" w:color="000000" w:fill="F2F2F2"/>
            <w:noWrap/>
            <w:vAlign w:val="bottom"/>
            <w:hideMark/>
          </w:tcPr>
          <w:p w14:paraId="122300AE"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0.18 </w:t>
            </w:r>
          </w:p>
        </w:tc>
        <w:tc>
          <w:tcPr>
            <w:tcW w:w="1112" w:type="dxa"/>
            <w:tcBorders>
              <w:top w:val="nil"/>
              <w:left w:val="nil"/>
              <w:bottom w:val="single" w:sz="4" w:space="0" w:color="auto"/>
              <w:right w:val="single" w:sz="4" w:space="0" w:color="auto"/>
            </w:tcBorders>
            <w:shd w:val="clear" w:color="000000" w:fill="F2F2F2"/>
            <w:noWrap/>
            <w:vAlign w:val="bottom"/>
            <w:hideMark/>
          </w:tcPr>
          <w:p w14:paraId="63DDC509"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0.14 </w:t>
            </w:r>
          </w:p>
        </w:tc>
      </w:tr>
      <w:tr w:rsidR="00EB0778" w:rsidRPr="000F461B" w14:paraId="480D4627" w14:textId="77777777" w:rsidTr="00475C6D">
        <w:trPr>
          <w:trHeight w:val="242"/>
        </w:trPr>
        <w:tc>
          <w:tcPr>
            <w:tcW w:w="1055" w:type="dxa"/>
            <w:tcBorders>
              <w:top w:val="nil"/>
              <w:left w:val="single" w:sz="4" w:space="0" w:color="auto"/>
              <w:bottom w:val="single" w:sz="4" w:space="0" w:color="auto"/>
              <w:right w:val="single" w:sz="4" w:space="0" w:color="auto"/>
            </w:tcBorders>
            <w:shd w:val="clear" w:color="000000" w:fill="F2F2F2"/>
            <w:noWrap/>
            <w:vAlign w:val="bottom"/>
            <w:hideMark/>
          </w:tcPr>
          <w:p w14:paraId="2DE86378"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KSBBL</w:t>
            </w:r>
          </w:p>
        </w:tc>
        <w:tc>
          <w:tcPr>
            <w:tcW w:w="1819" w:type="dxa"/>
            <w:tcBorders>
              <w:top w:val="nil"/>
              <w:left w:val="nil"/>
              <w:bottom w:val="single" w:sz="4" w:space="0" w:color="auto"/>
              <w:right w:val="single" w:sz="4" w:space="0" w:color="auto"/>
            </w:tcBorders>
            <w:shd w:val="clear" w:color="000000" w:fill="F2F2F2"/>
            <w:noWrap/>
            <w:vAlign w:val="bottom"/>
            <w:hideMark/>
          </w:tcPr>
          <w:p w14:paraId="473CB894"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48.8%</w:t>
            </w:r>
          </w:p>
        </w:tc>
        <w:tc>
          <w:tcPr>
            <w:tcW w:w="1114" w:type="dxa"/>
            <w:tcBorders>
              <w:top w:val="nil"/>
              <w:left w:val="nil"/>
              <w:bottom w:val="single" w:sz="4" w:space="0" w:color="auto"/>
              <w:right w:val="single" w:sz="4" w:space="0" w:color="auto"/>
            </w:tcBorders>
            <w:shd w:val="clear" w:color="000000" w:fill="F2F2F2"/>
            <w:noWrap/>
            <w:vAlign w:val="bottom"/>
            <w:hideMark/>
          </w:tcPr>
          <w:p w14:paraId="7F81D244"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0.17 </w:t>
            </w:r>
          </w:p>
        </w:tc>
        <w:tc>
          <w:tcPr>
            <w:tcW w:w="1621" w:type="dxa"/>
            <w:tcBorders>
              <w:top w:val="nil"/>
              <w:left w:val="nil"/>
              <w:bottom w:val="single" w:sz="4" w:space="0" w:color="auto"/>
              <w:right w:val="single" w:sz="4" w:space="0" w:color="auto"/>
            </w:tcBorders>
            <w:shd w:val="clear" w:color="000000" w:fill="F2F2F2"/>
            <w:noWrap/>
            <w:vAlign w:val="bottom"/>
            <w:hideMark/>
          </w:tcPr>
          <w:p w14:paraId="326C6600"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0.15 </w:t>
            </w:r>
          </w:p>
        </w:tc>
        <w:tc>
          <w:tcPr>
            <w:tcW w:w="1114" w:type="dxa"/>
            <w:tcBorders>
              <w:top w:val="nil"/>
              <w:left w:val="nil"/>
              <w:bottom w:val="single" w:sz="4" w:space="0" w:color="auto"/>
              <w:right w:val="single" w:sz="4" w:space="0" w:color="auto"/>
            </w:tcBorders>
            <w:shd w:val="clear" w:color="000000" w:fill="F2F2F2"/>
            <w:noWrap/>
            <w:vAlign w:val="bottom"/>
            <w:hideMark/>
          </w:tcPr>
          <w:p w14:paraId="0391EC0A"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0.17 </w:t>
            </w:r>
          </w:p>
        </w:tc>
        <w:tc>
          <w:tcPr>
            <w:tcW w:w="1114" w:type="dxa"/>
            <w:tcBorders>
              <w:top w:val="nil"/>
              <w:left w:val="nil"/>
              <w:bottom w:val="single" w:sz="4" w:space="0" w:color="auto"/>
              <w:right w:val="single" w:sz="4" w:space="0" w:color="auto"/>
            </w:tcBorders>
            <w:shd w:val="clear" w:color="000000" w:fill="F2F2F2"/>
            <w:noWrap/>
            <w:vAlign w:val="bottom"/>
            <w:hideMark/>
          </w:tcPr>
          <w:p w14:paraId="1018ED8A"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0.27 </w:t>
            </w:r>
          </w:p>
        </w:tc>
        <w:tc>
          <w:tcPr>
            <w:tcW w:w="1112" w:type="dxa"/>
            <w:tcBorders>
              <w:top w:val="nil"/>
              <w:left w:val="nil"/>
              <w:bottom w:val="single" w:sz="4" w:space="0" w:color="auto"/>
              <w:right w:val="single" w:sz="4" w:space="0" w:color="auto"/>
            </w:tcBorders>
            <w:shd w:val="clear" w:color="000000" w:fill="F2F2F2"/>
            <w:noWrap/>
            <w:vAlign w:val="bottom"/>
            <w:hideMark/>
          </w:tcPr>
          <w:p w14:paraId="275D7990"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0.07 </w:t>
            </w:r>
          </w:p>
        </w:tc>
      </w:tr>
      <w:tr w:rsidR="00EB0778" w:rsidRPr="000F461B" w14:paraId="55850E15" w14:textId="77777777" w:rsidTr="00475C6D">
        <w:trPr>
          <w:trHeight w:val="242"/>
        </w:trPr>
        <w:tc>
          <w:tcPr>
            <w:tcW w:w="1055" w:type="dxa"/>
            <w:tcBorders>
              <w:top w:val="nil"/>
              <w:left w:val="single" w:sz="4" w:space="0" w:color="auto"/>
              <w:bottom w:val="single" w:sz="4" w:space="0" w:color="auto"/>
              <w:right w:val="single" w:sz="4" w:space="0" w:color="auto"/>
            </w:tcBorders>
            <w:shd w:val="clear" w:color="000000" w:fill="F2F2F2"/>
            <w:noWrap/>
            <w:vAlign w:val="bottom"/>
            <w:hideMark/>
          </w:tcPr>
          <w:p w14:paraId="404932E4"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GBBL</w:t>
            </w:r>
          </w:p>
        </w:tc>
        <w:tc>
          <w:tcPr>
            <w:tcW w:w="1819" w:type="dxa"/>
            <w:tcBorders>
              <w:top w:val="nil"/>
              <w:left w:val="nil"/>
              <w:bottom w:val="single" w:sz="4" w:space="0" w:color="auto"/>
              <w:right w:val="single" w:sz="4" w:space="0" w:color="auto"/>
            </w:tcBorders>
            <w:shd w:val="clear" w:color="000000" w:fill="F2F2F2"/>
            <w:noWrap/>
            <w:vAlign w:val="bottom"/>
            <w:hideMark/>
          </w:tcPr>
          <w:p w14:paraId="53321DCF"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7.3%</w:t>
            </w:r>
          </w:p>
        </w:tc>
        <w:tc>
          <w:tcPr>
            <w:tcW w:w="1114" w:type="dxa"/>
            <w:tcBorders>
              <w:top w:val="nil"/>
              <w:left w:val="nil"/>
              <w:bottom w:val="single" w:sz="4" w:space="0" w:color="auto"/>
              <w:right w:val="single" w:sz="4" w:space="0" w:color="auto"/>
            </w:tcBorders>
            <w:shd w:val="clear" w:color="000000" w:fill="F2F2F2"/>
            <w:noWrap/>
            <w:vAlign w:val="bottom"/>
            <w:hideMark/>
          </w:tcPr>
          <w:p w14:paraId="44AE64E4"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0.18 </w:t>
            </w:r>
          </w:p>
        </w:tc>
        <w:tc>
          <w:tcPr>
            <w:tcW w:w="1621" w:type="dxa"/>
            <w:tcBorders>
              <w:top w:val="nil"/>
              <w:left w:val="nil"/>
              <w:bottom w:val="single" w:sz="4" w:space="0" w:color="auto"/>
              <w:right w:val="single" w:sz="4" w:space="0" w:color="auto"/>
            </w:tcBorders>
            <w:shd w:val="clear" w:color="000000" w:fill="F2F2F2"/>
            <w:noWrap/>
            <w:vAlign w:val="bottom"/>
            <w:hideMark/>
          </w:tcPr>
          <w:p w14:paraId="71615EBC"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0.32 </w:t>
            </w:r>
          </w:p>
        </w:tc>
        <w:tc>
          <w:tcPr>
            <w:tcW w:w="1114" w:type="dxa"/>
            <w:tcBorders>
              <w:top w:val="nil"/>
              <w:left w:val="nil"/>
              <w:bottom w:val="single" w:sz="4" w:space="0" w:color="auto"/>
              <w:right w:val="single" w:sz="4" w:space="0" w:color="auto"/>
            </w:tcBorders>
            <w:shd w:val="clear" w:color="000000" w:fill="F2F2F2"/>
            <w:noWrap/>
            <w:vAlign w:val="bottom"/>
            <w:hideMark/>
          </w:tcPr>
          <w:p w14:paraId="3F7C3F51"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0.23 </w:t>
            </w:r>
          </w:p>
        </w:tc>
        <w:tc>
          <w:tcPr>
            <w:tcW w:w="1114" w:type="dxa"/>
            <w:tcBorders>
              <w:top w:val="nil"/>
              <w:left w:val="nil"/>
              <w:bottom w:val="single" w:sz="4" w:space="0" w:color="auto"/>
              <w:right w:val="single" w:sz="4" w:space="0" w:color="auto"/>
            </w:tcBorders>
            <w:shd w:val="clear" w:color="000000" w:fill="F2F2F2"/>
            <w:noWrap/>
            <w:vAlign w:val="bottom"/>
            <w:hideMark/>
          </w:tcPr>
          <w:p w14:paraId="1C95EB5B"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0.45 </w:t>
            </w:r>
          </w:p>
        </w:tc>
        <w:tc>
          <w:tcPr>
            <w:tcW w:w="1112" w:type="dxa"/>
            <w:tcBorders>
              <w:top w:val="nil"/>
              <w:left w:val="nil"/>
              <w:bottom w:val="single" w:sz="4" w:space="0" w:color="auto"/>
              <w:right w:val="single" w:sz="4" w:space="0" w:color="auto"/>
            </w:tcBorders>
            <w:shd w:val="clear" w:color="000000" w:fill="F2F2F2"/>
            <w:noWrap/>
            <w:vAlign w:val="bottom"/>
            <w:hideMark/>
          </w:tcPr>
          <w:p w14:paraId="3E72CF3C"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0.17 </w:t>
            </w:r>
          </w:p>
        </w:tc>
      </w:tr>
      <w:tr w:rsidR="00EB0778" w:rsidRPr="000F461B" w14:paraId="170B2AF3" w14:textId="77777777" w:rsidTr="00475C6D">
        <w:trPr>
          <w:trHeight w:val="242"/>
        </w:trPr>
        <w:tc>
          <w:tcPr>
            <w:tcW w:w="1055" w:type="dxa"/>
            <w:tcBorders>
              <w:top w:val="nil"/>
              <w:left w:val="single" w:sz="4" w:space="0" w:color="auto"/>
              <w:bottom w:val="single" w:sz="4" w:space="0" w:color="auto"/>
              <w:right w:val="single" w:sz="4" w:space="0" w:color="auto"/>
            </w:tcBorders>
            <w:shd w:val="clear" w:color="000000" w:fill="F2F2F2"/>
            <w:noWrap/>
            <w:vAlign w:val="bottom"/>
            <w:hideMark/>
          </w:tcPr>
          <w:p w14:paraId="6C7A1AEF"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LBBL</w:t>
            </w:r>
          </w:p>
        </w:tc>
        <w:tc>
          <w:tcPr>
            <w:tcW w:w="1819" w:type="dxa"/>
            <w:tcBorders>
              <w:top w:val="nil"/>
              <w:left w:val="nil"/>
              <w:bottom w:val="single" w:sz="4" w:space="0" w:color="auto"/>
              <w:right w:val="single" w:sz="4" w:space="0" w:color="auto"/>
            </w:tcBorders>
            <w:shd w:val="clear" w:color="000000" w:fill="F2F2F2"/>
            <w:noWrap/>
            <w:vAlign w:val="bottom"/>
            <w:hideMark/>
          </w:tcPr>
          <w:p w14:paraId="236844D4"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-85.5%</w:t>
            </w:r>
          </w:p>
        </w:tc>
        <w:tc>
          <w:tcPr>
            <w:tcW w:w="1114" w:type="dxa"/>
            <w:tcBorders>
              <w:top w:val="nil"/>
              <w:left w:val="nil"/>
              <w:bottom w:val="single" w:sz="4" w:space="0" w:color="auto"/>
              <w:right w:val="single" w:sz="4" w:space="0" w:color="auto"/>
            </w:tcBorders>
            <w:shd w:val="clear" w:color="000000" w:fill="F2F2F2"/>
            <w:noWrap/>
            <w:vAlign w:val="bottom"/>
            <w:hideMark/>
          </w:tcPr>
          <w:p w14:paraId="7225322F"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(0.10)</w:t>
            </w:r>
          </w:p>
        </w:tc>
        <w:tc>
          <w:tcPr>
            <w:tcW w:w="1621" w:type="dxa"/>
            <w:tcBorders>
              <w:top w:val="nil"/>
              <w:left w:val="nil"/>
              <w:bottom w:val="single" w:sz="4" w:space="0" w:color="auto"/>
              <w:right w:val="single" w:sz="4" w:space="0" w:color="auto"/>
            </w:tcBorders>
            <w:shd w:val="clear" w:color="000000" w:fill="F2F2F2"/>
            <w:noWrap/>
            <w:vAlign w:val="bottom"/>
            <w:hideMark/>
          </w:tcPr>
          <w:p w14:paraId="1803259F"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(0.05)</w:t>
            </w:r>
          </w:p>
        </w:tc>
        <w:tc>
          <w:tcPr>
            <w:tcW w:w="1114" w:type="dxa"/>
            <w:tcBorders>
              <w:top w:val="nil"/>
              <w:left w:val="nil"/>
              <w:bottom w:val="single" w:sz="4" w:space="0" w:color="auto"/>
              <w:right w:val="single" w:sz="4" w:space="0" w:color="auto"/>
            </w:tcBorders>
            <w:shd w:val="clear" w:color="000000" w:fill="F2F2F2"/>
            <w:noWrap/>
            <w:vAlign w:val="bottom"/>
            <w:hideMark/>
          </w:tcPr>
          <w:p w14:paraId="4BC6F1A5"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0.20 </w:t>
            </w:r>
          </w:p>
        </w:tc>
        <w:tc>
          <w:tcPr>
            <w:tcW w:w="1114" w:type="dxa"/>
            <w:tcBorders>
              <w:top w:val="nil"/>
              <w:left w:val="nil"/>
              <w:bottom w:val="single" w:sz="4" w:space="0" w:color="auto"/>
              <w:right w:val="single" w:sz="4" w:space="0" w:color="auto"/>
            </w:tcBorders>
            <w:shd w:val="clear" w:color="000000" w:fill="F2F2F2"/>
            <w:noWrap/>
            <w:vAlign w:val="bottom"/>
            <w:hideMark/>
          </w:tcPr>
          <w:p w14:paraId="2A311937"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0.26 </w:t>
            </w:r>
          </w:p>
        </w:tc>
        <w:tc>
          <w:tcPr>
            <w:tcW w:w="1112" w:type="dxa"/>
            <w:tcBorders>
              <w:top w:val="nil"/>
              <w:left w:val="nil"/>
              <w:bottom w:val="single" w:sz="4" w:space="0" w:color="auto"/>
              <w:right w:val="single" w:sz="4" w:space="0" w:color="auto"/>
            </w:tcBorders>
            <w:shd w:val="clear" w:color="000000" w:fill="F2F2F2"/>
            <w:noWrap/>
            <w:vAlign w:val="bottom"/>
            <w:hideMark/>
          </w:tcPr>
          <w:p w14:paraId="38A11764"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0.13 </w:t>
            </w:r>
          </w:p>
        </w:tc>
      </w:tr>
      <w:tr w:rsidR="00EB0778" w:rsidRPr="000F461B" w14:paraId="6A403CC4" w14:textId="77777777" w:rsidTr="00475C6D">
        <w:trPr>
          <w:trHeight w:val="242"/>
        </w:trPr>
        <w:tc>
          <w:tcPr>
            <w:tcW w:w="1055" w:type="dxa"/>
            <w:tcBorders>
              <w:top w:val="nil"/>
              <w:left w:val="single" w:sz="4" w:space="0" w:color="auto"/>
              <w:bottom w:val="single" w:sz="4" w:space="0" w:color="auto"/>
              <w:right w:val="single" w:sz="4" w:space="0" w:color="auto"/>
            </w:tcBorders>
            <w:shd w:val="clear" w:color="000000" w:fill="F2F2F2"/>
            <w:noWrap/>
            <w:vAlign w:val="bottom"/>
            <w:hideMark/>
          </w:tcPr>
          <w:p w14:paraId="227B7B07"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MNBBL</w:t>
            </w:r>
          </w:p>
        </w:tc>
        <w:tc>
          <w:tcPr>
            <w:tcW w:w="1819" w:type="dxa"/>
            <w:tcBorders>
              <w:top w:val="nil"/>
              <w:left w:val="nil"/>
              <w:bottom w:val="single" w:sz="4" w:space="0" w:color="auto"/>
              <w:right w:val="single" w:sz="4" w:space="0" w:color="auto"/>
            </w:tcBorders>
            <w:shd w:val="clear" w:color="000000" w:fill="F2F2F2"/>
            <w:noWrap/>
            <w:vAlign w:val="bottom"/>
            <w:hideMark/>
          </w:tcPr>
          <w:p w14:paraId="762B91B5"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-16.9%</w:t>
            </w:r>
          </w:p>
        </w:tc>
        <w:tc>
          <w:tcPr>
            <w:tcW w:w="1114" w:type="dxa"/>
            <w:tcBorders>
              <w:top w:val="nil"/>
              <w:left w:val="nil"/>
              <w:bottom w:val="single" w:sz="4" w:space="0" w:color="auto"/>
              <w:right w:val="single" w:sz="4" w:space="0" w:color="auto"/>
            </w:tcBorders>
            <w:shd w:val="clear" w:color="000000" w:fill="F2F2F2"/>
            <w:noWrap/>
            <w:vAlign w:val="bottom"/>
            <w:hideMark/>
          </w:tcPr>
          <w:p w14:paraId="0081C89D"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0.22 </w:t>
            </w:r>
          </w:p>
        </w:tc>
        <w:tc>
          <w:tcPr>
            <w:tcW w:w="1621" w:type="dxa"/>
            <w:tcBorders>
              <w:top w:val="nil"/>
              <w:left w:val="nil"/>
              <w:bottom w:val="single" w:sz="4" w:space="0" w:color="auto"/>
              <w:right w:val="single" w:sz="4" w:space="0" w:color="auto"/>
            </w:tcBorders>
            <w:shd w:val="clear" w:color="000000" w:fill="F2F2F2"/>
            <w:noWrap/>
            <w:vAlign w:val="bottom"/>
            <w:hideMark/>
          </w:tcPr>
          <w:p w14:paraId="0DF9EC41"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0.22 </w:t>
            </w:r>
          </w:p>
        </w:tc>
        <w:tc>
          <w:tcPr>
            <w:tcW w:w="1114" w:type="dxa"/>
            <w:tcBorders>
              <w:top w:val="nil"/>
              <w:left w:val="nil"/>
              <w:bottom w:val="single" w:sz="4" w:space="0" w:color="auto"/>
              <w:right w:val="single" w:sz="4" w:space="0" w:color="auto"/>
            </w:tcBorders>
            <w:shd w:val="clear" w:color="000000" w:fill="F2F2F2"/>
            <w:noWrap/>
            <w:vAlign w:val="bottom"/>
            <w:hideMark/>
          </w:tcPr>
          <w:p w14:paraId="47E93C73"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0.28 </w:t>
            </w:r>
          </w:p>
        </w:tc>
        <w:tc>
          <w:tcPr>
            <w:tcW w:w="1114" w:type="dxa"/>
            <w:tcBorders>
              <w:top w:val="nil"/>
              <w:left w:val="nil"/>
              <w:bottom w:val="single" w:sz="4" w:space="0" w:color="auto"/>
              <w:right w:val="single" w:sz="4" w:space="0" w:color="auto"/>
            </w:tcBorders>
            <w:shd w:val="clear" w:color="000000" w:fill="F2F2F2"/>
            <w:noWrap/>
            <w:vAlign w:val="bottom"/>
            <w:hideMark/>
          </w:tcPr>
          <w:p w14:paraId="59C0EE04"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0.41 </w:t>
            </w:r>
          </w:p>
        </w:tc>
        <w:tc>
          <w:tcPr>
            <w:tcW w:w="1112" w:type="dxa"/>
            <w:tcBorders>
              <w:top w:val="nil"/>
              <w:left w:val="nil"/>
              <w:bottom w:val="single" w:sz="4" w:space="0" w:color="auto"/>
              <w:right w:val="single" w:sz="4" w:space="0" w:color="auto"/>
            </w:tcBorders>
            <w:shd w:val="clear" w:color="000000" w:fill="F2F2F2"/>
            <w:noWrap/>
            <w:vAlign w:val="bottom"/>
            <w:hideMark/>
          </w:tcPr>
          <w:p w14:paraId="5977F6B4"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0.45 </w:t>
            </w:r>
          </w:p>
        </w:tc>
      </w:tr>
      <w:tr w:rsidR="00EB0778" w:rsidRPr="000F461B" w14:paraId="5458BF65" w14:textId="77777777" w:rsidTr="00475C6D">
        <w:trPr>
          <w:trHeight w:val="242"/>
        </w:trPr>
        <w:tc>
          <w:tcPr>
            <w:tcW w:w="1055" w:type="dxa"/>
            <w:tcBorders>
              <w:top w:val="nil"/>
              <w:left w:val="single" w:sz="4" w:space="0" w:color="auto"/>
              <w:bottom w:val="single" w:sz="4" w:space="0" w:color="auto"/>
              <w:right w:val="single" w:sz="4" w:space="0" w:color="auto"/>
            </w:tcBorders>
            <w:shd w:val="clear" w:color="000000" w:fill="F2F2F2"/>
            <w:noWrap/>
            <w:vAlign w:val="bottom"/>
            <w:hideMark/>
          </w:tcPr>
          <w:p w14:paraId="3D682231"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MLBL</w:t>
            </w:r>
          </w:p>
        </w:tc>
        <w:tc>
          <w:tcPr>
            <w:tcW w:w="1819" w:type="dxa"/>
            <w:tcBorders>
              <w:top w:val="nil"/>
              <w:left w:val="nil"/>
              <w:bottom w:val="single" w:sz="4" w:space="0" w:color="auto"/>
              <w:right w:val="single" w:sz="4" w:space="0" w:color="auto"/>
            </w:tcBorders>
            <w:shd w:val="clear" w:color="000000" w:fill="F2F2F2"/>
            <w:noWrap/>
            <w:vAlign w:val="bottom"/>
            <w:hideMark/>
          </w:tcPr>
          <w:p w14:paraId="5EF4765C"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16.9%</w:t>
            </w:r>
          </w:p>
        </w:tc>
        <w:tc>
          <w:tcPr>
            <w:tcW w:w="1114" w:type="dxa"/>
            <w:tcBorders>
              <w:top w:val="nil"/>
              <w:left w:val="nil"/>
              <w:bottom w:val="single" w:sz="4" w:space="0" w:color="auto"/>
              <w:right w:val="single" w:sz="4" w:space="0" w:color="auto"/>
            </w:tcBorders>
            <w:shd w:val="clear" w:color="000000" w:fill="F2F2F2"/>
            <w:noWrap/>
            <w:vAlign w:val="bottom"/>
            <w:hideMark/>
          </w:tcPr>
          <w:p w14:paraId="636D88FA"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0.15 </w:t>
            </w:r>
          </w:p>
        </w:tc>
        <w:tc>
          <w:tcPr>
            <w:tcW w:w="1621" w:type="dxa"/>
            <w:tcBorders>
              <w:top w:val="nil"/>
              <w:left w:val="nil"/>
              <w:bottom w:val="single" w:sz="4" w:space="0" w:color="auto"/>
              <w:right w:val="single" w:sz="4" w:space="0" w:color="auto"/>
            </w:tcBorders>
            <w:shd w:val="clear" w:color="000000" w:fill="F2F2F2"/>
            <w:noWrap/>
            <w:vAlign w:val="bottom"/>
            <w:hideMark/>
          </w:tcPr>
          <w:p w14:paraId="7C2CCBB0"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0.19 </w:t>
            </w:r>
          </w:p>
        </w:tc>
        <w:tc>
          <w:tcPr>
            <w:tcW w:w="1114" w:type="dxa"/>
            <w:tcBorders>
              <w:top w:val="nil"/>
              <w:left w:val="nil"/>
              <w:bottom w:val="single" w:sz="4" w:space="0" w:color="auto"/>
              <w:right w:val="single" w:sz="4" w:space="0" w:color="auto"/>
            </w:tcBorders>
            <w:shd w:val="clear" w:color="000000" w:fill="F2F2F2"/>
            <w:noWrap/>
            <w:vAlign w:val="bottom"/>
            <w:hideMark/>
          </w:tcPr>
          <w:p w14:paraId="5D8F1C37"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0.09 </w:t>
            </w:r>
          </w:p>
        </w:tc>
        <w:tc>
          <w:tcPr>
            <w:tcW w:w="1114" w:type="dxa"/>
            <w:tcBorders>
              <w:top w:val="nil"/>
              <w:left w:val="nil"/>
              <w:bottom w:val="single" w:sz="4" w:space="0" w:color="auto"/>
              <w:right w:val="single" w:sz="4" w:space="0" w:color="auto"/>
            </w:tcBorders>
            <w:shd w:val="clear" w:color="000000" w:fill="F2F2F2"/>
            <w:noWrap/>
            <w:vAlign w:val="bottom"/>
            <w:hideMark/>
          </w:tcPr>
          <w:p w14:paraId="563A5ECB"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0.10 </w:t>
            </w:r>
          </w:p>
        </w:tc>
        <w:tc>
          <w:tcPr>
            <w:tcW w:w="1112" w:type="dxa"/>
            <w:tcBorders>
              <w:top w:val="nil"/>
              <w:left w:val="nil"/>
              <w:bottom w:val="single" w:sz="4" w:space="0" w:color="auto"/>
              <w:right w:val="single" w:sz="4" w:space="0" w:color="auto"/>
            </w:tcBorders>
            <w:shd w:val="clear" w:color="000000" w:fill="F2F2F2"/>
            <w:noWrap/>
            <w:vAlign w:val="bottom"/>
            <w:hideMark/>
          </w:tcPr>
          <w:p w14:paraId="18537268"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0.10 </w:t>
            </w:r>
          </w:p>
        </w:tc>
      </w:tr>
      <w:tr w:rsidR="00EB0778" w:rsidRPr="000F461B" w14:paraId="5434DF16" w14:textId="77777777" w:rsidTr="00475C6D">
        <w:trPr>
          <w:trHeight w:val="250"/>
        </w:trPr>
        <w:tc>
          <w:tcPr>
            <w:tcW w:w="1055" w:type="dxa"/>
            <w:tcBorders>
              <w:top w:val="nil"/>
              <w:left w:val="single" w:sz="4" w:space="0" w:color="auto"/>
              <w:bottom w:val="single" w:sz="4" w:space="0" w:color="auto"/>
              <w:right w:val="single" w:sz="4" w:space="0" w:color="auto"/>
            </w:tcBorders>
            <w:shd w:val="clear" w:color="000000" w:fill="F2F2F2"/>
            <w:noWrap/>
            <w:vAlign w:val="bottom"/>
            <w:hideMark/>
          </w:tcPr>
          <w:p w14:paraId="6BB367B2"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SADBL</w:t>
            </w:r>
          </w:p>
        </w:tc>
        <w:tc>
          <w:tcPr>
            <w:tcW w:w="1819" w:type="dxa"/>
            <w:tcBorders>
              <w:top w:val="nil"/>
              <w:left w:val="nil"/>
              <w:bottom w:val="single" w:sz="4" w:space="0" w:color="auto"/>
              <w:right w:val="single" w:sz="4" w:space="0" w:color="auto"/>
            </w:tcBorders>
            <w:shd w:val="clear" w:color="000000" w:fill="F2F2F2"/>
            <w:noWrap/>
            <w:vAlign w:val="bottom"/>
            <w:hideMark/>
          </w:tcPr>
          <w:p w14:paraId="5C9E07FB"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61.2%</w:t>
            </w:r>
          </w:p>
        </w:tc>
        <w:tc>
          <w:tcPr>
            <w:tcW w:w="1114" w:type="dxa"/>
            <w:tcBorders>
              <w:top w:val="nil"/>
              <w:left w:val="nil"/>
              <w:bottom w:val="single" w:sz="4" w:space="0" w:color="auto"/>
              <w:right w:val="single" w:sz="4" w:space="0" w:color="auto"/>
            </w:tcBorders>
            <w:shd w:val="clear" w:color="000000" w:fill="F2F2F2"/>
            <w:noWrap/>
            <w:vAlign w:val="bottom"/>
            <w:hideMark/>
          </w:tcPr>
          <w:p w14:paraId="35A50CD0"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0.24 </w:t>
            </w:r>
          </w:p>
        </w:tc>
        <w:tc>
          <w:tcPr>
            <w:tcW w:w="1621" w:type="dxa"/>
            <w:tcBorders>
              <w:top w:val="nil"/>
              <w:left w:val="nil"/>
              <w:bottom w:val="single" w:sz="4" w:space="0" w:color="auto"/>
              <w:right w:val="single" w:sz="4" w:space="0" w:color="auto"/>
            </w:tcBorders>
            <w:shd w:val="clear" w:color="000000" w:fill="F2F2F2"/>
            <w:noWrap/>
            <w:vAlign w:val="bottom"/>
            <w:hideMark/>
          </w:tcPr>
          <w:p w14:paraId="17E95F3B"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0.14 </w:t>
            </w:r>
          </w:p>
        </w:tc>
        <w:tc>
          <w:tcPr>
            <w:tcW w:w="1114" w:type="dxa"/>
            <w:tcBorders>
              <w:top w:val="nil"/>
              <w:left w:val="nil"/>
              <w:bottom w:val="single" w:sz="4" w:space="0" w:color="auto"/>
              <w:right w:val="single" w:sz="4" w:space="0" w:color="auto"/>
            </w:tcBorders>
            <w:shd w:val="clear" w:color="000000" w:fill="F2F2F2"/>
            <w:noWrap/>
            <w:vAlign w:val="bottom"/>
            <w:hideMark/>
          </w:tcPr>
          <w:p w14:paraId="6EF721D6"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0.06 </w:t>
            </w:r>
          </w:p>
        </w:tc>
        <w:tc>
          <w:tcPr>
            <w:tcW w:w="1114" w:type="dxa"/>
            <w:tcBorders>
              <w:top w:val="nil"/>
              <w:left w:val="nil"/>
              <w:bottom w:val="single" w:sz="4" w:space="0" w:color="auto"/>
              <w:right w:val="single" w:sz="4" w:space="0" w:color="auto"/>
            </w:tcBorders>
            <w:shd w:val="clear" w:color="000000" w:fill="F2F2F2"/>
            <w:noWrap/>
            <w:vAlign w:val="bottom"/>
            <w:hideMark/>
          </w:tcPr>
          <w:p w14:paraId="19DA12EB"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0.25 </w:t>
            </w:r>
          </w:p>
        </w:tc>
        <w:tc>
          <w:tcPr>
            <w:tcW w:w="1112" w:type="dxa"/>
            <w:tcBorders>
              <w:top w:val="nil"/>
              <w:left w:val="nil"/>
              <w:bottom w:val="single" w:sz="4" w:space="0" w:color="auto"/>
              <w:right w:val="single" w:sz="4" w:space="0" w:color="auto"/>
            </w:tcBorders>
            <w:shd w:val="clear" w:color="000000" w:fill="F2F2F2"/>
            <w:noWrap/>
            <w:vAlign w:val="bottom"/>
            <w:hideMark/>
          </w:tcPr>
          <w:p w14:paraId="5E1484BB"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0.17 </w:t>
            </w:r>
          </w:p>
        </w:tc>
      </w:tr>
      <w:tr w:rsidR="00EB0778" w:rsidRPr="000F461B" w14:paraId="5CDAF94F" w14:textId="77777777" w:rsidTr="00475C6D">
        <w:trPr>
          <w:trHeight w:val="250"/>
        </w:trPr>
        <w:tc>
          <w:tcPr>
            <w:tcW w:w="1055" w:type="dxa"/>
            <w:tcBorders>
              <w:top w:val="nil"/>
              <w:left w:val="single" w:sz="4" w:space="0" w:color="auto"/>
              <w:bottom w:val="single" w:sz="4" w:space="0" w:color="auto"/>
              <w:right w:val="single" w:sz="4" w:space="0" w:color="auto"/>
            </w:tcBorders>
            <w:shd w:val="clear" w:color="000000" w:fill="F2F2F2"/>
            <w:noWrap/>
            <w:vAlign w:val="bottom"/>
            <w:hideMark/>
          </w:tcPr>
          <w:p w14:paraId="0B5F3114"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JBBL</w:t>
            </w:r>
          </w:p>
        </w:tc>
        <w:tc>
          <w:tcPr>
            <w:tcW w:w="1819" w:type="dxa"/>
            <w:tcBorders>
              <w:top w:val="nil"/>
              <w:left w:val="nil"/>
              <w:bottom w:val="single" w:sz="4" w:space="0" w:color="auto"/>
              <w:right w:val="single" w:sz="4" w:space="0" w:color="auto"/>
            </w:tcBorders>
            <w:shd w:val="clear" w:color="000000" w:fill="F2F2F2"/>
            <w:noWrap/>
            <w:vAlign w:val="bottom"/>
            <w:hideMark/>
          </w:tcPr>
          <w:p w14:paraId="5DEA76D3"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101.1%</w:t>
            </w:r>
          </w:p>
        </w:tc>
        <w:tc>
          <w:tcPr>
            <w:tcW w:w="1114" w:type="dxa"/>
            <w:tcBorders>
              <w:top w:val="nil"/>
              <w:left w:val="nil"/>
              <w:bottom w:val="single" w:sz="4" w:space="0" w:color="auto"/>
              <w:right w:val="single" w:sz="4" w:space="0" w:color="auto"/>
            </w:tcBorders>
            <w:shd w:val="clear" w:color="000000" w:fill="F2F2F2"/>
            <w:noWrap/>
            <w:vAlign w:val="bottom"/>
            <w:hideMark/>
          </w:tcPr>
          <w:p w14:paraId="06DD5D17"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0.06 </w:t>
            </w:r>
          </w:p>
        </w:tc>
        <w:tc>
          <w:tcPr>
            <w:tcW w:w="1621" w:type="dxa"/>
            <w:tcBorders>
              <w:top w:val="nil"/>
              <w:left w:val="nil"/>
              <w:bottom w:val="single" w:sz="4" w:space="0" w:color="auto"/>
              <w:right w:val="single" w:sz="4" w:space="0" w:color="auto"/>
            </w:tcBorders>
            <w:shd w:val="clear" w:color="000000" w:fill="F2F2F2"/>
            <w:noWrap/>
            <w:vAlign w:val="bottom"/>
            <w:hideMark/>
          </w:tcPr>
          <w:p w14:paraId="7548E610"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0.10 </w:t>
            </w:r>
          </w:p>
        </w:tc>
        <w:tc>
          <w:tcPr>
            <w:tcW w:w="1114" w:type="dxa"/>
            <w:tcBorders>
              <w:top w:val="nil"/>
              <w:left w:val="nil"/>
              <w:bottom w:val="single" w:sz="4" w:space="0" w:color="auto"/>
              <w:right w:val="single" w:sz="4" w:space="0" w:color="auto"/>
            </w:tcBorders>
            <w:shd w:val="clear" w:color="000000" w:fill="F2F2F2"/>
            <w:noWrap/>
            <w:vAlign w:val="bottom"/>
            <w:hideMark/>
          </w:tcPr>
          <w:p w14:paraId="08AEE230"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0.15 </w:t>
            </w:r>
          </w:p>
        </w:tc>
        <w:tc>
          <w:tcPr>
            <w:tcW w:w="1114" w:type="dxa"/>
            <w:tcBorders>
              <w:top w:val="nil"/>
              <w:left w:val="nil"/>
              <w:bottom w:val="single" w:sz="4" w:space="0" w:color="auto"/>
              <w:right w:val="single" w:sz="4" w:space="0" w:color="auto"/>
            </w:tcBorders>
            <w:shd w:val="clear" w:color="000000" w:fill="F2F2F2"/>
            <w:noWrap/>
            <w:vAlign w:val="bottom"/>
            <w:hideMark/>
          </w:tcPr>
          <w:p w14:paraId="3827EDFB"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0.09 </w:t>
            </w:r>
          </w:p>
        </w:tc>
        <w:tc>
          <w:tcPr>
            <w:tcW w:w="1112" w:type="dxa"/>
            <w:tcBorders>
              <w:top w:val="nil"/>
              <w:left w:val="nil"/>
              <w:bottom w:val="single" w:sz="4" w:space="0" w:color="auto"/>
              <w:right w:val="single" w:sz="4" w:space="0" w:color="auto"/>
            </w:tcBorders>
            <w:shd w:val="clear" w:color="000000" w:fill="F2F2F2"/>
            <w:noWrap/>
            <w:vAlign w:val="bottom"/>
            <w:hideMark/>
          </w:tcPr>
          <w:p w14:paraId="6EE185E8"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 xml:space="preserve"> 0.05 </w:t>
            </w:r>
          </w:p>
        </w:tc>
      </w:tr>
    </w:tbl>
    <w:p w14:paraId="579B386B" w14:textId="77777777" w:rsidR="00EB0778" w:rsidRPr="000F461B" w:rsidRDefault="00EB0778" w:rsidP="00EB0778">
      <w:pPr>
        <w:rPr>
          <w:rFonts w:ascii="Times New Roman" w:hAnsi="Times New Roman" w:cs="Times New Roman"/>
        </w:rPr>
      </w:pPr>
    </w:p>
    <w:p w14:paraId="78D05036" w14:textId="77777777" w:rsidR="00EB0778" w:rsidRPr="000F461B" w:rsidRDefault="00EB0778" w:rsidP="00EB0778">
      <w:pPr>
        <w:rPr>
          <w:rFonts w:ascii="Times New Roman" w:hAnsi="Times New Roman" w:cs="Times New Roman"/>
        </w:rPr>
      </w:pPr>
      <w:r w:rsidRPr="000F461B">
        <w:rPr>
          <w:rFonts w:ascii="Times New Roman" w:hAnsi="Times New Roman" w:cs="Times New Roman"/>
        </w:rPr>
        <w:t xml:space="preserve">Table provides Year-Over-Year (YOY) growth of Net Profit and Net profit for various quarters over the last five quarter NII. </w:t>
      </w:r>
    </w:p>
    <w:p w14:paraId="6AA224AC" w14:textId="77777777" w:rsidR="00EB0778" w:rsidRPr="000F461B" w:rsidRDefault="00EB0778" w:rsidP="00EB0778">
      <w:pPr>
        <w:rPr>
          <w:rFonts w:ascii="Times New Roman" w:hAnsi="Times New Roman" w:cs="Times New Roman"/>
          <w:b/>
        </w:rPr>
      </w:pPr>
      <w:r w:rsidRPr="000F461B">
        <w:rPr>
          <w:rFonts w:ascii="Times New Roman" w:hAnsi="Times New Roman" w:cs="Times New Roman"/>
          <w:b/>
        </w:rPr>
        <w:t>CASA composition of the Development Bank</w:t>
      </w:r>
    </w:p>
    <w:tbl>
      <w:tblPr>
        <w:tblW w:w="8760" w:type="dxa"/>
        <w:tblInd w:w="-5" w:type="dxa"/>
        <w:tblLook w:val="04A0" w:firstRow="1" w:lastRow="0" w:firstColumn="1" w:lastColumn="0" w:noHBand="0" w:noVBand="1"/>
      </w:tblPr>
      <w:tblGrid>
        <w:gridCol w:w="1080"/>
        <w:gridCol w:w="1080"/>
        <w:gridCol w:w="1080"/>
        <w:gridCol w:w="986"/>
        <w:gridCol w:w="986"/>
        <w:gridCol w:w="986"/>
        <w:gridCol w:w="986"/>
        <w:gridCol w:w="986"/>
        <w:gridCol w:w="1037"/>
      </w:tblGrid>
      <w:tr w:rsidR="00EB0778" w:rsidRPr="000F461B" w14:paraId="05679715" w14:textId="77777777" w:rsidTr="00475C6D">
        <w:trPr>
          <w:trHeight w:val="1160"/>
        </w:trPr>
        <w:tc>
          <w:tcPr>
            <w:tcW w:w="10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6965BA77" w14:textId="77777777" w:rsidR="00EB0778" w:rsidRPr="000F461B" w:rsidRDefault="00EB0778" w:rsidP="00EB0778">
            <w:pPr>
              <w:spacing w:after="0"/>
              <w:rPr>
                <w:rFonts w:ascii="Times New Roman" w:eastAsia="Times New Roman" w:hAnsi="Times New Roman" w:cs="Times New Roman"/>
                <w:color w:val="000000"/>
              </w:rPr>
            </w:pPr>
            <w:proofErr w:type="spellStart"/>
            <w:r w:rsidRPr="000F461B">
              <w:rPr>
                <w:rFonts w:ascii="Times New Roman" w:eastAsia="Times New Roman" w:hAnsi="Times New Roman" w:cs="Times New Roman"/>
                <w:color w:val="000000"/>
              </w:rPr>
              <w:t>Abb</w:t>
            </w:r>
            <w:proofErr w:type="spellEnd"/>
          </w:p>
        </w:tc>
        <w:tc>
          <w:tcPr>
            <w:tcW w:w="1080" w:type="dxa"/>
            <w:tcBorders>
              <w:top w:val="single" w:sz="4" w:space="0" w:color="auto"/>
              <w:left w:val="nil"/>
              <w:bottom w:val="single" w:sz="4" w:space="0" w:color="auto"/>
              <w:right w:val="single" w:sz="4" w:space="0" w:color="auto"/>
            </w:tcBorders>
            <w:shd w:val="clear" w:color="000000" w:fill="D9D9D9"/>
            <w:vAlign w:val="bottom"/>
            <w:hideMark/>
          </w:tcPr>
          <w:p w14:paraId="7EAF5B37"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Year</w:t>
            </w:r>
          </w:p>
        </w:tc>
        <w:tc>
          <w:tcPr>
            <w:tcW w:w="1080" w:type="dxa"/>
            <w:tcBorders>
              <w:top w:val="single" w:sz="4" w:space="0" w:color="auto"/>
              <w:left w:val="nil"/>
              <w:bottom w:val="single" w:sz="4" w:space="0" w:color="auto"/>
              <w:right w:val="single" w:sz="4" w:space="0" w:color="auto"/>
            </w:tcBorders>
            <w:shd w:val="clear" w:color="000000" w:fill="D9D9D9"/>
            <w:vAlign w:val="bottom"/>
            <w:hideMark/>
          </w:tcPr>
          <w:p w14:paraId="284B5414" w14:textId="77777777" w:rsidR="00EB0778" w:rsidRPr="000F461B" w:rsidRDefault="00EB0778" w:rsidP="00EB0778">
            <w:pPr>
              <w:spacing w:after="0"/>
              <w:rPr>
                <w:rFonts w:ascii="Times New Roman" w:eastAsia="Times New Roman" w:hAnsi="Times New Roman" w:cs="Times New Roman"/>
                <w:color w:val="000000"/>
              </w:rPr>
            </w:pPr>
            <w:proofErr w:type="spellStart"/>
            <w:r w:rsidRPr="000F461B">
              <w:rPr>
                <w:rFonts w:ascii="Times New Roman" w:eastAsia="Times New Roman" w:hAnsi="Times New Roman" w:cs="Times New Roman"/>
                <w:color w:val="000000"/>
              </w:rPr>
              <w:t>Qtr</w:t>
            </w:r>
            <w:proofErr w:type="spellEnd"/>
          </w:p>
        </w:tc>
        <w:tc>
          <w:tcPr>
            <w:tcW w:w="920" w:type="dxa"/>
            <w:tcBorders>
              <w:top w:val="single" w:sz="4" w:space="0" w:color="auto"/>
              <w:left w:val="nil"/>
              <w:bottom w:val="single" w:sz="4" w:space="0" w:color="auto"/>
              <w:right w:val="single" w:sz="4" w:space="0" w:color="auto"/>
            </w:tcBorders>
            <w:shd w:val="clear" w:color="000000" w:fill="D9D9D9"/>
            <w:vAlign w:val="bottom"/>
            <w:hideMark/>
          </w:tcPr>
          <w:p w14:paraId="6CE549EC"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Current Deposits %</w:t>
            </w:r>
          </w:p>
        </w:tc>
        <w:tc>
          <w:tcPr>
            <w:tcW w:w="920" w:type="dxa"/>
            <w:tcBorders>
              <w:top w:val="single" w:sz="4" w:space="0" w:color="auto"/>
              <w:left w:val="nil"/>
              <w:bottom w:val="single" w:sz="4" w:space="0" w:color="auto"/>
              <w:right w:val="single" w:sz="4" w:space="0" w:color="auto"/>
            </w:tcBorders>
            <w:shd w:val="clear" w:color="000000" w:fill="D9D9D9"/>
            <w:vAlign w:val="bottom"/>
            <w:hideMark/>
          </w:tcPr>
          <w:p w14:paraId="3351C797"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Savings Deposits %</w:t>
            </w:r>
          </w:p>
        </w:tc>
        <w:tc>
          <w:tcPr>
            <w:tcW w:w="920" w:type="dxa"/>
            <w:tcBorders>
              <w:top w:val="single" w:sz="4" w:space="0" w:color="auto"/>
              <w:left w:val="nil"/>
              <w:bottom w:val="single" w:sz="4" w:space="0" w:color="auto"/>
              <w:right w:val="single" w:sz="4" w:space="0" w:color="auto"/>
            </w:tcBorders>
            <w:shd w:val="clear" w:color="000000" w:fill="D9D9D9"/>
            <w:vAlign w:val="bottom"/>
            <w:hideMark/>
          </w:tcPr>
          <w:p w14:paraId="6362B236"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Fixed Deposits %</w:t>
            </w:r>
          </w:p>
        </w:tc>
        <w:tc>
          <w:tcPr>
            <w:tcW w:w="920" w:type="dxa"/>
            <w:tcBorders>
              <w:top w:val="single" w:sz="4" w:space="0" w:color="auto"/>
              <w:left w:val="nil"/>
              <w:bottom w:val="single" w:sz="4" w:space="0" w:color="auto"/>
              <w:right w:val="single" w:sz="4" w:space="0" w:color="auto"/>
            </w:tcBorders>
            <w:shd w:val="clear" w:color="000000" w:fill="D9D9D9"/>
            <w:vAlign w:val="bottom"/>
            <w:hideMark/>
          </w:tcPr>
          <w:p w14:paraId="5C5BB0F6"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Call Deposits %</w:t>
            </w:r>
          </w:p>
        </w:tc>
        <w:tc>
          <w:tcPr>
            <w:tcW w:w="920" w:type="dxa"/>
            <w:tcBorders>
              <w:top w:val="single" w:sz="4" w:space="0" w:color="auto"/>
              <w:left w:val="nil"/>
              <w:bottom w:val="single" w:sz="4" w:space="0" w:color="auto"/>
              <w:right w:val="single" w:sz="4" w:space="0" w:color="auto"/>
            </w:tcBorders>
            <w:shd w:val="clear" w:color="000000" w:fill="D9D9D9"/>
            <w:vAlign w:val="bottom"/>
            <w:hideMark/>
          </w:tcPr>
          <w:p w14:paraId="44A0A40F"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Others Deposits %</w:t>
            </w:r>
          </w:p>
        </w:tc>
        <w:tc>
          <w:tcPr>
            <w:tcW w:w="920" w:type="dxa"/>
            <w:tcBorders>
              <w:top w:val="single" w:sz="4" w:space="0" w:color="auto"/>
              <w:left w:val="nil"/>
              <w:bottom w:val="single" w:sz="4" w:space="0" w:color="auto"/>
              <w:right w:val="single" w:sz="4" w:space="0" w:color="auto"/>
            </w:tcBorders>
            <w:shd w:val="clear" w:color="000000" w:fill="D9D9D9"/>
            <w:vAlign w:val="bottom"/>
            <w:hideMark/>
          </w:tcPr>
          <w:p w14:paraId="61C2B35B"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Current + Savings+ Call</w:t>
            </w:r>
          </w:p>
        </w:tc>
      </w:tr>
      <w:tr w:rsidR="00EB0778" w:rsidRPr="000F461B" w14:paraId="0F4464AC" w14:textId="77777777" w:rsidTr="00475C6D">
        <w:trPr>
          <w:trHeight w:val="290"/>
        </w:trPr>
        <w:tc>
          <w:tcPr>
            <w:tcW w:w="1080" w:type="dxa"/>
            <w:tcBorders>
              <w:top w:val="nil"/>
              <w:left w:val="single" w:sz="4" w:space="0" w:color="auto"/>
              <w:bottom w:val="single" w:sz="4" w:space="0" w:color="auto"/>
              <w:right w:val="single" w:sz="4" w:space="0" w:color="auto"/>
            </w:tcBorders>
            <w:shd w:val="clear" w:color="F7CAAC" w:fill="F7CAAC"/>
            <w:noWrap/>
            <w:vAlign w:val="bottom"/>
            <w:hideMark/>
          </w:tcPr>
          <w:p w14:paraId="721BBF1E"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LBBL</w:t>
            </w:r>
          </w:p>
        </w:tc>
        <w:tc>
          <w:tcPr>
            <w:tcW w:w="1080" w:type="dxa"/>
            <w:tcBorders>
              <w:top w:val="nil"/>
              <w:left w:val="nil"/>
              <w:bottom w:val="single" w:sz="4" w:space="0" w:color="auto"/>
              <w:right w:val="single" w:sz="4" w:space="0" w:color="auto"/>
            </w:tcBorders>
            <w:shd w:val="clear" w:color="F7CAAC" w:fill="F7CAAC"/>
            <w:noWrap/>
            <w:vAlign w:val="bottom"/>
            <w:hideMark/>
          </w:tcPr>
          <w:p w14:paraId="2D7FCE79"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2024/25</w:t>
            </w:r>
          </w:p>
        </w:tc>
        <w:tc>
          <w:tcPr>
            <w:tcW w:w="1080" w:type="dxa"/>
            <w:tcBorders>
              <w:top w:val="nil"/>
              <w:left w:val="nil"/>
              <w:bottom w:val="single" w:sz="4" w:space="0" w:color="auto"/>
              <w:right w:val="single" w:sz="4" w:space="0" w:color="auto"/>
            </w:tcBorders>
            <w:shd w:val="clear" w:color="F7CAAC" w:fill="F7CAAC"/>
            <w:noWrap/>
            <w:vAlign w:val="bottom"/>
            <w:hideMark/>
          </w:tcPr>
          <w:p w14:paraId="1B20B314"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Feb-Mar</w:t>
            </w:r>
          </w:p>
        </w:tc>
        <w:tc>
          <w:tcPr>
            <w:tcW w:w="920" w:type="dxa"/>
            <w:tcBorders>
              <w:top w:val="nil"/>
              <w:left w:val="nil"/>
              <w:bottom w:val="single" w:sz="4" w:space="0" w:color="auto"/>
              <w:right w:val="single" w:sz="4" w:space="0" w:color="auto"/>
            </w:tcBorders>
            <w:shd w:val="clear" w:color="000000" w:fill="D9D9D9"/>
            <w:noWrap/>
            <w:vAlign w:val="bottom"/>
            <w:hideMark/>
          </w:tcPr>
          <w:p w14:paraId="5082C5CE"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2.10%</w:t>
            </w:r>
          </w:p>
        </w:tc>
        <w:tc>
          <w:tcPr>
            <w:tcW w:w="920" w:type="dxa"/>
            <w:tcBorders>
              <w:top w:val="nil"/>
              <w:left w:val="nil"/>
              <w:bottom w:val="single" w:sz="4" w:space="0" w:color="auto"/>
              <w:right w:val="single" w:sz="4" w:space="0" w:color="auto"/>
            </w:tcBorders>
            <w:shd w:val="clear" w:color="000000" w:fill="D9D9D9"/>
            <w:noWrap/>
            <w:vAlign w:val="bottom"/>
            <w:hideMark/>
          </w:tcPr>
          <w:p w14:paraId="43EB4AE0"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26.99%</w:t>
            </w:r>
          </w:p>
        </w:tc>
        <w:tc>
          <w:tcPr>
            <w:tcW w:w="920" w:type="dxa"/>
            <w:tcBorders>
              <w:top w:val="nil"/>
              <w:left w:val="nil"/>
              <w:bottom w:val="single" w:sz="4" w:space="0" w:color="auto"/>
              <w:right w:val="single" w:sz="4" w:space="0" w:color="auto"/>
            </w:tcBorders>
            <w:shd w:val="clear" w:color="000000" w:fill="D9D9D9"/>
            <w:noWrap/>
            <w:vAlign w:val="bottom"/>
            <w:hideMark/>
          </w:tcPr>
          <w:p w14:paraId="34A44174"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63.42%</w:t>
            </w:r>
          </w:p>
        </w:tc>
        <w:tc>
          <w:tcPr>
            <w:tcW w:w="920" w:type="dxa"/>
            <w:tcBorders>
              <w:top w:val="nil"/>
              <w:left w:val="nil"/>
              <w:bottom w:val="single" w:sz="4" w:space="0" w:color="auto"/>
              <w:right w:val="single" w:sz="4" w:space="0" w:color="auto"/>
            </w:tcBorders>
            <w:shd w:val="clear" w:color="000000" w:fill="D9D9D9"/>
            <w:noWrap/>
            <w:vAlign w:val="bottom"/>
            <w:hideMark/>
          </w:tcPr>
          <w:p w14:paraId="1C6FBCF5"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7.45%</w:t>
            </w:r>
          </w:p>
        </w:tc>
        <w:tc>
          <w:tcPr>
            <w:tcW w:w="920" w:type="dxa"/>
            <w:tcBorders>
              <w:top w:val="nil"/>
              <w:left w:val="nil"/>
              <w:bottom w:val="single" w:sz="4" w:space="0" w:color="auto"/>
              <w:right w:val="single" w:sz="4" w:space="0" w:color="auto"/>
            </w:tcBorders>
            <w:shd w:val="clear" w:color="000000" w:fill="D9D9D9"/>
            <w:noWrap/>
            <w:vAlign w:val="bottom"/>
            <w:hideMark/>
          </w:tcPr>
          <w:p w14:paraId="05B0D73A"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0.04%</w:t>
            </w:r>
          </w:p>
        </w:tc>
        <w:tc>
          <w:tcPr>
            <w:tcW w:w="920" w:type="dxa"/>
            <w:tcBorders>
              <w:top w:val="nil"/>
              <w:left w:val="nil"/>
              <w:bottom w:val="single" w:sz="4" w:space="0" w:color="auto"/>
              <w:right w:val="single" w:sz="4" w:space="0" w:color="auto"/>
            </w:tcBorders>
            <w:shd w:val="clear" w:color="000000" w:fill="D9D9D9"/>
            <w:noWrap/>
            <w:vAlign w:val="bottom"/>
            <w:hideMark/>
          </w:tcPr>
          <w:p w14:paraId="6C3D85D6"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36.54%</w:t>
            </w:r>
          </w:p>
        </w:tc>
      </w:tr>
      <w:tr w:rsidR="00EB0778" w:rsidRPr="000F461B" w14:paraId="1B38CE98" w14:textId="77777777" w:rsidTr="00475C6D">
        <w:trPr>
          <w:trHeight w:val="290"/>
        </w:trPr>
        <w:tc>
          <w:tcPr>
            <w:tcW w:w="1080" w:type="dxa"/>
            <w:tcBorders>
              <w:top w:val="nil"/>
              <w:left w:val="single" w:sz="4" w:space="0" w:color="auto"/>
              <w:bottom w:val="single" w:sz="4" w:space="0" w:color="auto"/>
              <w:right w:val="single" w:sz="4" w:space="0" w:color="auto"/>
            </w:tcBorders>
            <w:shd w:val="clear" w:color="F7CAAC" w:fill="F7CAAC"/>
            <w:noWrap/>
            <w:vAlign w:val="bottom"/>
            <w:hideMark/>
          </w:tcPr>
          <w:p w14:paraId="4DD6CCC3"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SADBL</w:t>
            </w:r>
          </w:p>
        </w:tc>
        <w:tc>
          <w:tcPr>
            <w:tcW w:w="1080" w:type="dxa"/>
            <w:tcBorders>
              <w:top w:val="nil"/>
              <w:left w:val="nil"/>
              <w:bottom w:val="single" w:sz="4" w:space="0" w:color="auto"/>
              <w:right w:val="single" w:sz="4" w:space="0" w:color="auto"/>
            </w:tcBorders>
            <w:shd w:val="clear" w:color="F7CAAC" w:fill="F7CAAC"/>
            <w:noWrap/>
            <w:vAlign w:val="bottom"/>
            <w:hideMark/>
          </w:tcPr>
          <w:p w14:paraId="447A2A1C"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2024/25</w:t>
            </w:r>
          </w:p>
        </w:tc>
        <w:tc>
          <w:tcPr>
            <w:tcW w:w="1080" w:type="dxa"/>
            <w:tcBorders>
              <w:top w:val="nil"/>
              <w:left w:val="nil"/>
              <w:bottom w:val="single" w:sz="4" w:space="0" w:color="auto"/>
              <w:right w:val="single" w:sz="4" w:space="0" w:color="auto"/>
            </w:tcBorders>
            <w:shd w:val="clear" w:color="F7CAAC" w:fill="F7CAAC"/>
            <w:noWrap/>
            <w:vAlign w:val="bottom"/>
            <w:hideMark/>
          </w:tcPr>
          <w:p w14:paraId="1DAE42C6"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Feb-Mar</w:t>
            </w:r>
          </w:p>
        </w:tc>
        <w:tc>
          <w:tcPr>
            <w:tcW w:w="920" w:type="dxa"/>
            <w:tcBorders>
              <w:top w:val="nil"/>
              <w:left w:val="nil"/>
              <w:bottom w:val="single" w:sz="4" w:space="0" w:color="auto"/>
              <w:right w:val="single" w:sz="4" w:space="0" w:color="auto"/>
            </w:tcBorders>
            <w:shd w:val="clear" w:color="000000" w:fill="D9D9D9"/>
            <w:noWrap/>
            <w:vAlign w:val="bottom"/>
            <w:hideMark/>
          </w:tcPr>
          <w:p w14:paraId="41446E29"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1.37%</w:t>
            </w:r>
          </w:p>
        </w:tc>
        <w:tc>
          <w:tcPr>
            <w:tcW w:w="920" w:type="dxa"/>
            <w:tcBorders>
              <w:top w:val="nil"/>
              <w:left w:val="nil"/>
              <w:bottom w:val="single" w:sz="4" w:space="0" w:color="auto"/>
              <w:right w:val="single" w:sz="4" w:space="0" w:color="auto"/>
            </w:tcBorders>
            <w:shd w:val="clear" w:color="000000" w:fill="D9D9D9"/>
            <w:noWrap/>
            <w:vAlign w:val="bottom"/>
            <w:hideMark/>
          </w:tcPr>
          <w:p w14:paraId="7942F8A0"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27.53%</w:t>
            </w:r>
          </w:p>
        </w:tc>
        <w:tc>
          <w:tcPr>
            <w:tcW w:w="920" w:type="dxa"/>
            <w:tcBorders>
              <w:top w:val="nil"/>
              <w:left w:val="nil"/>
              <w:bottom w:val="single" w:sz="4" w:space="0" w:color="auto"/>
              <w:right w:val="single" w:sz="4" w:space="0" w:color="auto"/>
            </w:tcBorders>
            <w:shd w:val="clear" w:color="000000" w:fill="D9D9D9"/>
            <w:noWrap/>
            <w:vAlign w:val="bottom"/>
            <w:hideMark/>
          </w:tcPr>
          <w:p w14:paraId="19491B3F"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63.77%</w:t>
            </w:r>
          </w:p>
        </w:tc>
        <w:tc>
          <w:tcPr>
            <w:tcW w:w="920" w:type="dxa"/>
            <w:tcBorders>
              <w:top w:val="nil"/>
              <w:left w:val="nil"/>
              <w:bottom w:val="single" w:sz="4" w:space="0" w:color="auto"/>
              <w:right w:val="single" w:sz="4" w:space="0" w:color="auto"/>
            </w:tcBorders>
            <w:shd w:val="clear" w:color="000000" w:fill="D9D9D9"/>
            <w:noWrap/>
            <w:vAlign w:val="bottom"/>
            <w:hideMark/>
          </w:tcPr>
          <w:p w14:paraId="24A702F3"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7.29%</w:t>
            </w:r>
          </w:p>
        </w:tc>
        <w:tc>
          <w:tcPr>
            <w:tcW w:w="920" w:type="dxa"/>
            <w:tcBorders>
              <w:top w:val="nil"/>
              <w:left w:val="nil"/>
              <w:bottom w:val="single" w:sz="4" w:space="0" w:color="auto"/>
              <w:right w:val="single" w:sz="4" w:space="0" w:color="auto"/>
            </w:tcBorders>
            <w:shd w:val="clear" w:color="000000" w:fill="D9D9D9"/>
            <w:noWrap/>
            <w:vAlign w:val="bottom"/>
            <w:hideMark/>
          </w:tcPr>
          <w:p w14:paraId="3628ED8F"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0.04%</w:t>
            </w:r>
          </w:p>
        </w:tc>
        <w:tc>
          <w:tcPr>
            <w:tcW w:w="920" w:type="dxa"/>
            <w:tcBorders>
              <w:top w:val="nil"/>
              <w:left w:val="nil"/>
              <w:bottom w:val="single" w:sz="4" w:space="0" w:color="auto"/>
              <w:right w:val="single" w:sz="4" w:space="0" w:color="auto"/>
            </w:tcBorders>
            <w:shd w:val="clear" w:color="000000" w:fill="D9D9D9"/>
            <w:noWrap/>
            <w:vAlign w:val="bottom"/>
            <w:hideMark/>
          </w:tcPr>
          <w:p w14:paraId="5B2E5326"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36.19%</w:t>
            </w:r>
          </w:p>
        </w:tc>
      </w:tr>
      <w:tr w:rsidR="00EB0778" w:rsidRPr="000F461B" w14:paraId="28CC95D5" w14:textId="77777777" w:rsidTr="00475C6D">
        <w:trPr>
          <w:trHeight w:val="290"/>
        </w:trPr>
        <w:tc>
          <w:tcPr>
            <w:tcW w:w="1080" w:type="dxa"/>
            <w:tcBorders>
              <w:top w:val="nil"/>
              <w:left w:val="single" w:sz="4" w:space="0" w:color="auto"/>
              <w:bottom w:val="single" w:sz="4" w:space="0" w:color="auto"/>
              <w:right w:val="single" w:sz="4" w:space="0" w:color="auto"/>
            </w:tcBorders>
            <w:shd w:val="clear" w:color="F7CAAC" w:fill="F7CAAC"/>
            <w:noWrap/>
            <w:vAlign w:val="bottom"/>
            <w:hideMark/>
          </w:tcPr>
          <w:p w14:paraId="6D5A655F"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KSBBL</w:t>
            </w:r>
          </w:p>
        </w:tc>
        <w:tc>
          <w:tcPr>
            <w:tcW w:w="1080" w:type="dxa"/>
            <w:tcBorders>
              <w:top w:val="nil"/>
              <w:left w:val="nil"/>
              <w:bottom w:val="single" w:sz="4" w:space="0" w:color="auto"/>
              <w:right w:val="single" w:sz="4" w:space="0" w:color="auto"/>
            </w:tcBorders>
            <w:shd w:val="clear" w:color="F7CAAC" w:fill="F7CAAC"/>
            <w:noWrap/>
            <w:vAlign w:val="bottom"/>
            <w:hideMark/>
          </w:tcPr>
          <w:p w14:paraId="3FEFEAA4"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2024/25</w:t>
            </w:r>
          </w:p>
        </w:tc>
        <w:tc>
          <w:tcPr>
            <w:tcW w:w="1080" w:type="dxa"/>
            <w:tcBorders>
              <w:top w:val="nil"/>
              <w:left w:val="nil"/>
              <w:bottom w:val="single" w:sz="4" w:space="0" w:color="auto"/>
              <w:right w:val="single" w:sz="4" w:space="0" w:color="auto"/>
            </w:tcBorders>
            <w:shd w:val="clear" w:color="F7CAAC" w:fill="F7CAAC"/>
            <w:noWrap/>
            <w:vAlign w:val="bottom"/>
            <w:hideMark/>
          </w:tcPr>
          <w:p w14:paraId="72097C9A"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Feb-Mar</w:t>
            </w:r>
          </w:p>
        </w:tc>
        <w:tc>
          <w:tcPr>
            <w:tcW w:w="920" w:type="dxa"/>
            <w:tcBorders>
              <w:top w:val="nil"/>
              <w:left w:val="nil"/>
              <w:bottom w:val="single" w:sz="4" w:space="0" w:color="auto"/>
              <w:right w:val="single" w:sz="4" w:space="0" w:color="auto"/>
            </w:tcBorders>
            <w:shd w:val="clear" w:color="000000" w:fill="D9D9D9"/>
            <w:noWrap/>
            <w:vAlign w:val="bottom"/>
            <w:hideMark/>
          </w:tcPr>
          <w:p w14:paraId="70FE16C7"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2.04%</w:t>
            </w:r>
          </w:p>
        </w:tc>
        <w:tc>
          <w:tcPr>
            <w:tcW w:w="920" w:type="dxa"/>
            <w:tcBorders>
              <w:top w:val="nil"/>
              <w:left w:val="nil"/>
              <w:bottom w:val="single" w:sz="4" w:space="0" w:color="auto"/>
              <w:right w:val="single" w:sz="4" w:space="0" w:color="auto"/>
            </w:tcBorders>
            <w:shd w:val="clear" w:color="000000" w:fill="D9D9D9"/>
            <w:noWrap/>
            <w:vAlign w:val="bottom"/>
            <w:hideMark/>
          </w:tcPr>
          <w:p w14:paraId="5EBCD3CA"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30.08%</w:t>
            </w:r>
          </w:p>
        </w:tc>
        <w:tc>
          <w:tcPr>
            <w:tcW w:w="920" w:type="dxa"/>
            <w:tcBorders>
              <w:top w:val="nil"/>
              <w:left w:val="nil"/>
              <w:bottom w:val="single" w:sz="4" w:space="0" w:color="auto"/>
              <w:right w:val="single" w:sz="4" w:space="0" w:color="auto"/>
            </w:tcBorders>
            <w:shd w:val="clear" w:color="000000" w:fill="D9D9D9"/>
            <w:noWrap/>
            <w:vAlign w:val="bottom"/>
            <w:hideMark/>
          </w:tcPr>
          <w:p w14:paraId="0D15E432"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61.73%</w:t>
            </w:r>
          </w:p>
        </w:tc>
        <w:tc>
          <w:tcPr>
            <w:tcW w:w="920" w:type="dxa"/>
            <w:tcBorders>
              <w:top w:val="nil"/>
              <w:left w:val="nil"/>
              <w:bottom w:val="single" w:sz="4" w:space="0" w:color="auto"/>
              <w:right w:val="single" w:sz="4" w:space="0" w:color="auto"/>
            </w:tcBorders>
            <w:shd w:val="clear" w:color="000000" w:fill="D9D9D9"/>
            <w:noWrap/>
            <w:vAlign w:val="bottom"/>
            <w:hideMark/>
          </w:tcPr>
          <w:p w14:paraId="1BE016A7"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6.15%</w:t>
            </w:r>
          </w:p>
        </w:tc>
        <w:tc>
          <w:tcPr>
            <w:tcW w:w="920" w:type="dxa"/>
            <w:tcBorders>
              <w:top w:val="nil"/>
              <w:left w:val="nil"/>
              <w:bottom w:val="single" w:sz="4" w:space="0" w:color="auto"/>
              <w:right w:val="single" w:sz="4" w:space="0" w:color="auto"/>
            </w:tcBorders>
            <w:shd w:val="clear" w:color="000000" w:fill="D9D9D9"/>
            <w:noWrap/>
            <w:vAlign w:val="bottom"/>
            <w:hideMark/>
          </w:tcPr>
          <w:p w14:paraId="7ED1B8E4"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0.00%</w:t>
            </w:r>
          </w:p>
        </w:tc>
        <w:tc>
          <w:tcPr>
            <w:tcW w:w="920" w:type="dxa"/>
            <w:tcBorders>
              <w:top w:val="nil"/>
              <w:left w:val="nil"/>
              <w:bottom w:val="single" w:sz="4" w:space="0" w:color="auto"/>
              <w:right w:val="single" w:sz="4" w:space="0" w:color="auto"/>
            </w:tcBorders>
            <w:shd w:val="clear" w:color="000000" w:fill="D9D9D9"/>
            <w:noWrap/>
            <w:vAlign w:val="bottom"/>
            <w:hideMark/>
          </w:tcPr>
          <w:p w14:paraId="4EAEF3D2"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38.27%</w:t>
            </w:r>
          </w:p>
        </w:tc>
      </w:tr>
      <w:tr w:rsidR="00EB0778" w:rsidRPr="000F461B" w14:paraId="13AD201B" w14:textId="77777777" w:rsidTr="00475C6D">
        <w:trPr>
          <w:trHeight w:val="290"/>
        </w:trPr>
        <w:tc>
          <w:tcPr>
            <w:tcW w:w="1080" w:type="dxa"/>
            <w:tcBorders>
              <w:top w:val="nil"/>
              <w:left w:val="single" w:sz="4" w:space="0" w:color="auto"/>
              <w:bottom w:val="single" w:sz="4" w:space="0" w:color="auto"/>
              <w:right w:val="single" w:sz="4" w:space="0" w:color="auto"/>
            </w:tcBorders>
            <w:shd w:val="clear" w:color="F7CAAC" w:fill="F7CAAC"/>
            <w:noWrap/>
            <w:vAlign w:val="bottom"/>
            <w:hideMark/>
          </w:tcPr>
          <w:p w14:paraId="4B9CDE5A"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SHINE</w:t>
            </w:r>
          </w:p>
        </w:tc>
        <w:tc>
          <w:tcPr>
            <w:tcW w:w="1080" w:type="dxa"/>
            <w:tcBorders>
              <w:top w:val="nil"/>
              <w:left w:val="nil"/>
              <w:bottom w:val="single" w:sz="4" w:space="0" w:color="auto"/>
              <w:right w:val="single" w:sz="4" w:space="0" w:color="auto"/>
            </w:tcBorders>
            <w:shd w:val="clear" w:color="F7CAAC" w:fill="F7CAAC"/>
            <w:noWrap/>
            <w:vAlign w:val="bottom"/>
            <w:hideMark/>
          </w:tcPr>
          <w:p w14:paraId="5C0AF198"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2024/25</w:t>
            </w:r>
          </w:p>
        </w:tc>
        <w:tc>
          <w:tcPr>
            <w:tcW w:w="1080" w:type="dxa"/>
            <w:tcBorders>
              <w:top w:val="nil"/>
              <w:left w:val="nil"/>
              <w:bottom w:val="single" w:sz="4" w:space="0" w:color="auto"/>
              <w:right w:val="single" w:sz="4" w:space="0" w:color="auto"/>
            </w:tcBorders>
            <w:shd w:val="clear" w:color="F7CAAC" w:fill="F7CAAC"/>
            <w:noWrap/>
            <w:vAlign w:val="bottom"/>
            <w:hideMark/>
          </w:tcPr>
          <w:p w14:paraId="2AE33853"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Feb-Mar</w:t>
            </w:r>
          </w:p>
        </w:tc>
        <w:tc>
          <w:tcPr>
            <w:tcW w:w="920" w:type="dxa"/>
            <w:tcBorders>
              <w:top w:val="nil"/>
              <w:left w:val="nil"/>
              <w:bottom w:val="single" w:sz="4" w:space="0" w:color="auto"/>
              <w:right w:val="single" w:sz="4" w:space="0" w:color="auto"/>
            </w:tcBorders>
            <w:shd w:val="clear" w:color="000000" w:fill="D9D9D9"/>
            <w:noWrap/>
            <w:vAlign w:val="bottom"/>
            <w:hideMark/>
          </w:tcPr>
          <w:p w14:paraId="69F49567"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1.30%</w:t>
            </w:r>
          </w:p>
        </w:tc>
        <w:tc>
          <w:tcPr>
            <w:tcW w:w="920" w:type="dxa"/>
            <w:tcBorders>
              <w:top w:val="nil"/>
              <w:left w:val="nil"/>
              <w:bottom w:val="single" w:sz="4" w:space="0" w:color="auto"/>
              <w:right w:val="single" w:sz="4" w:space="0" w:color="auto"/>
            </w:tcBorders>
            <w:shd w:val="clear" w:color="000000" w:fill="D9D9D9"/>
            <w:noWrap/>
            <w:vAlign w:val="bottom"/>
            <w:hideMark/>
          </w:tcPr>
          <w:p w14:paraId="671474AC"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38.75%</w:t>
            </w:r>
          </w:p>
        </w:tc>
        <w:tc>
          <w:tcPr>
            <w:tcW w:w="920" w:type="dxa"/>
            <w:tcBorders>
              <w:top w:val="nil"/>
              <w:left w:val="nil"/>
              <w:bottom w:val="single" w:sz="4" w:space="0" w:color="auto"/>
              <w:right w:val="single" w:sz="4" w:space="0" w:color="auto"/>
            </w:tcBorders>
            <w:shd w:val="clear" w:color="000000" w:fill="D9D9D9"/>
            <w:noWrap/>
            <w:vAlign w:val="bottom"/>
            <w:hideMark/>
          </w:tcPr>
          <w:p w14:paraId="16CCC5AD"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55.68%</w:t>
            </w:r>
          </w:p>
        </w:tc>
        <w:tc>
          <w:tcPr>
            <w:tcW w:w="920" w:type="dxa"/>
            <w:tcBorders>
              <w:top w:val="nil"/>
              <w:left w:val="nil"/>
              <w:bottom w:val="single" w:sz="4" w:space="0" w:color="auto"/>
              <w:right w:val="single" w:sz="4" w:space="0" w:color="auto"/>
            </w:tcBorders>
            <w:shd w:val="clear" w:color="000000" w:fill="D9D9D9"/>
            <w:noWrap/>
            <w:vAlign w:val="bottom"/>
            <w:hideMark/>
          </w:tcPr>
          <w:p w14:paraId="48C8337F"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4.24%</w:t>
            </w:r>
          </w:p>
        </w:tc>
        <w:tc>
          <w:tcPr>
            <w:tcW w:w="920" w:type="dxa"/>
            <w:tcBorders>
              <w:top w:val="nil"/>
              <w:left w:val="nil"/>
              <w:bottom w:val="single" w:sz="4" w:space="0" w:color="auto"/>
              <w:right w:val="single" w:sz="4" w:space="0" w:color="auto"/>
            </w:tcBorders>
            <w:shd w:val="clear" w:color="000000" w:fill="D9D9D9"/>
            <w:noWrap/>
            <w:vAlign w:val="bottom"/>
            <w:hideMark/>
          </w:tcPr>
          <w:p w14:paraId="436C6B13"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0.02%</w:t>
            </w:r>
          </w:p>
        </w:tc>
        <w:tc>
          <w:tcPr>
            <w:tcW w:w="920" w:type="dxa"/>
            <w:tcBorders>
              <w:top w:val="nil"/>
              <w:left w:val="nil"/>
              <w:bottom w:val="single" w:sz="4" w:space="0" w:color="auto"/>
              <w:right w:val="single" w:sz="4" w:space="0" w:color="auto"/>
            </w:tcBorders>
            <w:shd w:val="clear" w:color="000000" w:fill="D9D9D9"/>
            <w:noWrap/>
            <w:vAlign w:val="bottom"/>
            <w:hideMark/>
          </w:tcPr>
          <w:p w14:paraId="31548CDF"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44.29%</w:t>
            </w:r>
          </w:p>
        </w:tc>
      </w:tr>
      <w:tr w:rsidR="00EB0778" w:rsidRPr="000F461B" w14:paraId="47682E62" w14:textId="77777777" w:rsidTr="00475C6D">
        <w:trPr>
          <w:trHeight w:val="290"/>
        </w:trPr>
        <w:tc>
          <w:tcPr>
            <w:tcW w:w="1080" w:type="dxa"/>
            <w:tcBorders>
              <w:top w:val="nil"/>
              <w:left w:val="single" w:sz="4" w:space="0" w:color="auto"/>
              <w:bottom w:val="single" w:sz="4" w:space="0" w:color="auto"/>
              <w:right w:val="single" w:sz="4" w:space="0" w:color="auto"/>
            </w:tcBorders>
            <w:shd w:val="clear" w:color="F7CAAC" w:fill="F7CAAC"/>
            <w:noWrap/>
            <w:vAlign w:val="bottom"/>
            <w:hideMark/>
          </w:tcPr>
          <w:p w14:paraId="73B55E28"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GBBL</w:t>
            </w:r>
          </w:p>
        </w:tc>
        <w:tc>
          <w:tcPr>
            <w:tcW w:w="1080" w:type="dxa"/>
            <w:tcBorders>
              <w:top w:val="nil"/>
              <w:left w:val="nil"/>
              <w:bottom w:val="single" w:sz="4" w:space="0" w:color="auto"/>
              <w:right w:val="single" w:sz="4" w:space="0" w:color="auto"/>
            </w:tcBorders>
            <w:shd w:val="clear" w:color="F7CAAC" w:fill="F7CAAC"/>
            <w:noWrap/>
            <w:vAlign w:val="bottom"/>
            <w:hideMark/>
          </w:tcPr>
          <w:p w14:paraId="0FEA2722"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2024/25</w:t>
            </w:r>
          </w:p>
        </w:tc>
        <w:tc>
          <w:tcPr>
            <w:tcW w:w="1080" w:type="dxa"/>
            <w:tcBorders>
              <w:top w:val="nil"/>
              <w:left w:val="nil"/>
              <w:bottom w:val="single" w:sz="4" w:space="0" w:color="auto"/>
              <w:right w:val="single" w:sz="4" w:space="0" w:color="auto"/>
            </w:tcBorders>
            <w:shd w:val="clear" w:color="F7CAAC" w:fill="F7CAAC"/>
            <w:noWrap/>
            <w:vAlign w:val="bottom"/>
            <w:hideMark/>
          </w:tcPr>
          <w:p w14:paraId="24EC0DE8"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Feb-Mar</w:t>
            </w:r>
          </w:p>
        </w:tc>
        <w:tc>
          <w:tcPr>
            <w:tcW w:w="920" w:type="dxa"/>
            <w:tcBorders>
              <w:top w:val="nil"/>
              <w:left w:val="nil"/>
              <w:bottom w:val="single" w:sz="4" w:space="0" w:color="auto"/>
              <w:right w:val="single" w:sz="4" w:space="0" w:color="auto"/>
            </w:tcBorders>
            <w:shd w:val="clear" w:color="000000" w:fill="D9D9D9"/>
            <w:noWrap/>
            <w:vAlign w:val="bottom"/>
            <w:hideMark/>
          </w:tcPr>
          <w:p w14:paraId="0EDE4CDC"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1.74%</w:t>
            </w:r>
          </w:p>
        </w:tc>
        <w:tc>
          <w:tcPr>
            <w:tcW w:w="920" w:type="dxa"/>
            <w:tcBorders>
              <w:top w:val="nil"/>
              <w:left w:val="nil"/>
              <w:bottom w:val="single" w:sz="4" w:space="0" w:color="auto"/>
              <w:right w:val="single" w:sz="4" w:space="0" w:color="auto"/>
            </w:tcBorders>
            <w:shd w:val="clear" w:color="000000" w:fill="D9D9D9"/>
            <w:noWrap/>
            <w:vAlign w:val="bottom"/>
            <w:hideMark/>
          </w:tcPr>
          <w:p w14:paraId="013743A8"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39.20%</w:t>
            </w:r>
          </w:p>
        </w:tc>
        <w:tc>
          <w:tcPr>
            <w:tcW w:w="920" w:type="dxa"/>
            <w:tcBorders>
              <w:top w:val="nil"/>
              <w:left w:val="nil"/>
              <w:bottom w:val="single" w:sz="4" w:space="0" w:color="auto"/>
              <w:right w:val="single" w:sz="4" w:space="0" w:color="auto"/>
            </w:tcBorders>
            <w:shd w:val="clear" w:color="000000" w:fill="D9D9D9"/>
            <w:noWrap/>
            <w:vAlign w:val="bottom"/>
            <w:hideMark/>
          </w:tcPr>
          <w:p w14:paraId="402B2C31"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50.23%</w:t>
            </w:r>
          </w:p>
        </w:tc>
        <w:tc>
          <w:tcPr>
            <w:tcW w:w="920" w:type="dxa"/>
            <w:tcBorders>
              <w:top w:val="nil"/>
              <w:left w:val="nil"/>
              <w:bottom w:val="single" w:sz="4" w:space="0" w:color="auto"/>
              <w:right w:val="single" w:sz="4" w:space="0" w:color="auto"/>
            </w:tcBorders>
            <w:shd w:val="clear" w:color="000000" w:fill="D9D9D9"/>
            <w:noWrap/>
            <w:vAlign w:val="bottom"/>
            <w:hideMark/>
          </w:tcPr>
          <w:p w14:paraId="534B3B6D"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8.79%</w:t>
            </w:r>
          </w:p>
        </w:tc>
        <w:tc>
          <w:tcPr>
            <w:tcW w:w="920" w:type="dxa"/>
            <w:tcBorders>
              <w:top w:val="nil"/>
              <w:left w:val="nil"/>
              <w:bottom w:val="single" w:sz="4" w:space="0" w:color="auto"/>
              <w:right w:val="single" w:sz="4" w:space="0" w:color="auto"/>
            </w:tcBorders>
            <w:shd w:val="clear" w:color="000000" w:fill="D9D9D9"/>
            <w:noWrap/>
            <w:vAlign w:val="bottom"/>
            <w:hideMark/>
          </w:tcPr>
          <w:p w14:paraId="0833B1EC"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0.04%</w:t>
            </w:r>
          </w:p>
        </w:tc>
        <w:tc>
          <w:tcPr>
            <w:tcW w:w="920" w:type="dxa"/>
            <w:tcBorders>
              <w:top w:val="nil"/>
              <w:left w:val="nil"/>
              <w:bottom w:val="single" w:sz="4" w:space="0" w:color="auto"/>
              <w:right w:val="single" w:sz="4" w:space="0" w:color="auto"/>
            </w:tcBorders>
            <w:shd w:val="clear" w:color="000000" w:fill="D9D9D9"/>
            <w:noWrap/>
            <w:vAlign w:val="bottom"/>
            <w:hideMark/>
          </w:tcPr>
          <w:p w14:paraId="423D5EBC"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49.73%</w:t>
            </w:r>
          </w:p>
        </w:tc>
      </w:tr>
      <w:tr w:rsidR="00EB0778" w:rsidRPr="000F461B" w14:paraId="7A925329" w14:textId="77777777" w:rsidTr="00475C6D">
        <w:trPr>
          <w:trHeight w:val="290"/>
        </w:trPr>
        <w:tc>
          <w:tcPr>
            <w:tcW w:w="1080" w:type="dxa"/>
            <w:tcBorders>
              <w:top w:val="nil"/>
              <w:left w:val="single" w:sz="4" w:space="0" w:color="auto"/>
              <w:bottom w:val="single" w:sz="4" w:space="0" w:color="auto"/>
              <w:right w:val="single" w:sz="4" w:space="0" w:color="auto"/>
            </w:tcBorders>
            <w:shd w:val="clear" w:color="F7CAAC" w:fill="F7CAAC"/>
            <w:noWrap/>
            <w:vAlign w:val="bottom"/>
            <w:hideMark/>
          </w:tcPr>
          <w:p w14:paraId="02C84883"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MNBBL</w:t>
            </w:r>
          </w:p>
        </w:tc>
        <w:tc>
          <w:tcPr>
            <w:tcW w:w="1080" w:type="dxa"/>
            <w:tcBorders>
              <w:top w:val="nil"/>
              <w:left w:val="nil"/>
              <w:bottom w:val="single" w:sz="4" w:space="0" w:color="auto"/>
              <w:right w:val="single" w:sz="4" w:space="0" w:color="auto"/>
            </w:tcBorders>
            <w:shd w:val="clear" w:color="F7CAAC" w:fill="F7CAAC"/>
            <w:noWrap/>
            <w:vAlign w:val="bottom"/>
            <w:hideMark/>
          </w:tcPr>
          <w:p w14:paraId="58927413"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2024/25</w:t>
            </w:r>
          </w:p>
        </w:tc>
        <w:tc>
          <w:tcPr>
            <w:tcW w:w="1080" w:type="dxa"/>
            <w:tcBorders>
              <w:top w:val="nil"/>
              <w:left w:val="nil"/>
              <w:bottom w:val="single" w:sz="4" w:space="0" w:color="auto"/>
              <w:right w:val="single" w:sz="4" w:space="0" w:color="auto"/>
            </w:tcBorders>
            <w:shd w:val="clear" w:color="F7CAAC" w:fill="F7CAAC"/>
            <w:noWrap/>
            <w:vAlign w:val="bottom"/>
            <w:hideMark/>
          </w:tcPr>
          <w:p w14:paraId="057BD65F"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Feb-Mar</w:t>
            </w:r>
          </w:p>
        </w:tc>
        <w:tc>
          <w:tcPr>
            <w:tcW w:w="920" w:type="dxa"/>
            <w:tcBorders>
              <w:top w:val="nil"/>
              <w:left w:val="nil"/>
              <w:bottom w:val="single" w:sz="4" w:space="0" w:color="auto"/>
              <w:right w:val="single" w:sz="4" w:space="0" w:color="auto"/>
            </w:tcBorders>
            <w:shd w:val="clear" w:color="000000" w:fill="D9D9D9"/>
            <w:noWrap/>
            <w:vAlign w:val="bottom"/>
            <w:hideMark/>
          </w:tcPr>
          <w:p w14:paraId="7ADBC057"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2.19%</w:t>
            </w:r>
          </w:p>
        </w:tc>
        <w:tc>
          <w:tcPr>
            <w:tcW w:w="920" w:type="dxa"/>
            <w:tcBorders>
              <w:top w:val="nil"/>
              <w:left w:val="nil"/>
              <w:bottom w:val="single" w:sz="4" w:space="0" w:color="auto"/>
              <w:right w:val="single" w:sz="4" w:space="0" w:color="auto"/>
            </w:tcBorders>
            <w:shd w:val="clear" w:color="000000" w:fill="D9D9D9"/>
            <w:noWrap/>
            <w:vAlign w:val="bottom"/>
            <w:hideMark/>
          </w:tcPr>
          <w:p w14:paraId="5B6ED4E5"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35.94%</w:t>
            </w:r>
          </w:p>
        </w:tc>
        <w:tc>
          <w:tcPr>
            <w:tcW w:w="920" w:type="dxa"/>
            <w:tcBorders>
              <w:top w:val="nil"/>
              <w:left w:val="nil"/>
              <w:bottom w:val="single" w:sz="4" w:space="0" w:color="auto"/>
              <w:right w:val="single" w:sz="4" w:space="0" w:color="auto"/>
            </w:tcBorders>
            <w:shd w:val="clear" w:color="000000" w:fill="D9D9D9"/>
            <w:noWrap/>
            <w:vAlign w:val="bottom"/>
            <w:hideMark/>
          </w:tcPr>
          <w:p w14:paraId="45EA48CE"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56.10%</w:t>
            </w:r>
          </w:p>
        </w:tc>
        <w:tc>
          <w:tcPr>
            <w:tcW w:w="920" w:type="dxa"/>
            <w:tcBorders>
              <w:top w:val="nil"/>
              <w:left w:val="nil"/>
              <w:bottom w:val="single" w:sz="4" w:space="0" w:color="auto"/>
              <w:right w:val="single" w:sz="4" w:space="0" w:color="auto"/>
            </w:tcBorders>
            <w:shd w:val="clear" w:color="000000" w:fill="D9D9D9"/>
            <w:noWrap/>
            <w:vAlign w:val="bottom"/>
            <w:hideMark/>
          </w:tcPr>
          <w:p w14:paraId="47F7EB17"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5.68%</w:t>
            </w:r>
          </w:p>
        </w:tc>
        <w:tc>
          <w:tcPr>
            <w:tcW w:w="920" w:type="dxa"/>
            <w:tcBorders>
              <w:top w:val="nil"/>
              <w:left w:val="nil"/>
              <w:bottom w:val="single" w:sz="4" w:space="0" w:color="auto"/>
              <w:right w:val="single" w:sz="4" w:space="0" w:color="auto"/>
            </w:tcBorders>
            <w:shd w:val="clear" w:color="000000" w:fill="D9D9D9"/>
            <w:noWrap/>
            <w:vAlign w:val="bottom"/>
            <w:hideMark/>
          </w:tcPr>
          <w:p w14:paraId="0D02AC8C"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0.08%</w:t>
            </w:r>
          </w:p>
        </w:tc>
        <w:tc>
          <w:tcPr>
            <w:tcW w:w="920" w:type="dxa"/>
            <w:tcBorders>
              <w:top w:val="nil"/>
              <w:left w:val="nil"/>
              <w:bottom w:val="single" w:sz="4" w:space="0" w:color="auto"/>
              <w:right w:val="single" w:sz="4" w:space="0" w:color="auto"/>
            </w:tcBorders>
            <w:shd w:val="clear" w:color="000000" w:fill="D9D9D9"/>
            <w:noWrap/>
            <w:vAlign w:val="bottom"/>
            <w:hideMark/>
          </w:tcPr>
          <w:p w14:paraId="3AA22C82"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43.82%</w:t>
            </w:r>
          </w:p>
        </w:tc>
      </w:tr>
      <w:tr w:rsidR="00EB0778" w:rsidRPr="000F461B" w14:paraId="3F32B5E3" w14:textId="77777777" w:rsidTr="00475C6D">
        <w:trPr>
          <w:trHeight w:val="290"/>
        </w:trPr>
        <w:tc>
          <w:tcPr>
            <w:tcW w:w="1080" w:type="dxa"/>
            <w:tcBorders>
              <w:top w:val="nil"/>
              <w:left w:val="single" w:sz="4" w:space="0" w:color="auto"/>
              <w:bottom w:val="single" w:sz="4" w:space="0" w:color="auto"/>
              <w:right w:val="single" w:sz="4" w:space="0" w:color="auto"/>
            </w:tcBorders>
            <w:shd w:val="clear" w:color="F7CAAC" w:fill="F7CAAC"/>
            <w:noWrap/>
            <w:vAlign w:val="bottom"/>
            <w:hideMark/>
          </w:tcPr>
          <w:p w14:paraId="5A8D473A"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JBBL</w:t>
            </w:r>
          </w:p>
        </w:tc>
        <w:tc>
          <w:tcPr>
            <w:tcW w:w="1080" w:type="dxa"/>
            <w:tcBorders>
              <w:top w:val="nil"/>
              <w:left w:val="nil"/>
              <w:bottom w:val="single" w:sz="4" w:space="0" w:color="auto"/>
              <w:right w:val="single" w:sz="4" w:space="0" w:color="auto"/>
            </w:tcBorders>
            <w:shd w:val="clear" w:color="F7CAAC" w:fill="F7CAAC"/>
            <w:noWrap/>
            <w:vAlign w:val="bottom"/>
            <w:hideMark/>
          </w:tcPr>
          <w:p w14:paraId="78F2554F"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2024/25</w:t>
            </w:r>
          </w:p>
        </w:tc>
        <w:tc>
          <w:tcPr>
            <w:tcW w:w="1080" w:type="dxa"/>
            <w:tcBorders>
              <w:top w:val="nil"/>
              <w:left w:val="nil"/>
              <w:bottom w:val="single" w:sz="4" w:space="0" w:color="auto"/>
              <w:right w:val="single" w:sz="4" w:space="0" w:color="auto"/>
            </w:tcBorders>
            <w:shd w:val="clear" w:color="F7CAAC" w:fill="F7CAAC"/>
            <w:noWrap/>
            <w:vAlign w:val="bottom"/>
            <w:hideMark/>
          </w:tcPr>
          <w:p w14:paraId="03BF9E5B"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Feb-Mar</w:t>
            </w:r>
          </w:p>
        </w:tc>
        <w:tc>
          <w:tcPr>
            <w:tcW w:w="920" w:type="dxa"/>
            <w:tcBorders>
              <w:top w:val="nil"/>
              <w:left w:val="nil"/>
              <w:bottom w:val="single" w:sz="4" w:space="0" w:color="auto"/>
              <w:right w:val="single" w:sz="4" w:space="0" w:color="auto"/>
            </w:tcBorders>
            <w:shd w:val="clear" w:color="000000" w:fill="D9D9D9"/>
            <w:noWrap/>
            <w:vAlign w:val="bottom"/>
            <w:hideMark/>
          </w:tcPr>
          <w:p w14:paraId="692AB6D6"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2.13%</w:t>
            </w:r>
          </w:p>
        </w:tc>
        <w:tc>
          <w:tcPr>
            <w:tcW w:w="920" w:type="dxa"/>
            <w:tcBorders>
              <w:top w:val="nil"/>
              <w:left w:val="nil"/>
              <w:bottom w:val="single" w:sz="4" w:space="0" w:color="auto"/>
              <w:right w:val="single" w:sz="4" w:space="0" w:color="auto"/>
            </w:tcBorders>
            <w:shd w:val="clear" w:color="000000" w:fill="D9D9D9"/>
            <w:noWrap/>
            <w:vAlign w:val="bottom"/>
            <w:hideMark/>
          </w:tcPr>
          <w:p w14:paraId="26B52F46"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42.65%</w:t>
            </w:r>
          </w:p>
        </w:tc>
        <w:tc>
          <w:tcPr>
            <w:tcW w:w="920" w:type="dxa"/>
            <w:tcBorders>
              <w:top w:val="nil"/>
              <w:left w:val="nil"/>
              <w:bottom w:val="single" w:sz="4" w:space="0" w:color="auto"/>
              <w:right w:val="single" w:sz="4" w:space="0" w:color="auto"/>
            </w:tcBorders>
            <w:shd w:val="clear" w:color="000000" w:fill="D9D9D9"/>
            <w:noWrap/>
            <w:vAlign w:val="bottom"/>
            <w:hideMark/>
          </w:tcPr>
          <w:p w14:paraId="0FE349C1"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46.46%</w:t>
            </w:r>
          </w:p>
        </w:tc>
        <w:tc>
          <w:tcPr>
            <w:tcW w:w="920" w:type="dxa"/>
            <w:tcBorders>
              <w:top w:val="nil"/>
              <w:left w:val="nil"/>
              <w:bottom w:val="single" w:sz="4" w:space="0" w:color="auto"/>
              <w:right w:val="single" w:sz="4" w:space="0" w:color="auto"/>
            </w:tcBorders>
            <w:shd w:val="clear" w:color="000000" w:fill="D9D9D9"/>
            <w:noWrap/>
            <w:vAlign w:val="bottom"/>
            <w:hideMark/>
          </w:tcPr>
          <w:p w14:paraId="1D9122DE"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8.63%</w:t>
            </w:r>
          </w:p>
        </w:tc>
        <w:tc>
          <w:tcPr>
            <w:tcW w:w="920" w:type="dxa"/>
            <w:tcBorders>
              <w:top w:val="nil"/>
              <w:left w:val="nil"/>
              <w:bottom w:val="single" w:sz="4" w:space="0" w:color="auto"/>
              <w:right w:val="single" w:sz="4" w:space="0" w:color="auto"/>
            </w:tcBorders>
            <w:shd w:val="clear" w:color="000000" w:fill="D9D9D9"/>
            <w:noWrap/>
            <w:vAlign w:val="bottom"/>
            <w:hideMark/>
          </w:tcPr>
          <w:p w14:paraId="63F36980"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0.13%</w:t>
            </w:r>
          </w:p>
        </w:tc>
        <w:tc>
          <w:tcPr>
            <w:tcW w:w="920" w:type="dxa"/>
            <w:tcBorders>
              <w:top w:val="nil"/>
              <w:left w:val="nil"/>
              <w:bottom w:val="single" w:sz="4" w:space="0" w:color="auto"/>
              <w:right w:val="single" w:sz="4" w:space="0" w:color="auto"/>
            </w:tcBorders>
            <w:shd w:val="clear" w:color="000000" w:fill="D9D9D9"/>
            <w:noWrap/>
            <w:vAlign w:val="bottom"/>
            <w:hideMark/>
          </w:tcPr>
          <w:p w14:paraId="0C233EF3"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53.41%</w:t>
            </w:r>
          </w:p>
        </w:tc>
      </w:tr>
      <w:tr w:rsidR="00EB0778" w:rsidRPr="000F461B" w14:paraId="19FACB7C" w14:textId="77777777" w:rsidTr="00475C6D">
        <w:trPr>
          <w:trHeight w:val="290"/>
        </w:trPr>
        <w:tc>
          <w:tcPr>
            <w:tcW w:w="1080" w:type="dxa"/>
            <w:tcBorders>
              <w:top w:val="nil"/>
              <w:left w:val="single" w:sz="4" w:space="0" w:color="auto"/>
              <w:bottom w:val="single" w:sz="4" w:space="0" w:color="auto"/>
              <w:right w:val="single" w:sz="4" w:space="0" w:color="auto"/>
            </w:tcBorders>
            <w:shd w:val="clear" w:color="F7CAAC" w:fill="F7CAAC"/>
            <w:noWrap/>
            <w:vAlign w:val="bottom"/>
            <w:hideMark/>
          </w:tcPr>
          <w:p w14:paraId="1778957E"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MLBL</w:t>
            </w:r>
          </w:p>
        </w:tc>
        <w:tc>
          <w:tcPr>
            <w:tcW w:w="1080" w:type="dxa"/>
            <w:tcBorders>
              <w:top w:val="nil"/>
              <w:left w:val="nil"/>
              <w:bottom w:val="single" w:sz="4" w:space="0" w:color="auto"/>
              <w:right w:val="single" w:sz="4" w:space="0" w:color="auto"/>
            </w:tcBorders>
            <w:shd w:val="clear" w:color="F7CAAC" w:fill="F7CAAC"/>
            <w:noWrap/>
            <w:vAlign w:val="bottom"/>
            <w:hideMark/>
          </w:tcPr>
          <w:p w14:paraId="080BB5F4"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2024/25</w:t>
            </w:r>
          </w:p>
        </w:tc>
        <w:tc>
          <w:tcPr>
            <w:tcW w:w="1080" w:type="dxa"/>
            <w:tcBorders>
              <w:top w:val="nil"/>
              <w:left w:val="nil"/>
              <w:bottom w:val="single" w:sz="4" w:space="0" w:color="auto"/>
              <w:right w:val="single" w:sz="4" w:space="0" w:color="auto"/>
            </w:tcBorders>
            <w:shd w:val="clear" w:color="F7CAAC" w:fill="F7CAAC"/>
            <w:noWrap/>
            <w:vAlign w:val="bottom"/>
            <w:hideMark/>
          </w:tcPr>
          <w:p w14:paraId="44500770" w14:textId="77777777" w:rsidR="00EB0778" w:rsidRPr="000F461B" w:rsidRDefault="00EB0778" w:rsidP="00EB0778">
            <w:pPr>
              <w:spacing w:after="0"/>
              <w:rPr>
                <w:rFonts w:ascii="Times New Roman" w:eastAsia="Times New Roman" w:hAnsi="Times New Roman" w:cs="Times New Roman"/>
                <w:color w:val="000000"/>
              </w:rPr>
            </w:pPr>
            <w:r w:rsidRPr="000F461B">
              <w:rPr>
                <w:rFonts w:ascii="Times New Roman" w:eastAsia="Times New Roman" w:hAnsi="Times New Roman" w:cs="Times New Roman"/>
                <w:color w:val="000000"/>
              </w:rPr>
              <w:t>Feb-Mar</w:t>
            </w:r>
          </w:p>
        </w:tc>
        <w:tc>
          <w:tcPr>
            <w:tcW w:w="920" w:type="dxa"/>
            <w:tcBorders>
              <w:top w:val="nil"/>
              <w:left w:val="nil"/>
              <w:bottom w:val="single" w:sz="4" w:space="0" w:color="auto"/>
              <w:right w:val="single" w:sz="4" w:space="0" w:color="auto"/>
            </w:tcBorders>
            <w:shd w:val="clear" w:color="000000" w:fill="D9D9D9"/>
            <w:noWrap/>
            <w:vAlign w:val="bottom"/>
            <w:hideMark/>
          </w:tcPr>
          <w:p w14:paraId="4D3A3D90"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2.50%</w:t>
            </w:r>
          </w:p>
        </w:tc>
        <w:tc>
          <w:tcPr>
            <w:tcW w:w="920" w:type="dxa"/>
            <w:tcBorders>
              <w:top w:val="nil"/>
              <w:left w:val="nil"/>
              <w:bottom w:val="single" w:sz="4" w:space="0" w:color="auto"/>
              <w:right w:val="single" w:sz="4" w:space="0" w:color="auto"/>
            </w:tcBorders>
            <w:shd w:val="clear" w:color="000000" w:fill="D9D9D9"/>
            <w:noWrap/>
            <w:vAlign w:val="bottom"/>
            <w:hideMark/>
          </w:tcPr>
          <w:p w14:paraId="4E588A0A"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45.83%</w:t>
            </w:r>
          </w:p>
        </w:tc>
        <w:tc>
          <w:tcPr>
            <w:tcW w:w="920" w:type="dxa"/>
            <w:tcBorders>
              <w:top w:val="nil"/>
              <w:left w:val="nil"/>
              <w:bottom w:val="single" w:sz="4" w:space="0" w:color="auto"/>
              <w:right w:val="single" w:sz="4" w:space="0" w:color="auto"/>
            </w:tcBorders>
            <w:shd w:val="clear" w:color="000000" w:fill="D9D9D9"/>
            <w:noWrap/>
            <w:vAlign w:val="bottom"/>
            <w:hideMark/>
          </w:tcPr>
          <w:p w14:paraId="35B47B79"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43.61%</w:t>
            </w:r>
          </w:p>
        </w:tc>
        <w:tc>
          <w:tcPr>
            <w:tcW w:w="920" w:type="dxa"/>
            <w:tcBorders>
              <w:top w:val="nil"/>
              <w:left w:val="nil"/>
              <w:bottom w:val="single" w:sz="4" w:space="0" w:color="auto"/>
              <w:right w:val="single" w:sz="4" w:space="0" w:color="auto"/>
            </w:tcBorders>
            <w:shd w:val="clear" w:color="000000" w:fill="D9D9D9"/>
            <w:noWrap/>
            <w:vAlign w:val="bottom"/>
            <w:hideMark/>
          </w:tcPr>
          <w:p w14:paraId="67F1A2A0"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7.19%</w:t>
            </w:r>
          </w:p>
        </w:tc>
        <w:tc>
          <w:tcPr>
            <w:tcW w:w="920" w:type="dxa"/>
            <w:tcBorders>
              <w:top w:val="nil"/>
              <w:left w:val="nil"/>
              <w:bottom w:val="single" w:sz="4" w:space="0" w:color="auto"/>
              <w:right w:val="single" w:sz="4" w:space="0" w:color="auto"/>
            </w:tcBorders>
            <w:shd w:val="clear" w:color="000000" w:fill="D9D9D9"/>
            <w:noWrap/>
            <w:vAlign w:val="bottom"/>
            <w:hideMark/>
          </w:tcPr>
          <w:p w14:paraId="3BF8D3E1"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0.87%</w:t>
            </w:r>
          </w:p>
        </w:tc>
        <w:tc>
          <w:tcPr>
            <w:tcW w:w="920" w:type="dxa"/>
            <w:tcBorders>
              <w:top w:val="nil"/>
              <w:left w:val="nil"/>
              <w:bottom w:val="single" w:sz="4" w:space="0" w:color="auto"/>
              <w:right w:val="single" w:sz="4" w:space="0" w:color="auto"/>
            </w:tcBorders>
            <w:shd w:val="clear" w:color="000000" w:fill="D9D9D9"/>
            <w:noWrap/>
            <w:vAlign w:val="bottom"/>
            <w:hideMark/>
          </w:tcPr>
          <w:p w14:paraId="53E52CF6" w14:textId="77777777" w:rsidR="00EB0778" w:rsidRPr="000F461B" w:rsidRDefault="00EB0778" w:rsidP="00EB0778">
            <w:pPr>
              <w:spacing w:after="0"/>
              <w:jc w:val="right"/>
              <w:rPr>
                <w:rFonts w:ascii="Times New Roman" w:eastAsia="Times New Roman" w:hAnsi="Times New Roman" w:cs="Times New Roman"/>
                <w:color w:val="000000"/>
              </w:rPr>
            </w:pPr>
            <w:r w:rsidRPr="000F461B">
              <w:rPr>
                <w:rFonts w:ascii="Times New Roman" w:eastAsia="Times New Roman" w:hAnsi="Times New Roman" w:cs="Times New Roman"/>
                <w:color w:val="000000"/>
              </w:rPr>
              <w:t>55.52%</w:t>
            </w:r>
          </w:p>
        </w:tc>
      </w:tr>
    </w:tbl>
    <w:p w14:paraId="455D2006" w14:textId="77777777" w:rsidR="00EB0778" w:rsidRPr="000F461B" w:rsidRDefault="00EB0778" w:rsidP="00EB0778">
      <w:pPr>
        <w:rPr>
          <w:rFonts w:ascii="Times New Roman" w:hAnsi="Times New Roman" w:cs="Times New Roman"/>
          <w:b/>
        </w:rPr>
      </w:pPr>
    </w:p>
    <w:p w14:paraId="20A26710" w14:textId="77777777" w:rsidR="00EB0778" w:rsidRPr="000F461B" w:rsidRDefault="00EB0778" w:rsidP="00EB0778">
      <w:pPr>
        <w:jc w:val="both"/>
        <w:rPr>
          <w:rFonts w:ascii="Times New Roman" w:hAnsi="Times New Roman" w:cs="Times New Roman"/>
        </w:rPr>
      </w:pPr>
      <w:r w:rsidRPr="000F461B">
        <w:rPr>
          <w:rFonts w:ascii="Times New Roman" w:hAnsi="Times New Roman" w:cs="Times New Roman"/>
        </w:rPr>
        <w:t xml:space="preserve">The table provides a breakdown of deposit types (Current, Savings, Fixed, Call, and Others) as percentages of total deposits for each bank, along with a combined percentage for Current, Savings, and Call deposits. </w:t>
      </w:r>
    </w:p>
    <w:p w14:paraId="1158A556" w14:textId="77777777" w:rsidR="00EB0778" w:rsidRPr="000F461B" w:rsidRDefault="00EB0778" w:rsidP="00EB0778">
      <w:pPr>
        <w:jc w:val="both"/>
        <w:rPr>
          <w:rFonts w:ascii="Times New Roman" w:hAnsi="Times New Roman" w:cs="Times New Roman"/>
        </w:rPr>
      </w:pPr>
      <w:r w:rsidRPr="000F461B">
        <w:rPr>
          <w:rFonts w:ascii="Times New Roman" w:hAnsi="Times New Roman" w:cs="Times New Roman"/>
        </w:rPr>
        <w:lastRenderedPageBreak/>
        <w:t>Cost-Efficient Funding: MLBL leads in CASA composition (55.52%), indicating a strong reliance on low-cost deposits, which can enhance profitability. SHINE and GBBL have a healthy CASA ratio, striking a balance between low-cost deposits and fixed deposits.</w:t>
      </w:r>
    </w:p>
    <w:p w14:paraId="10CB8386" w14:textId="77777777" w:rsidR="00EB0778" w:rsidRPr="000F461B" w:rsidRDefault="00EB0778" w:rsidP="00EB0778">
      <w:pPr>
        <w:jc w:val="both"/>
        <w:rPr>
          <w:rFonts w:ascii="Times New Roman" w:hAnsi="Times New Roman" w:cs="Times New Roman"/>
          <w:b/>
        </w:rPr>
      </w:pPr>
      <w:r w:rsidRPr="000F461B">
        <w:rPr>
          <w:rFonts w:ascii="Times New Roman" w:hAnsi="Times New Roman" w:cs="Times New Roman"/>
        </w:rPr>
        <w:t>Higher Costs. SADBL's reliance on fixed deposits (63.42%) increases funding costs, potentially impacting its net interest margin. LBBL's low CASA ratio (36.54%) reflects limited low-cost deposits, which may pressure profitability</w:t>
      </w:r>
      <w:r w:rsidRPr="000F461B">
        <w:rPr>
          <w:rFonts w:ascii="Times New Roman" w:hAnsi="Times New Roman" w:cs="Times New Roman"/>
          <w:b/>
        </w:rPr>
        <w:t>.</w:t>
      </w:r>
    </w:p>
    <w:p w14:paraId="6A8176C1" w14:textId="77777777" w:rsidR="00EB0778" w:rsidRPr="000F461B" w:rsidRDefault="00EB0778" w:rsidP="00EB0778">
      <w:pPr>
        <w:jc w:val="both"/>
        <w:rPr>
          <w:rFonts w:ascii="Times New Roman" w:hAnsi="Times New Roman" w:cs="Times New Roman"/>
          <w:b/>
          <w:highlight w:val="yellow"/>
          <w:u w:val="single"/>
        </w:rPr>
      </w:pPr>
      <w:r w:rsidRPr="000F461B">
        <w:rPr>
          <w:rFonts w:ascii="Times New Roman" w:hAnsi="Times New Roman" w:cs="Times New Roman"/>
          <w:b/>
          <w:u w:val="single"/>
        </w:rPr>
        <w:t>Conclusion</w:t>
      </w:r>
    </w:p>
    <w:p w14:paraId="03B5CA78" w14:textId="77777777" w:rsidR="00EB0778" w:rsidRPr="000F461B" w:rsidRDefault="00EB0778" w:rsidP="00EB0778">
      <w:pPr>
        <w:jc w:val="both"/>
        <w:rPr>
          <w:rFonts w:ascii="Times New Roman" w:hAnsi="Times New Roman" w:cs="Times New Roman"/>
        </w:rPr>
      </w:pPr>
      <w:r w:rsidRPr="000F461B">
        <w:rPr>
          <w:rFonts w:ascii="Times New Roman" w:hAnsi="Times New Roman" w:cs="Times New Roman"/>
        </w:rPr>
        <w:t xml:space="preserve">The performance of Nepal's national-level development banks reflects a mixed scenario with some banks demonstrating strong financial and operational efficiency, while others face challenges in profitability, asset quality, and funding strategies. Banks like KSBBL, MNBBL and GBBL stand out for their robust loan and deposit growth, high CASA ratios, and consistent dividend payouts, indicating stable financial health and operational effectiveness. </w:t>
      </w:r>
    </w:p>
    <w:p w14:paraId="702516D6" w14:textId="77777777" w:rsidR="00EB0778" w:rsidRPr="000F461B" w:rsidRDefault="00EB0778" w:rsidP="00EB0778">
      <w:pPr>
        <w:jc w:val="both"/>
        <w:rPr>
          <w:rFonts w:ascii="Times New Roman" w:hAnsi="Times New Roman" w:cs="Times New Roman"/>
        </w:rPr>
      </w:pPr>
      <w:r w:rsidRPr="000F461B">
        <w:rPr>
          <w:rFonts w:ascii="Times New Roman" w:hAnsi="Times New Roman" w:cs="Times New Roman"/>
        </w:rPr>
        <w:t>The regulatory metrics indicate that most banks maintain adequate capital adequacy ratios, but JBBL's high non-performing loans (4.98%) and declining profitability highlight significant credit risk. LBBL presents the most concerning risk profile across multiple dimensions: highest NPL ratio (7.18%), severely decreased earnings and aggressive impairment charges</w:t>
      </w:r>
    </w:p>
    <w:p w14:paraId="605CADB2" w14:textId="4C2E772A" w:rsidR="00EB0778" w:rsidRPr="00EB0778" w:rsidRDefault="00EB0778" w:rsidP="00EB0778">
      <w:pPr>
        <w:rPr>
          <w:rFonts w:ascii="Times New Roman" w:hAnsi="Times New Roman" w:cs="Times New Roman"/>
          <w:highlight w:val="yellow"/>
        </w:rPr>
      </w:pPr>
      <w:r w:rsidRPr="000F461B">
        <w:rPr>
          <w:rFonts w:ascii="Times New Roman" w:hAnsi="Times New Roman" w:cs="Times New Roman"/>
        </w:rPr>
        <w:t xml:space="preserve">KSBBL Presents the strongest investment case with sector-leading asset quality (4.27% NPL), robust earnings growth (48.41% YoY), attractive valuation (P/E 24.22x), and strong dividend yield (4.18%). Similarly, MNBBL, GBBL and SHINE should be kept in watchlist. </w:t>
      </w:r>
    </w:p>
    <w:p w14:paraId="5E8081AB" w14:textId="77777777" w:rsidR="00EB0778" w:rsidRPr="000F461B" w:rsidRDefault="00EB0778" w:rsidP="00EB0778">
      <w:pPr>
        <w:rPr>
          <w:rFonts w:ascii="Times New Roman" w:hAnsi="Times New Roman" w:cs="Times New Roman"/>
          <w:highlight w:val="yellow"/>
        </w:rPr>
      </w:pPr>
    </w:p>
    <w:p w14:paraId="11393060" w14:textId="307D4EA8" w:rsidR="001371CC" w:rsidRPr="00FE6A04" w:rsidRDefault="001371CC" w:rsidP="00EB0778">
      <w:pPr>
        <w:rPr>
          <w:rFonts w:ascii="Times New Roman" w:hAnsi="Times New Roman" w:cs="Times New Roman"/>
        </w:rPr>
      </w:pPr>
      <w:r w:rsidRPr="00FE6A04">
        <w:rPr>
          <w:rFonts w:ascii="Times New Roman" w:hAnsi="Times New Roman" w:cs="Times New Roman"/>
          <w:b/>
        </w:rPr>
        <w:t>Disclaimer:</w:t>
      </w:r>
    </w:p>
    <w:p w14:paraId="5A018AC5" w14:textId="77777777" w:rsidR="001371CC" w:rsidRPr="00FE6A04" w:rsidRDefault="001371CC" w:rsidP="00EB0778">
      <w:pPr>
        <w:pStyle w:val="ListParagraph"/>
        <w:numPr>
          <w:ilvl w:val="0"/>
          <w:numId w:val="6"/>
        </w:numPr>
        <w:spacing w:after="120" w:line="360" w:lineRule="auto"/>
        <w:ind w:left="0" w:firstLine="0"/>
        <w:rPr>
          <w:rFonts w:ascii="Times New Roman" w:hAnsi="Times New Roman" w:cs="Times New Roman"/>
          <w:i/>
          <w:u w:val="single"/>
        </w:rPr>
      </w:pPr>
      <w:r w:rsidRPr="00FE6A04">
        <w:rPr>
          <w:rFonts w:ascii="Times New Roman" w:hAnsi="Times New Roman" w:cs="Times New Roman"/>
          <w:i/>
          <w:u w:val="single"/>
        </w:rPr>
        <w:t>This report is based on publicly available data and is intended for informational purposes only. Any decision made based on this report are solely at the viewer discretion.</w:t>
      </w:r>
    </w:p>
    <w:p w14:paraId="083594BE" w14:textId="77777777" w:rsidR="001371CC" w:rsidRPr="0008240F" w:rsidRDefault="001371CC" w:rsidP="00EB0778">
      <w:pPr>
        <w:jc w:val="both"/>
        <w:rPr>
          <w:rFonts w:ascii="Times New Roman" w:hAnsi="Times New Roman" w:cs="Times New Roman"/>
        </w:rPr>
      </w:pPr>
    </w:p>
    <w:p w14:paraId="0A97E317" w14:textId="77777777" w:rsidR="00F1623B" w:rsidRPr="0008240F" w:rsidRDefault="00F1623B" w:rsidP="00EB0778">
      <w:pPr>
        <w:rPr>
          <w:rFonts w:ascii="Times New Roman" w:hAnsi="Times New Roman" w:cs="Times New Roman"/>
        </w:rPr>
      </w:pPr>
    </w:p>
    <w:sectPr w:rsidR="00F1623B" w:rsidRPr="0008240F" w:rsidSect="00011F94">
      <w:headerReference w:type="default" r:id="rId18"/>
      <w:footerReference w:type="default" r:id="rId19"/>
      <w:pgSz w:w="12240" w:h="15840"/>
      <w:pgMar w:top="1080" w:right="1440" w:bottom="720" w:left="1440" w:header="720" w:footer="3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2955E6" w14:textId="77777777" w:rsidR="000D0A05" w:rsidRDefault="000D0A05" w:rsidP="00863DD8">
      <w:pPr>
        <w:spacing w:after="0" w:line="240" w:lineRule="auto"/>
      </w:pPr>
      <w:r>
        <w:separator/>
      </w:r>
    </w:p>
  </w:endnote>
  <w:endnote w:type="continuationSeparator" w:id="0">
    <w:p w14:paraId="63ABCEA4" w14:textId="77777777" w:rsidR="000D0A05" w:rsidRDefault="000D0A05" w:rsidP="00863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00022FF" w:usb1="C000205B" w:usb2="0000000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9148849"/>
      <w:docPartObj>
        <w:docPartGallery w:val="Page Numbers (Bottom of Page)"/>
        <w:docPartUnique/>
      </w:docPartObj>
    </w:sdtPr>
    <w:sdtEndPr>
      <w:rPr>
        <w:color w:val="7F7F7F" w:themeColor="background1" w:themeShade="7F"/>
        <w:spacing w:val="60"/>
      </w:rPr>
    </w:sdtEndPr>
    <w:sdtContent>
      <w:p w14:paraId="19108F9D" w14:textId="77777777" w:rsidR="000D0A05" w:rsidRDefault="000D0A0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B623741" w14:textId="77777777" w:rsidR="000D0A05" w:rsidRDefault="000D0A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BF1A9C" w14:textId="77777777" w:rsidR="000D0A05" w:rsidRDefault="000D0A05" w:rsidP="00863DD8">
      <w:pPr>
        <w:spacing w:after="0" w:line="240" w:lineRule="auto"/>
      </w:pPr>
      <w:r>
        <w:separator/>
      </w:r>
    </w:p>
  </w:footnote>
  <w:footnote w:type="continuationSeparator" w:id="0">
    <w:p w14:paraId="4AC619DA" w14:textId="77777777" w:rsidR="000D0A05" w:rsidRDefault="000D0A05" w:rsidP="00863D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F177E" w14:textId="77777777" w:rsidR="000D0A05" w:rsidRDefault="000D0A05">
    <w:pPr>
      <w:pStyle w:val="Header"/>
    </w:pPr>
    <w:r>
      <w:rPr>
        <w:noProof/>
      </w:rPr>
      <w:drawing>
        <wp:anchor distT="0" distB="0" distL="114300" distR="114300" simplePos="0" relativeHeight="251659264" behindDoc="0" locked="0" layoutInCell="1" allowOverlap="1" wp14:anchorId="36603198" wp14:editId="235B697D">
          <wp:simplePos x="0" y="0"/>
          <wp:positionH relativeFrom="column">
            <wp:posOffset>4281463</wp:posOffset>
          </wp:positionH>
          <wp:positionV relativeFrom="paragraph">
            <wp:posOffset>-281012</wp:posOffset>
          </wp:positionV>
          <wp:extent cx="2297619" cy="494754"/>
          <wp:effectExtent l="0" t="0" r="7620" b="63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ima capital high resolution final - Copy.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7619" cy="49475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70843"/>
    <w:multiLevelType w:val="multilevel"/>
    <w:tmpl w:val="627E1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03290"/>
    <w:multiLevelType w:val="multilevel"/>
    <w:tmpl w:val="E19A8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A625A7"/>
    <w:multiLevelType w:val="multilevel"/>
    <w:tmpl w:val="540CB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2B49FF"/>
    <w:multiLevelType w:val="multilevel"/>
    <w:tmpl w:val="F1E2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55E34"/>
    <w:multiLevelType w:val="multilevel"/>
    <w:tmpl w:val="59E6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CE523F"/>
    <w:multiLevelType w:val="hybridMultilevel"/>
    <w:tmpl w:val="22BE5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5B67E9"/>
    <w:multiLevelType w:val="multilevel"/>
    <w:tmpl w:val="3678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6E4A5A"/>
    <w:multiLevelType w:val="multilevel"/>
    <w:tmpl w:val="49E65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3D0CE6"/>
    <w:multiLevelType w:val="multilevel"/>
    <w:tmpl w:val="F79E0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7C6167"/>
    <w:multiLevelType w:val="multilevel"/>
    <w:tmpl w:val="EDAC7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9E0396"/>
    <w:multiLevelType w:val="multilevel"/>
    <w:tmpl w:val="A2529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F976B0"/>
    <w:multiLevelType w:val="multilevel"/>
    <w:tmpl w:val="3CCCB3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840C8A"/>
    <w:multiLevelType w:val="multilevel"/>
    <w:tmpl w:val="596AA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60171C"/>
    <w:multiLevelType w:val="multilevel"/>
    <w:tmpl w:val="65C0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4609E8"/>
    <w:multiLevelType w:val="multilevel"/>
    <w:tmpl w:val="9912E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B95E4B"/>
    <w:multiLevelType w:val="multilevel"/>
    <w:tmpl w:val="6CD47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A14F0F"/>
    <w:multiLevelType w:val="multilevel"/>
    <w:tmpl w:val="5C42D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4F4B95"/>
    <w:multiLevelType w:val="multilevel"/>
    <w:tmpl w:val="B768A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554F43"/>
    <w:multiLevelType w:val="multilevel"/>
    <w:tmpl w:val="287EC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B02C57"/>
    <w:multiLevelType w:val="multilevel"/>
    <w:tmpl w:val="88DA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C8485E"/>
    <w:multiLevelType w:val="multilevel"/>
    <w:tmpl w:val="0C40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D73002"/>
    <w:multiLevelType w:val="multilevel"/>
    <w:tmpl w:val="16B43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3"/>
  </w:num>
  <w:num w:numId="3">
    <w:abstractNumId w:val="10"/>
  </w:num>
  <w:num w:numId="4">
    <w:abstractNumId w:val="2"/>
  </w:num>
  <w:num w:numId="5">
    <w:abstractNumId w:val="19"/>
  </w:num>
  <w:num w:numId="6">
    <w:abstractNumId w:val="5"/>
  </w:num>
  <w:num w:numId="7">
    <w:abstractNumId w:val="18"/>
  </w:num>
  <w:num w:numId="8">
    <w:abstractNumId w:val="16"/>
  </w:num>
  <w:num w:numId="9">
    <w:abstractNumId w:val="12"/>
  </w:num>
  <w:num w:numId="10">
    <w:abstractNumId w:val="7"/>
  </w:num>
  <w:num w:numId="11">
    <w:abstractNumId w:val="21"/>
  </w:num>
  <w:num w:numId="12">
    <w:abstractNumId w:val="0"/>
  </w:num>
  <w:num w:numId="13">
    <w:abstractNumId w:val="9"/>
  </w:num>
  <w:num w:numId="14">
    <w:abstractNumId w:val="1"/>
  </w:num>
  <w:num w:numId="15">
    <w:abstractNumId w:val="8"/>
  </w:num>
  <w:num w:numId="16">
    <w:abstractNumId w:val="17"/>
  </w:num>
  <w:num w:numId="17">
    <w:abstractNumId w:val="14"/>
  </w:num>
  <w:num w:numId="18">
    <w:abstractNumId w:val="11"/>
  </w:num>
  <w:num w:numId="19">
    <w:abstractNumId w:val="15"/>
  </w:num>
  <w:num w:numId="20">
    <w:abstractNumId w:val="20"/>
  </w:num>
  <w:num w:numId="21">
    <w:abstractNumId w:val="4"/>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825"/>
    <w:rsid w:val="000075BC"/>
    <w:rsid w:val="00011F94"/>
    <w:rsid w:val="000215BF"/>
    <w:rsid w:val="00046D5A"/>
    <w:rsid w:val="00050757"/>
    <w:rsid w:val="00062678"/>
    <w:rsid w:val="00072242"/>
    <w:rsid w:val="0008240F"/>
    <w:rsid w:val="000B0126"/>
    <w:rsid w:val="000B340E"/>
    <w:rsid w:val="000B6395"/>
    <w:rsid w:val="000D03A7"/>
    <w:rsid w:val="000D0A05"/>
    <w:rsid w:val="000F25B2"/>
    <w:rsid w:val="00112DBC"/>
    <w:rsid w:val="001371CC"/>
    <w:rsid w:val="001432A9"/>
    <w:rsid w:val="001468FD"/>
    <w:rsid w:val="00146F77"/>
    <w:rsid w:val="00150004"/>
    <w:rsid w:val="00152124"/>
    <w:rsid w:val="001814E3"/>
    <w:rsid w:val="001A7404"/>
    <w:rsid w:val="001B60C3"/>
    <w:rsid w:val="001C03E0"/>
    <w:rsid w:val="001F54CD"/>
    <w:rsid w:val="00204451"/>
    <w:rsid w:val="00220379"/>
    <w:rsid w:val="00224A56"/>
    <w:rsid w:val="00232660"/>
    <w:rsid w:val="00274C57"/>
    <w:rsid w:val="0027588D"/>
    <w:rsid w:val="002814C8"/>
    <w:rsid w:val="002952A8"/>
    <w:rsid w:val="002A74D0"/>
    <w:rsid w:val="002B0F4C"/>
    <w:rsid w:val="002B276F"/>
    <w:rsid w:val="002D35EB"/>
    <w:rsid w:val="002F35F9"/>
    <w:rsid w:val="00307701"/>
    <w:rsid w:val="00316942"/>
    <w:rsid w:val="00320C3E"/>
    <w:rsid w:val="00325BDC"/>
    <w:rsid w:val="003334EE"/>
    <w:rsid w:val="00341EBE"/>
    <w:rsid w:val="00344442"/>
    <w:rsid w:val="0034769A"/>
    <w:rsid w:val="003512A4"/>
    <w:rsid w:val="00372D41"/>
    <w:rsid w:val="0037620C"/>
    <w:rsid w:val="00392D35"/>
    <w:rsid w:val="003933A0"/>
    <w:rsid w:val="003975BA"/>
    <w:rsid w:val="003B62D8"/>
    <w:rsid w:val="003C44F2"/>
    <w:rsid w:val="003D6E5D"/>
    <w:rsid w:val="003D70A6"/>
    <w:rsid w:val="003E53FD"/>
    <w:rsid w:val="003F5D9D"/>
    <w:rsid w:val="00402961"/>
    <w:rsid w:val="00407C2E"/>
    <w:rsid w:val="0041342D"/>
    <w:rsid w:val="004144E5"/>
    <w:rsid w:val="00430C0F"/>
    <w:rsid w:val="00431782"/>
    <w:rsid w:val="00472B34"/>
    <w:rsid w:val="004806EF"/>
    <w:rsid w:val="00482BB7"/>
    <w:rsid w:val="00495AD8"/>
    <w:rsid w:val="004B5286"/>
    <w:rsid w:val="004B5B97"/>
    <w:rsid w:val="004D123E"/>
    <w:rsid w:val="004E57E9"/>
    <w:rsid w:val="004F6270"/>
    <w:rsid w:val="005354F1"/>
    <w:rsid w:val="005374CF"/>
    <w:rsid w:val="005376D9"/>
    <w:rsid w:val="00575D7D"/>
    <w:rsid w:val="005761EC"/>
    <w:rsid w:val="00581280"/>
    <w:rsid w:val="00597F3B"/>
    <w:rsid w:val="005A3873"/>
    <w:rsid w:val="005A4881"/>
    <w:rsid w:val="005C0646"/>
    <w:rsid w:val="005C3CF9"/>
    <w:rsid w:val="005E7EFE"/>
    <w:rsid w:val="005F3B85"/>
    <w:rsid w:val="005F6196"/>
    <w:rsid w:val="00600EC4"/>
    <w:rsid w:val="00623638"/>
    <w:rsid w:val="0062413B"/>
    <w:rsid w:val="006263E4"/>
    <w:rsid w:val="006301C7"/>
    <w:rsid w:val="006518FE"/>
    <w:rsid w:val="0065551C"/>
    <w:rsid w:val="00666AFB"/>
    <w:rsid w:val="00677E2B"/>
    <w:rsid w:val="006856AF"/>
    <w:rsid w:val="00685E5C"/>
    <w:rsid w:val="006C016E"/>
    <w:rsid w:val="006C5653"/>
    <w:rsid w:val="006C5A43"/>
    <w:rsid w:val="006D7F17"/>
    <w:rsid w:val="006E7239"/>
    <w:rsid w:val="006F7593"/>
    <w:rsid w:val="00715C46"/>
    <w:rsid w:val="0071787A"/>
    <w:rsid w:val="00717924"/>
    <w:rsid w:val="007259E5"/>
    <w:rsid w:val="00744A9D"/>
    <w:rsid w:val="0074577C"/>
    <w:rsid w:val="00752F53"/>
    <w:rsid w:val="007A4E08"/>
    <w:rsid w:val="007B2D17"/>
    <w:rsid w:val="007B7102"/>
    <w:rsid w:val="007C69E0"/>
    <w:rsid w:val="007E1D6B"/>
    <w:rsid w:val="007E2CEF"/>
    <w:rsid w:val="007F612B"/>
    <w:rsid w:val="008160D7"/>
    <w:rsid w:val="00830232"/>
    <w:rsid w:val="00830D8E"/>
    <w:rsid w:val="00861E7D"/>
    <w:rsid w:val="00863DD8"/>
    <w:rsid w:val="00874FB3"/>
    <w:rsid w:val="00877D1A"/>
    <w:rsid w:val="0089005B"/>
    <w:rsid w:val="008A2194"/>
    <w:rsid w:val="008B0B6E"/>
    <w:rsid w:val="008B74AD"/>
    <w:rsid w:val="008C55C5"/>
    <w:rsid w:val="008D325C"/>
    <w:rsid w:val="008F20B9"/>
    <w:rsid w:val="009077CD"/>
    <w:rsid w:val="00912BC6"/>
    <w:rsid w:val="009440C5"/>
    <w:rsid w:val="00947E59"/>
    <w:rsid w:val="00951DD7"/>
    <w:rsid w:val="00962BFF"/>
    <w:rsid w:val="00966266"/>
    <w:rsid w:val="009806FD"/>
    <w:rsid w:val="009A26F0"/>
    <w:rsid w:val="009A5485"/>
    <w:rsid w:val="009E26F1"/>
    <w:rsid w:val="009E489B"/>
    <w:rsid w:val="009F1E5B"/>
    <w:rsid w:val="00A1095F"/>
    <w:rsid w:val="00A34A4F"/>
    <w:rsid w:val="00A40C6E"/>
    <w:rsid w:val="00A51645"/>
    <w:rsid w:val="00A86567"/>
    <w:rsid w:val="00AA5CE2"/>
    <w:rsid w:val="00AD462D"/>
    <w:rsid w:val="00AD51F4"/>
    <w:rsid w:val="00AE51F0"/>
    <w:rsid w:val="00AF3C83"/>
    <w:rsid w:val="00B018D8"/>
    <w:rsid w:val="00B130AC"/>
    <w:rsid w:val="00B50617"/>
    <w:rsid w:val="00B66773"/>
    <w:rsid w:val="00B8574E"/>
    <w:rsid w:val="00B94668"/>
    <w:rsid w:val="00BA0BEB"/>
    <w:rsid w:val="00BA0EDB"/>
    <w:rsid w:val="00BA3187"/>
    <w:rsid w:val="00BA4D50"/>
    <w:rsid w:val="00BC1265"/>
    <w:rsid w:val="00BC4E2C"/>
    <w:rsid w:val="00BD1B7F"/>
    <w:rsid w:val="00BD7238"/>
    <w:rsid w:val="00BE16B5"/>
    <w:rsid w:val="00BE2DBB"/>
    <w:rsid w:val="00BE52F3"/>
    <w:rsid w:val="00C15765"/>
    <w:rsid w:val="00C2544E"/>
    <w:rsid w:val="00C31F91"/>
    <w:rsid w:val="00C340EB"/>
    <w:rsid w:val="00C347FE"/>
    <w:rsid w:val="00C35DFA"/>
    <w:rsid w:val="00C45918"/>
    <w:rsid w:val="00C70486"/>
    <w:rsid w:val="00C72B8B"/>
    <w:rsid w:val="00C74392"/>
    <w:rsid w:val="00CB1F9C"/>
    <w:rsid w:val="00CD047C"/>
    <w:rsid w:val="00CF3DBD"/>
    <w:rsid w:val="00D006BF"/>
    <w:rsid w:val="00D21D1A"/>
    <w:rsid w:val="00D257DC"/>
    <w:rsid w:val="00D43E12"/>
    <w:rsid w:val="00D7249A"/>
    <w:rsid w:val="00D7534B"/>
    <w:rsid w:val="00D8490C"/>
    <w:rsid w:val="00D90E62"/>
    <w:rsid w:val="00D94016"/>
    <w:rsid w:val="00D97BEC"/>
    <w:rsid w:val="00DA21BC"/>
    <w:rsid w:val="00DA301D"/>
    <w:rsid w:val="00DD5825"/>
    <w:rsid w:val="00DD5FDB"/>
    <w:rsid w:val="00DD6C88"/>
    <w:rsid w:val="00E02F4E"/>
    <w:rsid w:val="00E366D1"/>
    <w:rsid w:val="00E46BFC"/>
    <w:rsid w:val="00E51623"/>
    <w:rsid w:val="00E84E31"/>
    <w:rsid w:val="00E86097"/>
    <w:rsid w:val="00E94F69"/>
    <w:rsid w:val="00E96AE8"/>
    <w:rsid w:val="00EA2831"/>
    <w:rsid w:val="00EA3CF1"/>
    <w:rsid w:val="00EB0778"/>
    <w:rsid w:val="00EB57FE"/>
    <w:rsid w:val="00EB6C22"/>
    <w:rsid w:val="00F02118"/>
    <w:rsid w:val="00F146E4"/>
    <w:rsid w:val="00F1623B"/>
    <w:rsid w:val="00F1635F"/>
    <w:rsid w:val="00F447E2"/>
    <w:rsid w:val="00F6428E"/>
    <w:rsid w:val="00F67E29"/>
    <w:rsid w:val="00F7223C"/>
    <w:rsid w:val="00FE21C6"/>
    <w:rsid w:val="00FE6A04"/>
    <w:rsid w:val="00FF2E45"/>
    <w:rsid w:val="00FF4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99E24D"/>
  <w15:chartTrackingRefBased/>
  <w15:docId w15:val="{EB587161-ED1C-487E-B2B7-5F3BE53EF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4F1"/>
    <w:pPr>
      <w:keepNext/>
      <w:keepLines/>
      <w:spacing w:before="240" w:after="240" w:line="240" w:lineRule="auto"/>
      <w:outlineLvl w:val="0"/>
    </w:pPr>
    <w:rPr>
      <w:rFonts w:ascii="Times New Roman" w:eastAsiaTheme="majorEastAsia" w:hAnsi="Times New Roman" w:cstheme="majorBidi"/>
      <w:b/>
      <w:color w:val="2F5496" w:themeColor="accent1" w:themeShade="BF"/>
      <w:sz w:val="24"/>
      <w:szCs w:val="32"/>
    </w:rPr>
  </w:style>
  <w:style w:type="paragraph" w:styleId="Heading2">
    <w:name w:val="heading 2"/>
    <w:basedOn w:val="Normal"/>
    <w:next w:val="Normal"/>
    <w:link w:val="Heading2Char"/>
    <w:uiPriority w:val="9"/>
    <w:unhideWhenUsed/>
    <w:qFormat/>
    <w:rsid w:val="00E86097"/>
    <w:pPr>
      <w:keepNext/>
      <w:keepLines/>
      <w:spacing w:before="120" w:line="240" w:lineRule="auto"/>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semiHidden/>
    <w:unhideWhenUsed/>
    <w:qFormat/>
    <w:rsid w:val="001814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6518F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18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18FE"/>
    <w:rPr>
      <w:b/>
      <w:bCs/>
    </w:rPr>
  </w:style>
  <w:style w:type="character" w:customStyle="1" w:styleId="Heading4Char">
    <w:name w:val="Heading 4 Char"/>
    <w:basedOn w:val="DefaultParagraphFont"/>
    <w:link w:val="Heading4"/>
    <w:uiPriority w:val="9"/>
    <w:rsid w:val="006518FE"/>
    <w:rPr>
      <w:rFonts w:ascii="Times New Roman" w:eastAsia="Times New Roman" w:hAnsi="Times New Roman" w:cs="Times New Roman"/>
      <w:b/>
      <w:bCs/>
      <w:sz w:val="24"/>
      <w:szCs w:val="24"/>
    </w:rPr>
  </w:style>
  <w:style w:type="table" w:styleId="TableGridLight">
    <w:name w:val="Grid Table Light"/>
    <w:basedOn w:val="TableNormal"/>
    <w:uiPriority w:val="40"/>
    <w:rsid w:val="005374C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4591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863D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DD8"/>
  </w:style>
  <w:style w:type="paragraph" w:styleId="Footer">
    <w:name w:val="footer"/>
    <w:basedOn w:val="Normal"/>
    <w:link w:val="FooterChar"/>
    <w:uiPriority w:val="99"/>
    <w:unhideWhenUsed/>
    <w:rsid w:val="00863D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DD8"/>
  </w:style>
  <w:style w:type="character" w:styleId="Hyperlink">
    <w:name w:val="Hyperlink"/>
    <w:basedOn w:val="DefaultParagraphFont"/>
    <w:uiPriority w:val="99"/>
    <w:unhideWhenUsed/>
    <w:rsid w:val="005F3B85"/>
    <w:rPr>
      <w:color w:val="0000FF"/>
      <w:u w:val="single"/>
    </w:rPr>
  </w:style>
  <w:style w:type="paragraph" w:styleId="NoSpacing">
    <w:name w:val="No Spacing"/>
    <w:link w:val="NoSpacingChar"/>
    <w:uiPriority w:val="1"/>
    <w:qFormat/>
    <w:rsid w:val="00011F94"/>
    <w:pPr>
      <w:spacing w:after="0" w:line="240" w:lineRule="auto"/>
    </w:pPr>
    <w:rPr>
      <w:rFonts w:eastAsiaTheme="minorEastAsia"/>
    </w:rPr>
  </w:style>
  <w:style w:type="character" w:customStyle="1" w:styleId="NoSpacingChar">
    <w:name w:val="No Spacing Char"/>
    <w:basedOn w:val="DefaultParagraphFont"/>
    <w:link w:val="NoSpacing"/>
    <w:uiPriority w:val="1"/>
    <w:rsid w:val="00011F94"/>
    <w:rPr>
      <w:rFonts w:eastAsiaTheme="minorEastAsia"/>
    </w:rPr>
  </w:style>
  <w:style w:type="character" w:customStyle="1" w:styleId="Heading1Char">
    <w:name w:val="Heading 1 Char"/>
    <w:basedOn w:val="DefaultParagraphFont"/>
    <w:link w:val="Heading1"/>
    <w:uiPriority w:val="9"/>
    <w:rsid w:val="005354F1"/>
    <w:rPr>
      <w:rFonts w:ascii="Times New Roman" w:eastAsiaTheme="majorEastAsia" w:hAnsi="Times New Roman" w:cstheme="majorBidi"/>
      <w:b/>
      <w:color w:val="2F5496" w:themeColor="accent1" w:themeShade="BF"/>
      <w:sz w:val="24"/>
      <w:szCs w:val="32"/>
    </w:rPr>
  </w:style>
  <w:style w:type="character" w:customStyle="1" w:styleId="Heading2Char">
    <w:name w:val="Heading 2 Char"/>
    <w:basedOn w:val="DefaultParagraphFont"/>
    <w:link w:val="Heading2"/>
    <w:uiPriority w:val="9"/>
    <w:rsid w:val="00E86097"/>
    <w:rPr>
      <w:rFonts w:ascii="Times New Roman" w:eastAsiaTheme="majorEastAsia" w:hAnsi="Times New Roman" w:cstheme="majorBidi"/>
      <w:b/>
      <w:szCs w:val="26"/>
    </w:rPr>
  </w:style>
  <w:style w:type="table" w:styleId="TableGrid">
    <w:name w:val="Table Grid"/>
    <w:basedOn w:val="TableNormal"/>
    <w:uiPriority w:val="39"/>
    <w:rsid w:val="00430C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71CC"/>
    <w:pPr>
      <w:spacing w:after="0" w:line="240" w:lineRule="auto"/>
      <w:ind w:left="720"/>
      <w:contextualSpacing/>
      <w:jc w:val="both"/>
    </w:pPr>
  </w:style>
  <w:style w:type="table" w:styleId="LightGrid-Accent1">
    <w:name w:val="Light Grid Accent 1"/>
    <w:basedOn w:val="TableNormal"/>
    <w:uiPriority w:val="62"/>
    <w:rsid w:val="00BD1B7F"/>
    <w:pPr>
      <w:spacing w:after="0" w:line="240" w:lineRule="auto"/>
    </w:pPr>
    <w:rPr>
      <w:rFonts w:eastAsiaTheme="minorEastAsia"/>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character" w:customStyle="1" w:styleId="Heading3Char">
    <w:name w:val="Heading 3 Char"/>
    <w:basedOn w:val="DefaultParagraphFont"/>
    <w:link w:val="Heading3"/>
    <w:uiPriority w:val="9"/>
    <w:semiHidden/>
    <w:rsid w:val="001814E3"/>
    <w:rPr>
      <w:rFonts w:asciiTheme="majorHAnsi" w:eastAsiaTheme="majorEastAsia" w:hAnsiTheme="majorHAnsi" w:cstheme="majorBidi"/>
      <w:color w:val="1F3763" w:themeColor="accent1" w:themeShade="7F"/>
      <w:sz w:val="24"/>
      <w:szCs w:val="24"/>
    </w:rPr>
  </w:style>
  <w:style w:type="table" w:styleId="GridTable6Colorful">
    <w:name w:val="Grid Table 6 Colorful"/>
    <w:basedOn w:val="TableNormal"/>
    <w:uiPriority w:val="51"/>
    <w:rsid w:val="006C565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whitespace-pre-wrap">
    <w:name w:val="whitespace-pre-wrap"/>
    <w:basedOn w:val="Normal"/>
    <w:rsid w:val="002A74D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C03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3E0"/>
    <w:rPr>
      <w:rFonts w:ascii="Segoe UI" w:hAnsi="Segoe UI" w:cs="Segoe UI"/>
      <w:sz w:val="18"/>
      <w:szCs w:val="18"/>
    </w:rPr>
  </w:style>
  <w:style w:type="table" w:styleId="PlainTable5">
    <w:name w:val="Plain Table 5"/>
    <w:basedOn w:val="TableNormal"/>
    <w:uiPriority w:val="45"/>
    <w:rsid w:val="00EB077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3">
    <w:name w:val="Grid Table 3 Accent 3"/>
    <w:basedOn w:val="TableNormal"/>
    <w:uiPriority w:val="48"/>
    <w:rsid w:val="00EB077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hljs-keyword">
    <w:name w:val="hljs-keyword"/>
    <w:basedOn w:val="DefaultParagraphFont"/>
    <w:rsid w:val="00EB0778"/>
  </w:style>
  <w:style w:type="character" w:customStyle="1" w:styleId="hljs-builtin">
    <w:name w:val="hljs-built_in"/>
    <w:basedOn w:val="DefaultParagraphFont"/>
    <w:rsid w:val="00EB0778"/>
  </w:style>
  <w:style w:type="table" w:styleId="PlainTable3">
    <w:name w:val="Plain Table 3"/>
    <w:basedOn w:val="TableNormal"/>
    <w:uiPriority w:val="43"/>
    <w:rsid w:val="00EB077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B077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whitespace-normal">
    <w:name w:val="whitespace-normal"/>
    <w:basedOn w:val="Normal"/>
    <w:rsid w:val="00EB07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s-empty">
    <w:name w:val="is-empty"/>
    <w:basedOn w:val="Normal"/>
    <w:rsid w:val="00EB0778"/>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EB0778"/>
    <w:pPr>
      <w:spacing w:after="0" w:line="259" w:lineRule="auto"/>
      <w:outlineLvl w:val="9"/>
    </w:pPr>
    <w:rPr>
      <w:rFonts w:asciiTheme="majorHAnsi" w:hAnsiTheme="majorHAnsi"/>
      <w:b w:val="0"/>
      <w:sz w:val="32"/>
    </w:rPr>
  </w:style>
  <w:style w:type="paragraph" w:styleId="TOC1">
    <w:name w:val="toc 1"/>
    <w:basedOn w:val="Normal"/>
    <w:next w:val="Normal"/>
    <w:autoRedefine/>
    <w:uiPriority w:val="39"/>
    <w:unhideWhenUsed/>
    <w:rsid w:val="00EB0778"/>
    <w:pPr>
      <w:spacing w:after="100"/>
    </w:pPr>
  </w:style>
  <w:style w:type="paragraph" w:styleId="TOC2">
    <w:name w:val="toc 2"/>
    <w:basedOn w:val="Normal"/>
    <w:next w:val="Normal"/>
    <w:autoRedefine/>
    <w:uiPriority w:val="39"/>
    <w:unhideWhenUsed/>
    <w:rsid w:val="00EB077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403">
      <w:bodyDiv w:val="1"/>
      <w:marLeft w:val="0"/>
      <w:marRight w:val="0"/>
      <w:marTop w:val="0"/>
      <w:marBottom w:val="0"/>
      <w:divBdr>
        <w:top w:val="none" w:sz="0" w:space="0" w:color="auto"/>
        <w:left w:val="none" w:sz="0" w:space="0" w:color="auto"/>
        <w:bottom w:val="none" w:sz="0" w:space="0" w:color="auto"/>
        <w:right w:val="none" w:sz="0" w:space="0" w:color="auto"/>
      </w:divBdr>
    </w:div>
    <w:div w:id="4480223">
      <w:bodyDiv w:val="1"/>
      <w:marLeft w:val="0"/>
      <w:marRight w:val="0"/>
      <w:marTop w:val="0"/>
      <w:marBottom w:val="0"/>
      <w:divBdr>
        <w:top w:val="none" w:sz="0" w:space="0" w:color="auto"/>
        <w:left w:val="none" w:sz="0" w:space="0" w:color="auto"/>
        <w:bottom w:val="none" w:sz="0" w:space="0" w:color="auto"/>
        <w:right w:val="none" w:sz="0" w:space="0" w:color="auto"/>
      </w:divBdr>
    </w:div>
    <w:div w:id="22632278">
      <w:bodyDiv w:val="1"/>
      <w:marLeft w:val="0"/>
      <w:marRight w:val="0"/>
      <w:marTop w:val="0"/>
      <w:marBottom w:val="0"/>
      <w:divBdr>
        <w:top w:val="none" w:sz="0" w:space="0" w:color="auto"/>
        <w:left w:val="none" w:sz="0" w:space="0" w:color="auto"/>
        <w:bottom w:val="none" w:sz="0" w:space="0" w:color="auto"/>
        <w:right w:val="none" w:sz="0" w:space="0" w:color="auto"/>
      </w:divBdr>
    </w:div>
    <w:div w:id="82840876">
      <w:bodyDiv w:val="1"/>
      <w:marLeft w:val="0"/>
      <w:marRight w:val="0"/>
      <w:marTop w:val="0"/>
      <w:marBottom w:val="0"/>
      <w:divBdr>
        <w:top w:val="none" w:sz="0" w:space="0" w:color="auto"/>
        <w:left w:val="none" w:sz="0" w:space="0" w:color="auto"/>
        <w:bottom w:val="none" w:sz="0" w:space="0" w:color="auto"/>
        <w:right w:val="none" w:sz="0" w:space="0" w:color="auto"/>
      </w:divBdr>
    </w:div>
    <w:div w:id="85734313">
      <w:bodyDiv w:val="1"/>
      <w:marLeft w:val="0"/>
      <w:marRight w:val="0"/>
      <w:marTop w:val="0"/>
      <w:marBottom w:val="0"/>
      <w:divBdr>
        <w:top w:val="none" w:sz="0" w:space="0" w:color="auto"/>
        <w:left w:val="none" w:sz="0" w:space="0" w:color="auto"/>
        <w:bottom w:val="none" w:sz="0" w:space="0" w:color="auto"/>
        <w:right w:val="none" w:sz="0" w:space="0" w:color="auto"/>
      </w:divBdr>
    </w:div>
    <w:div w:id="135729732">
      <w:bodyDiv w:val="1"/>
      <w:marLeft w:val="0"/>
      <w:marRight w:val="0"/>
      <w:marTop w:val="0"/>
      <w:marBottom w:val="0"/>
      <w:divBdr>
        <w:top w:val="none" w:sz="0" w:space="0" w:color="auto"/>
        <w:left w:val="none" w:sz="0" w:space="0" w:color="auto"/>
        <w:bottom w:val="none" w:sz="0" w:space="0" w:color="auto"/>
        <w:right w:val="none" w:sz="0" w:space="0" w:color="auto"/>
      </w:divBdr>
    </w:div>
    <w:div w:id="206260766">
      <w:bodyDiv w:val="1"/>
      <w:marLeft w:val="0"/>
      <w:marRight w:val="0"/>
      <w:marTop w:val="0"/>
      <w:marBottom w:val="0"/>
      <w:divBdr>
        <w:top w:val="none" w:sz="0" w:space="0" w:color="auto"/>
        <w:left w:val="none" w:sz="0" w:space="0" w:color="auto"/>
        <w:bottom w:val="none" w:sz="0" w:space="0" w:color="auto"/>
        <w:right w:val="none" w:sz="0" w:space="0" w:color="auto"/>
      </w:divBdr>
    </w:div>
    <w:div w:id="222641649">
      <w:bodyDiv w:val="1"/>
      <w:marLeft w:val="0"/>
      <w:marRight w:val="0"/>
      <w:marTop w:val="0"/>
      <w:marBottom w:val="0"/>
      <w:divBdr>
        <w:top w:val="none" w:sz="0" w:space="0" w:color="auto"/>
        <w:left w:val="none" w:sz="0" w:space="0" w:color="auto"/>
        <w:bottom w:val="none" w:sz="0" w:space="0" w:color="auto"/>
        <w:right w:val="none" w:sz="0" w:space="0" w:color="auto"/>
      </w:divBdr>
    </w:div>
    <w:div w:id="262305224">
      <w:bodyDiv w:val="1"/>
      <w:marLeft w:val="0"/>
      <w:marRight w:val="0"/>
      <w:marTop w:val="0"/>
      <w:marBottom w:val="0"/>
      <w:divBdr>
        <w:top w:val="none" w:sz="0" w:space="0" w:color="auto"/>
        <w:left w:val="none" w:sz="0" w:space="0" w:color="auto"/>
        <w:bottom w:val="none" w:sz="0" w:space="0" w:color="auto"/>
        <w:right w:val="none" w:sz="0" w:space="0" w:color="auto"/>
      </w:divBdr>
    </w:div>
    <w:div w:id="288436203">
      <w:bodyDiv w:val="1"/>
      <w:marLeft w:val="0"/>
      <w:marRight w:val="0"/>
      <w:marTop w:val="0"/>
      <w:marBottom w:val="0"/>
      <w:divBdr>
        <w:top w:val="none" w:sz="0" w:space="0" w:color="auto"/>
        <w:left w:val="none" w:sz="0" w:space="0" w:color="auto"/>
        <w:bottom w:val="none" w:sz="0" w:space="0" w:color="auto"/>
        <w:right w:val="none" w:sz="0" w:space="0" w:color="auto"/>
      </w:divBdr>
    </w:div>
    <w:div w:id="340082915">
      <w:bodyDiv w:val="1"/>
      <w:marLeft w:val="0"/>
      <w:marRight w:val="0"/>
      <w:marTop w:val="0"/>
      <w:marBottom w:val="0"/>
      <w:divBdr>
        <w:top w:val="none" w:sz="0" w:space="0" w:color="auto"/>
        <w:left w:val="none" w:sz="0" w:space="0" w:color="auto"/>
        <w:bottom w:val="none" w:sz="0" w:space="0" w:color="auto"/>
        <w:right w:val="none" w:sz="0" w:space="0" w:color="auto"/>
      </w:divBdr>
    </w:div>
    <w:div w:id="380249773">
      <w:bodyDiv w:val="1"/>
      <w:marLeft w:val="0"/>
      <w:marRight w:val="0"/>
      <w:marTop w:val="0"/>
      <w:marBottom w:val="0"/>
      <w:divBdr>
        <w:top w:val="none" w:sz="0" w:space="0" w:color="auto"/>
        <w:left w:val="none" w:sz="0" w:space="0" w:color="auto"/>
        <w:bottom w:val="none" w:sz="0" w:space="0" w:color="auto"/>
        <w:right w:val="none" w:sz="0" w:space="0" w:color="auto"/>
      </w:divBdr>
    </w:div>
    <w:div w:id="542639801">
      <w:bodyDiv w:val="1"/>
      <w:marLeft w:val="0"/>
      <w:marRight w:val="0"/>
      <w:marTop w:val="0"/>
      <w:marBottom w:val="0"/>
      <w:divBdr>
        <w:top w:val="none" w:sz="0" w:space="0" w:color="auto"/>
        <w:left w:val="none" w:sz="0" w:space="0" w:color="auto"/>
        <w:bottom w:val="none" w:sz="0" w:space="0" w:color="auto"/>
        <w:right w:val="none" w:sz="0" w:space="0" w:color="auto"/>
      </w:divBdr>
    </w:div>
    <w:div w:id="555120980">
      <w:bodyDiv w:val="1"/>
      <w:marLeft w:val="0"/>
      <w:marRight w:val="0"/>
      <w:marTop w:val="0"/>
      <w:marBottom w:val="0"/>
      <w:divBdr>
        <w:top w:val="none" w:sz="0" w:space="0" w:color="auto"/>
        <w:left w:val="none" w:sz="0" w:space="0" w:color="auto"/>
        <w:bottom w:val="none" w:sz="0" w:space="0" w:color="auto"/>
        <w:right w:val="none" w:sz="0" w:space="0" w:color="auto"/>
      </w:divBdr>
    </w:div>
    <w:div w:id="611742898">
      <w:bodyDiv w:val="1"/>
      <w:marLeft w:val="0"/>
      <w:marRight w:val="0"/>
      <w:marTop w:val="0"/>
      <w:marBottom w:val="0"/>
      <w:divBdr>
        <w:top w:val="none" w:sz="0" w:space="0" w:color="auto"/>
        <w:left w:val="none" w:sz="0" w:space="0" w:color="auto"/>
        <w:bottom w:val="none" w:sz="0" w:space="0" w:color="auto"/>
        <w:right w:val="none" w:sz="0" w:space="0" w:color="auto"/>
      </w:divBdr>
    </w:div>
    <w:div w:id="612177221">
      <w:bodyDiv w:val="1"/>
      <w:marLeft w:val="0"/>
      <w:marRight w:val="0"/>
      <w:marTop w:val="0"/>
      <w:marBottom w:val="0"/>
      <w:divBdr>
        <w:top w:val="none" w:sz="0" w:space="0" w:color="auto"/>
        <w:left w:val="none" w:sz="0" w:space="0" w:color="auto"/>
        <w:bottom w:val="none" w:sz="0" w:space="0" w:color="auto"/>
        <w:right w:val="none" w:sz="0" w:space="0" w:color="auto"/>
      </w:divBdr>
    </w:div>
    <w:div w:id="728578923">
      <w:bodyDiv w:val="1"/>
      <w:marLeft w:val="0"/>
      <w:marRight w:val="0"/>
      <w:marTop w:val="0"/>
      <w:marBottom w:val="0"/>
      <w:divBdr>
        <w:top w:val="none" w:sz="0" w:space="0" w:color="auto"/>
        <w:left w:val="none" w:sz="0" w:space="0" w:color="auto"/>
        <w:bottom w:val="none" w:sz="0" w:space="0" w:color="auto"/>
        <w:right w:val="none" w:sz="0" w:space="0" w:color="auto"/>
      </w:divBdr>
    </w:div>
    <w:div w:id="786192409">
      <w:bodyDiv w:val="1"/>
      <w:marLeft w:val="0"/>
      <w:marRight w:val="0"/>
      <w:marTop w:val="0"/>
      <w:marBottom w:val="0"/>
      <w:divBdr>
        <w:top w:val="none" w:sz="0" w:space="0" w:color="auto"/>
        <w:left w:val="none" w:sz="0" w:space="0" w:color="auto"/>
        <w:bottom w:val="none" w:sz="0" w:space="0" w:color="auto"/>
        <w:right w:val="none" w:sz="0" w:space="0" w:color="auto"/>
      </w:divBdr>
    </w:div>
    <w:div w:id="808009981">
      <w:bodyDiv w:val="1"/>
      <w:marLeft w:val="0"/>
      <w:marRight w:val="0"/>
      <w:marTop w:val="0"/>
      <w:marBottom w:val="0"/>
      <w:divBdr>
        <w:top w:val="none" w:sz="0" w:space="0" w:color="auto"/>
        <w:left w:val="none" w:sz="0" w:space="0" w:color="auto"/>
        <w:bottom w:val="none" w:sz="0" w:space="0" w:color="auto"/>
        <w:right w:val="none" w:sz="0" w:space="0" w:color="auto"/>
      </w:divBdr>
    </w:div>
    <w:div w:id="885684620">
      <w:bodyDiv w:val="1"/>
      <w:marLeft w:val="0"/>
      <w:marRight w:val="0"/>
      <w:marTop w:val="0"/>
      <w:marBottom w:val="0"/>
      <w:divBdr>
        <w:top w:val="none" w:sz="0" w:space="0" w:color="auto"/>
        <w:left w:val="none" w:sz="0" w:space="0" w:color="auto"/>
        <w:bottom w:val="none" w:sz="0" w:space="0" w:color="auto"/>
        <w:right w:val="none" w:sz="0" w:space="0" w:color="auto"/>
      </w:divBdr>
    </w:div>
    <w:div w:id="890848267">
      <w:bodyDiv w:val="1"/>
      <w:marLeft w:val="0"/>
      <w:marRight w:val="0"/>
      <w:marTop w:val="0"/>
      <w:marBottom w:val="0"/>
      <w:divBdr>
        <w:top w:val="none" w:sz="0" w:space="0" w:color="auto"/>
        <w:left w:val="none" w:sz="0" w:space="0" w:color="auto"/>
        <w:bottom w:val="none" w:sz="0" w:space="0" w:color="auto"/>
        <w:right w:val="none" w:sz="0" w:space="0" w:color="auto"/>
      </w:divBdr>
    </w:div>
    <w:div w:id="899704952">
      <w:bodyDiv w:val="1"/>
      <w:marLeft w:val="0"/>
      <w:marRight w:val="0"/>
      <w:marTop w:val="0"/>
      <w:marBottom w:val="0"/>
      <w:divBdr>
        <w:top w:val="none" w:sz="0" w:space="0" w:color="auto"/>
        <w:left w:val="none" w:sz="0" w:space="0" w:color="auto"/>
        <w:bottom w:val="none" w:sz="0" w:space="0" w:color="auto"/>
        <w:right w:val="none" w:sz="0" w:space="0" w:color="auto"/>
      </w:divBdr>
    </w:div>
    <w:div w:id="925847083">
      <w:bodyDiv w:val="1"/>
      <w:marLeft w:val="0"/>
      <w:marRight w:val="0"/>
      <w:marTop w:val="0"/>
      <w:marBottom w:val="0"/>
      <w:divBdr>
        <w:top w:val="none" w:sz="0" w:space="0" w:color="auto"/>
        <w:left w:val="none" w:sz="0" w:space="0" w:color="auto"/>
        <w:bottom w:val="none" w:sz="0" w:space="0" w:color="auto"/>
        <w:right w:val="none" w:sz="0" w:space="0" w:color="auto"/>
      </w:divBdr>
    </w:div>
    <w:div w:id="995956046">
      <w:bodyDiv w:val="1"/>
      <w:marLeft w:val="0"/>
      <w:marRight w:val="0"/>
      <w:marTop w:val="0"/>
      <w:marBottom w:val="0"/>
      <w:divBdr>
        <w:top w:val="none" w:sz="0" w:space="0" w:color="auto"/>
        <w:left w:val="none" w:sz="0" w:space="0" w:color="auto"/>
        <w:bottom w:val="none" w:sz="0" w:space="0" w:color="auto"/>
        <w:right w:val="none" w:sz="0" w:space="0" w:color="auto"/>
      </w:divBdr>
    </w:div>
    <w:div w:id="1036740630">
      <w:bodyDiv w:val="1"/>
      <w:marLeft w:val="0"/>
      <w:marRight w:val="0"/>
      <w:marTop w:val="0"/>
      <w:marBottom w:val="0"/>
      <w:divBdr>
        <w:top w:val="none" w:sz="0" w:space="0" w:color="auto"/>
        <w:left w:val="none" w:sz="0" w:space="0" w:color="auto"/>
        <w:bottom w:val="none" w:sz="0" w:space="0" w:color="auto"/>
        <w:right w:val="none" w:sz="0" w:space="0" w:color="auto"/>
      </w:divBdr>
    </w:div>
    <w:div w:id="1039668947">
      <w:bodyDiv w:val="1"/>
      <w:marLeft w:val="0"/>
      <w:marRight w:val="0"/>
      <w:marTop w:val="0"/>
      <w:marBottom w:val="0"/>
      <w:divBdr>
        <w:top w:val="none" w:sz="0" w:space="0" w:color="auto"/>
        <w:left w:val="none" w:sz="0" w:space="0" w:color="auto"/>
        <w:bottom w:val="none" w:sz="0" w:space="0" w:color="auto"/>
        <w:right w:val="none" w:sz="0" w:space="0" w:color="auto"/>
      </w:divBdr>
    </w:div>
    <w:div w:id="1054353058">
      <w:bodyDiv w:val="1"/>
      <w:marLeft w:val="0"/>
      <w:marRight w:val="0"/>
      <w:marTop w:val="0"/>
      <w:marBottom w:val="0"/>
      <w:divBdr>
        <w:top w:val="none" w:sz="0" w:space="0" w:color="auto"/>
        <w:left w:val="none" w:sz="0" w:space="0" w:color="auto"/>
        <w:bottom w:val="none" w:sz="0" w:space="0" w:color="auto"/>
        <w:right w:val="none" w:sz="0" w:space="0" w:color="auto"/>
      </w:divBdr>
    </w:div>
    <w:div w:id="1070423620">
      <w:bodyDiv w:val="1"/>
      <w:marLeft w:val="0"/>
      <w:marRight w:val="0"/>
      <w:marTop w:val="0"/>
      <w:marBottom w:val="0"/>
      <w:divBdr>
        <w:top w:val="none" w:sz="0" w:space="0" w:color="auto"/>
        <w:left w:val="none" w:sz="0" w:space="0" w:color="auto"/>
        <w:bottom w:val="none" w:sz="0" w:space="0" w:color="auto"/>
        <w:right w:val="none" w:sz="0" w:space="0" w:color="auto"/>
      </w:divBdr>
    </w:div>
    <w:div w:id="1099788739">
      <w:bodyDiv w:val="1"/>
      <w:marLeft w:val="0"/>
      <w:marRight w:val="0"/>
      <w:marTop w:val="0"/>
      <w:marBottom w:val="0"/>
      <w:divBdr>
        <w:top w:val="none" w:sz="0" w:space="0" w:color="auto"/>
        <w:left w:val="none" w:sz="0" w:space="0" w:color="auto"/>
        <w:bottom w:val="none" w:sz="0" w:space="0" w:color="auto"/>
        <w:right w:val="none" w:sz="0" w:space="0" w:color="auto"/>
      </w:divBdr>
    </w:div>
    <w:div w:id="1114128312">
      <w:bodyDiv w:val="1"/>
      <w:marLeft w:val="0"/>
      <w:marRight w:val="0"/>
      <w:marTop w:val="0"/>
      <w:marBottom w:val="0"/>
      <w:divBdr>
        <w:top w:val="none" w:sz="0" w:space="0" w:color="auto"/>
        <w:left w:val="none" w:sz="0" w:space="0" w:color="auto"/>
        <w:bottom w:val="none" w:sz="0" w:space="0" w:color="auto"/>
        <w:right w:val="none" w:sz="0" w:space="0" w:color="auto"/>
      </w:divBdr>
    </w:div>
    <w:div w:id="1281911120">
      <w:bodyDiv w:val="1"/>
      <w:marLeft w:val="0"/>
      <w:marRight w:val="0"/>
      <w:marTop w:val="0"/>
      <w:marBottom w:val="0"/>
      <w:divBdr>
        <w:top w:val="none" w:sz="0" w:space="0" w:color="auto"/>
        <w:left w:val="none" w:sz="0" w:space="0" w:color="auto"/>
        <w:bottom w:val="none" w:sz="0" w:space="0" w:color="auto"/>
        <w:right w:val="none" w:sz="0" w:space="0" w:color="auto"/>
      </w:divBdr>
    </w:div>
    <w:div w:id="1358236381">
      <w:bodyDiv w:val="1"/>
      <w:marLeft w:val="0"/>
      <w:marRight w:val="0"/>
      <w:marTop w:val="0"/>
      <w:marBottom w:val="0"/>
      <w:divBdr>
        <w:top w:val="none" w:sz="0" w:space="0" w:color="auto"/>
        <w:left w:val="none" w:sz="0" w:space="0" w:color="auto"/>
        <w:bottom w:val="none" w:sz="0" w:space="0" w:color="auto"/>
        <w:right w:val="none" w:sz="0" w:space="0" w:color="auto"/>
      </w:divBdr>
    </w:div>
    <w:div w:id="1389845364">
      <w:bodyDiv w:val="1"/>
      <w:marLeft w:val="0"/>
      <w:marRight w:val="0"/>
      <w:marTop w:val="0"/>
      <w:marBottom w:val="0"/>
      <w:divBdr>
        <w:top w:val="none" w:sz="0" w:space="0" w:color="auto"/>
        <w:left w:val="none" w:sz="0" w:space="0" w:color="auto"/>
        <w:bottom w:val="none" w:sz="0" w:space="0" w:color="auto"/>
        <w:right w:val="none" w:sz="0" w:space="0" w:color="auto"/>
      </w:divBdr>
    </w:div>
    <w:div w:id="1403334745">
      <w:bodyDiv w:val="1"/>
      <w:marLeft w:val="0"/>
      <w:marRight w:val="0"/>
      <w:marTop w:val="0"/>
      <w:marBottom w:val="0"/>
      <w:divBdr>
        <w:top w:val="none" w:sz="0" w:space="0" w:color="auto"/>
        <w:left w:val="none" w:sz="0" w:space="0" w:color="auto"/>
        <w:bottom w:val="none" w:sz="0" w:space="0" w:color="auto"/>
        <w:right w:val="none" w:sz="0" w:space="0" w:color="auto"/>
      </w:divBdr>
    </w:div>
    <w:div w:id="1413434122">
      <w:bodyDiv w:val="1"/>
      <w:marLeft w:val="0"/>
      <w:marRight w:val="0"/>
      <w:marTop w:val="0"/>
      <w:marBottom w:val="0"/>
      <w:divBdr>
        <w:top w:val="none" w:sz="0" w:space="0" w:color="auto"/>
        <w:left w:val="none" w:sz="0" w:space="0" w:color="auto"/>
        <w:bottom w:val="none" w:sz="0" w:space="0" w:color="auto"/>
        <w:right w:val="none" w:sz="0" w:space="0" w:color="auto"/>
      </w:divBdr>
    </w:div>
    <w:div w:id="1414666149">
      <w:bodyDiv w:val="1"/>
      <w:marLeft w:val="0"/>
      <w:marRight w:val="0"/>
      <w:marTop w:val="0"/>
      <w:marBottom w:val="0"/>
      <w:divBdr>
        <w:top w:val="none" w:sz="0" w:space="0" w:color="auto"/>
        <w:left w:val="none" w:sz="0" w:space="0" w:color="auto"/>
        <w:bottom w:val="none" w:sz="0" w:space="0" w:color="auto"/>
        <w:right w:val="none" w:sz="0" w:space="0" w:color="auto"/>
      </w:divBdr>
    </w:div>
    <w:div w:id="1431699753">
      <w:bodyDiv w:val="1"/>
      <w:marLeft w:val="0"/>
      <w:marRight w:val="0"/>
      <w:marTop w:val="0"/>
      <w:marBottom w:val="0"/>
      <w:divBdr>
        <w:top w:val="none" w:sz="0" w:space="0" w:color="auto"/>
        <w:left w:val="none" w:sz="0" w:space="0" w:color="auto"/>
        <w:bottom w:val="none" w:sz="0" w:space="0" w:color="auto"/>
        <w:right w:val="none" w:sz="0" w:space="0" w:color="auto"/>
      </w:divBdr>
    </w:div>
    <w:div w:id="1545946320">
      <w:bodyDiv w:val="1"/>
      <w:marLeft w:val="0"/>
      <w:marRight w:val="0"/>
      <w:marTop w:val="0"/>
      <w:marBottom w:val="0"/>
      <w:divBdr>
        <w:top w:val="none" w:sz="0" w:space="0" w:color="auto"/>
        <w:left w:val="none" w:sz="0" w:space="0" w:color="auto"/>
        <w:bottom w:val="none" w:sz="0" w:space="0" w:color="auto"/>
        <w:right w:val="none" w:sz="0" w:space="0" w:color="auto"/>
      </w:divBdr>
    </w:div>
    <w:div w:id="1596088018">
      <w:bodyDiv w:val="1"/>
      <w:marLeft w:val="0"/>
      <w:marRight w:val="0"/>
      <w:marTop w:val="0"/>
      <w:marBottom w:val="0"/>
      <w:divBdr>
        <w:top w:val="none" w:sz="0" w:space="0" w:color="auto"/>
        <w:left w:val="none" w:sz="0" w:space="0" w:color="auto"/>
        <w:bottom w:val="none" w:sz="0" w:space="0" w:color="auto"/>
        <w:right w:val="none" w:sz="0" w:space="0" w:color="auto"/>
      </w:divBdr>
    </w:div>
    <w:div w:id="1634480617">
      <w:bodyDiv w:val="1"/>
      <w:marLeft w:val="0"/>
      <w:marRight w:val="0"/>
      <w:marTop w:val="0"/>
      <w:marBottom w:val="0"/>
      <w:divBdr>
        <w:top w:val="none" w:sz="0" w:space="0" w:color="auto"/>
        <w:left w:val="none" w:sz="0" w:space="0" w:color="auto"/>
        <w:bottom w:val="none" w:sz="0" w:space="0" w:color="auto"/>
        <w:right w:val="none" w:sz="0" w:space="0" w:color="auto"/>
      </w:divBdr>
    </w:div>
    <w:div w:id="1729067486">
      <w:bodyDiv w:val="1"/>
      <w:marLeft w:val="0"/>
      <w:marRight w:val="0"/>
      <w:marTop w:val="0"/>
      <w:marBottom w:val="0"/>
      <w:divBdr>
        <w:top w:val="none" w:sz="0" w:space="0" w:color="auto"/>
        <w:left w:val="none" w:sz="0" w:space="0" w:color="auto"/>
        <w:bottom w:val="none" w:sz="0" w:space="0" w:color="auto"/>
        <w:right w:val="none" w:sz="0" w:space="0" w:color="auto"/>
      </w:divBdr>
    </w:div>
    <w:div w:id="1732923055">
      <w:bodyDiv w:val="1"/>
      <w:marLeft w:val="0"/>
      <w:marRight w:val="0"/>
      <w:marTop w:val="0"/>
      <w:marBottom w:val="0"/>
      <w:divBdr>
        <w:top w:val="none" w:sz="0" w:space="0" w:color="auto"/>
        <w:left w:val="none" w:sz="0" w:space="0" w:color="auto"/>
        <w:bottom w:val="none" w:sz="0" w:space="0" w:color="auto"/>
        <w:right w:val="none" w:sz="0" w:space="0" w:color="auto"/>
      </w:divBdr>
    </w:div>
    <w:div w:id="1834445255">
      <w:bodyDiv w:val="1"/>
      <w:marLeft w:val="0"/>
      <w:marRight w:val="0"/>
      <w:marTop w:val="0"/>
      <w:marBottom w:val="0"/>
      <w:divBdr>
        <w:top w:val="none" w:sz="0" w:space="0" w:color="auto"/>
        <w:left w:val="none" w:sz="0" w:space="0" w:color="auto"/>
        <w:bottom w:val="none" w:sz="0" w:space="0" w:color="auto"/>
        <w:right w:val="none" w:sz="0" w:space="0" w:color="auto"/>
      </w:divBdr>
    </w:div>
    <w:div w:id="1893926453">
      <w:bodyDiv w:val="1"/>
      <w:marLeft w:val="0"/>
      <w:marRight w:val="0"/>
      <w:marTop w:val="0"/>
      <w:marBottom w:val="0"/>
      <w:divBdr>
        <w:top w:val="none" w:sz="0" w:space="0" w:color="auto"/>
        <w:left w:val="none" w:sz="0" w:space="0" w:color="auto"/>
        <w:bottom w:val="none" w:sz="0" w:space="0" w:color="auto"/>
        <w:right w:val="none" w:sz="0" w:space="0" w:color="auto"/>
      </w:divBdr>
    </w:div>
    <w:div w:id="1923488949">
      <w:bodyDiv w:val="1"/>
      <w:marLeft w:val="0"/>
      <w:marRight w:val="0"/>
      <w:marTop w:val="0"/>
      <w:marBottom w:val="0"/>
      <w:divBdr>
        <w:top w:val="none" w:sz="0" w:space="0" w:color="auto"/>
        <w:left w:val="none" w:sz="0" w:space="0" w:color="auto"/>
        <w:bottom w:val="none" w:sz="0" w:space="0" w:color="auto"/>
        <w:right w:val="none" w:sz="0" w:space="0" w:color="auto"/>
      </w:divBdr>
    </w:div>
    <w:div w:id="1928726354">
      <w:bodyDiv w:val="1"/>
      <w:marLeft w:val="0"/>
      <w:marRight w:val="0"/>
      <w:marTop w:val="0"/>
      <w:marBottom w:val="0"/>
      <w:divBdr>
        <w:top w:val="none" w:sz="0" w:space="0" w:color="auto"/>
        <w:left w:val="none" w:sz="0" w:space="0" w:color="auto"/>
        <w:bottom w:val="none" w:sz="0" w:space="0" w:color="auto"/>
        <w:right w:val="none" w:sz="0" w:space="0" w:color="auto"/>
      </w:divBdr>
    </w:div>
    <w:div w:id="1934511884">
      <w:bodyDiv w:val="1"/>
      <w:marLeft w:val="0"/>
      <w:marRight w:val="0"/>
      <w:marTop w:val="0"/>
      <w:marBottom w:val="0"/>
      <w:divBdr>
        <w:top w:val="none" w:sz="0" w:space="0" w:color="auto"/>
        <w:left w:val="none" w:sz="0" w:space="0" w:color="auto"/>
        <w:bottom w:val="none" w:sz="0" w:space="0" w:color="auto"/>
        <w:right w:val="none" w:sz="0" w:space="0" w:color="auto"/>
      </w:divBdr>
    </w:div>
    <w:div w:id="2007855958">
      <w:bodyDiv w:val="1"/>
      <w:marLeft w:val="0"/>
      <w:marRight w:val="0"/>
      <w:marTop w:val="0"/>
      <w:marBottom w:val="0"/>
      <w:divBdr>
        <w:top w:val="none" w:sz="0" w:space="0" w:color="auto"/>
        <w:left w:val="none" w:sz="0" w:space="0" w:color="auto"/>
        <w:bottom w:val="none" w:sz="0" w:space="0" w:color="auto"/>
        <w:right w:val="none" w:sz="0" w:space="0" w:color="auto"/>
      </w:divBdr>
    </w:div>
    <w:div w:id="2032485945">
      <w:bodyDiv w:val="1"/>
      <w:marLeft w:val="0"/>
      <w:marRight w:val="0"/>
      <w:marTop w:val="0"/>
      <w:marBottom w:val="0"/>
      <w:divBdr>
        <w:top w:val="none" w:sz="0" w:space="0" w:color="auto"/>
        <w:left w:val="none" w:sz="0" w:space="0" w:color="auto"/>
        <w:bottom w:val="none" w:sz="0" w:space="0" w:color="auto"/>
        <w:right w:val="none" w:sz="0" w:space="0" w:color="auto"/>
      </w:divBdr>
    </w:div>
    <w:div w:id="2057392395">
      <w:bodyDiv w:val="1"/>
      <w:marLeft w:val="0"/>
      <w:marRight w:val="0"/>
      <w:marTop w:val="0"/>
      <w:marBottom w:val="0"/>
      <w:divBdr>
        <w:top w:val="none" w:sz="0" w:space="0" w:color="auto"/>
        <w:left w:val="none" w:sz="0" w:space="0" w:color="auto"/>
        <w:bottom w:val="none" w:sz="0" w:space="0" w:color="auto"/>
        <w:right w:val="none" w:sz="0" w:space="0" w:color="auto"/>
      </w:divBdr>
    </w:div>
    <w:div w:id="2057923741">
      <w:bodyDiv w:val="1"/>
      <w:marLeft w:val="0"/>
      <w:marRight w:val="0"/>
      <w:marTop w:val="0"/>
      <w:marBottom w:val="0"/>
      <w:divBdr>
        <w:top w:val="none" w:sz="0" w:space="0" w:color="auto"/>
        <w:left w:val="none" w:sz="0" w:space="0" w:color="auto"/>
        <w:bottom w:val="none" w:sz="0" w:space="0" w:color="auto"/>
        <w:right w:val="none" w:sz="0" w:space="0" w:color="auto"/>
      </w:divBdr>
    </w:div>
    <w:div w:id="2064984751">
      <w:bodyDiv w:val="1"/>
      <w:marLeft w:val="0"/>
      <w:marRight w:val="0"/>
      <w:marTop w:val="0"/>
      <w:marBottom w:val="0"/>
      <w:divBdr>
        <w:top w:val="none" w:sz="0" w:space="0" w:color="auto"/>
        <w:left w:val="none" w:sz="0" w:space="0" w:color="auto"/>
        <w:bottom w:val="none" w:sz="0" w:space="0" w:color="auto"/>
        <w:right w:val="none" w:sz="0" w:space="0" w:color="auto"/>
      </w:divBdr>
    </w:div>
    <w:div w:id="2103644054">
      <w:bodyDiv w:val="1"/>
      <w:marLeft w:val="0"/>
      <w:marRight w:val="0"/>
      <w:marTop w:val="0"/>
      <w:marBottom w:val="0"/>
      <w:divBdr>
        <w:top w:val="none" w:sz="0" w:space="0" w:color="auto"/>
        <w:left w:val="none" w:sz="0" w:space="0" w:color="auto"/>
        <w:bottom w:val="none" w:sz="0" w:space="0" w:color="auto"/>
        <w:right w:val="none" w:sz="0" w:space="0" w:color="auto"/>
      </w:divBdr>
    </w:div>
    <w:div w:id="210503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haresansar.com/company/sadb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haresansar.com/company/lbbl" TargetMode="Externa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hyperlink" Target="https://www.sharesansar.com/company/ksbb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haresansar.com/company/gbbl" TargetMode="External"/><Relationship Id="rId5" Type="http://schemas.openxmlformats.org/officeDocument/2006/relationships/webSettings" Target="webSettings.xml"/><Relationship Id="rId15" Type="http://schemas.openxmlformats.org/officeDocument/2006/relationships/hyperlink" Target="https://www.sharesansar.com/company/shine"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haresansar.com/company/mlb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192.168.0.88\SanimaCapital\1.%20Research\reports\9.%20Q3%20reports%202024-25\2024-25%20Analysis%20DB%20Q3.xlsm"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'R4.Loan vs deposit'!$J$1</c:f>
          <c:strCache>
            <c:ptCount val="1"/>
            <c:pt idx="0">
              <c:v>LOANS  increase amt in billions vs DEPOSITS  increase amt in billions for 2024/25Q3 vs 2023/24Q3</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2.6586097659471862E-2"/>
          <c:y val="0.13187577707917059"/>
          <c:w val="0.91299095311445577"/>
          <c:h val="0.68652965716267866"/>
        </c:manualLayout>
      </c:layout>
      <c:barChart>
        <c:barDir val="col"/>
        <c:grouping val="clustered"/>
        <c:varyColors val="0"/>
        <c:ser>
          <c:idx val="0"/>
          <c:order val="0"/>
          <c:tx>
            <c:strRef>
              <c:f>'R4.Loan vs deposit'!$F$4</c:f>
              <c:strCache>
                <c:ptCount val="1"/>
                <c:pt idx="0">
                  <c:v>Loan amount(in billion)</c:v>
                </c:pt>
              </c:strCache>
            </c:strRef>
          </c:tx>
          <c:spPr>
            <a:solidFill>
              <a:schemeClr val="accent1"/>
            </a:solidFill>
            <a:ln>
              <a:noFill/>
            </a:ln>
            <a:effectLst/>
          </c:spPr>
          <c:invertIfNegative val="0"/>
          <c:dLbls>
            <c:dLbl>
              <c:idx val="0"/>
              <c:tx>
                <c:rich>
                  <a:bodyPr/>
                  <a:lstStyle/>
                  <a:p>
                    <a:fld id="{B64EDCA4-AF4D-40F9-BE65-42DBCEF5F477}" type="CELLRANGE">
                      <a:rPr lang="en-US"/>
                      <a:pPr/>
                      <a:t>[CELLRANGE]</a:t>
                    </a:fld>
                    <a:r>
                      <a:rPr lang="en-US" baseline="0"/>
                      <a:t>, </a:t>
                    </a:r>
                    <a:fld id="{7475B144-4845-4824-A885-E33DCE17C040}"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0-C0F9-4305-A634-F409228B62D1}"/>
                </c:ext>
              </c:extLst>
            </c:dLbl>
            <c:dLbl>
              <c:idx val="1"/>
              <c:tx>
                <c:rich>
                  <a:bodyPr/>
                  <a:lstStyle/>
                  <a:p>
                    <a:fld id="{544C135E-C7B0-4F31-A0F2-20246FA0A035}" type="CELLRANGE">
                      <a:rPr lang="en-US"/>
                      <a:pPr/>
                      <a:t>[CELLRANGE]</a:t>
                    </a:fld>
                    <a:r>
                      <a:rPr lang="en-US" baseline="0"/>
                      <a:t>, </a:t>
                    </a:r>
                    <a:fld id="{80D319AF-1DFE-4D31-8FE6-60EE87ABF39B}"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C0F9-4305-A634-F409228B62D1}"/>
                </c:ext>
              </c:extLst>
            </c:dLbl>
            <c:dLbl>
              <c:idx val="2"/>
              <c:tx>
                <c:rich>
                  <a:bodyPr/>
                  <a:lstStyle/>
                  <a:p>
                    <a:fld id="{265448AB-D3C7-477B-8A52-65D5B8E6CB5C}" type="CELLRANGE">
                      <a:rPr lang="en-US"/>
                      <a:pPr/>
                      <a:t>[CELLRANGE]</a:t>
                    </a:fld>
                    <a:r>
                      <a:rPr lang="en-US" baseline="0"/>
                      <a:t>, </a:t>
                    </a:r>
                    <a:fld id="{340B5DDF-EDD4-4778-BEA4-A8D8D44907B2}"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C0F9-4305-A634-F409228B62D1}"/>
                </c:ext>
              </c:extLst>
            </c:dLbl>
            <c:dLbl>
              <c:idx val="3"/>
              <c:tx>
                <c:rich>
                  <a:bodyPr/>
                  <a:lstStyle/>
                  <a:p>
                    <a:fld id="{B4BAFB7C-62B4-4CFD-95B2-9B3C7C6BDE20}" type="CELLRANGE">
                      <a:rPr lang="en-US"/>
                      <a:pPr/>
                      <a:t>[CELLRANGE]</a:t>
                    </a:fld>
                    <a:r>
                      <a:rPr lang="en-US" baseline="0"/>
                      <a:t>, </a:t>
                    </a:r>
                    <a:fld id="{30DA0948-F14B-4352-8D2E-365E0086FA8C}"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C0F9-4305-A634-F409228B62D1}"/>
                </c:ext>
              </c:extLst>
            </c:dLbl>
            <c:dLbl>
              <c:idx val="4"/>
              <c:tx>
                <c:rich>
                  <a:bodyPr/>
                  <a:lstStyle/>
                  <a:p>
                    <a:fld id="{02482817-40FE-4D3F-870B-E37FC8CC17A8}" type="CELLRANGE">
                      <a:rPr lang="en-US"/>
                      <a:pPr/>
                      <a:t>[CELLRANGE]</a:t>
                    </a:fld>
                    <a:r>
                      <a:rPr lang="en-US" baseline="0"/>
                      <a:t>, </a:t>
                    </a:r>
                    <a:fld id="{B9D333E9-F25E-4402-B829-143E716390E2}"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C0F9-4305-A634-F409228B62D1}"/>
                </c:ext>
              </c:extLst>
            </c:dLbl>
            <c:dLbl>
              <c:idx val="5"/>
              <c:tx>
                <c:rich>
                  <a:bodyPr/>
                  <a:lstStyle/>
                  <a:p>
                    <a:fld id="{50B448C4-074A-4CEB-BF8D-8883610FCE15}" type="CELLRANGE">
                      <a:rPr lang="en-US"/>
                      <a:pPr/>
                      <a:t>[CELLRANGE]</a:t>
                    </a:fld>
                    <a:r>
                      <a:rPr lang="en-US" baseline="0"/>
                      <a:t>, </a:t>
                    </a:r>
                    <a:fld id="{DBF4E6D8-1C1F-4F66-982E-6AC785E90722}"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C0F9-4305-A634-F409228B62D1}"/>
                </c:ext>
              </c:extLst>
            </c:dLbl>
            <c:dLbl>
              <c:idx val="6"/>
              <c:tx>
                <c:rich>
                  <a:bodyPr/>
                  <a:lstStyle/>
                  <a:p>
                    <a:fld id="{1297BE4A-F589-477B-9C7D-11C8E45FCEF5}" type="CELLRANGE">
                      <a:rPr lang="en-US"/>
                      <a:pPr/>
                      <a:t>[CELLRANGE]</a:t>
                    </a:fld>
                    <a:r>
                      <a:rPr lang="en-US" baseline="0"/>
                      <a:t>, </a:t>
                    </a:r>
                    <a:fld id="{36D9F08B-B7D5-4C16-AB98-A1B5D4F1E237}"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C0F9-4305-A634-F409228B62D1}"/>
                </c:ext>
              </c:extLst>
            </c:dLbl>
            <c:dLbl>
              <c:idx val="7"/>
              <c:layout>
                <c:manualLayout>
                  <c:x val="-3.4434520606908423E-2"/>
                  <c:y val="0"/>
                </c:manualLayout>
              </c:layout>
              <c:tx>
                <c:rich>
                  <a:bodyPr/>
                  <a:lstStyle/>
                  <a:p>
                    <a:fld id="{733A887F-CB37-436D-9DE8-98D82B9DBC5C}" type="CELLRANGE">
                      <a:rPr lang="en-US" baseline="0"/>
                      <a:pPr/>
                      <a:t>[CELLRANGE]</a:t>
                    </a:fld>
                    <a:r>
                      <a:rPr lang="en-US" baseline="0"/>
                      <a:t>, </a:t>
                    </a:r>
                    <a:fld id="{51765EB6-09FA-452A-B12A-A4E6B4CB8F2F}"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7-C0F9-4305-A634-F409228B62D1}"/>
                </c:ext>
              </c:extLst>
            </c:dLbl>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cat>
            <c:strRef>
              <c:f>'R4.Loan vs deposit'!$B$6:$B$13</c:f>
              <c:strCache>
                <c:ptCount val="8"/>
                <c:pt idx="0">
                  <c:v> KSBBL </c:v>
                </c:pt>
                <c:pt idx="1">
                  <c:v> GBBL </c:v>
                </c:pt>
                <c:pt idx="2">
                  <c:v> SHINE </c:v>
                </c:pt>
                <c:pt idx="3">
                  <c:v> SADBL </c:v>
                </c:pt>
                <c:pt idx="4">
                  <c:v> LBBL </c:v>
                </c:pt>
                <c:pt idx="5">
                  <c:v> MNBBL </c:v>
                </c:pt>
                <c:pt idx="6">
                  <c:v> MLBL </c:v>
                </c:pt>
                <c:pt idx="7">
                  <c:v> JBBL </c:v>
                </c:pt>
              </c:strCache>
            </c:strRef>
          </c:cat>
          <c:val>
            <c:numRef>
              <c:f>'R4.Loan vs deposit'!$F$6:$F$13</c:f>
              <c:numCache>
                <c:formatCode>_(* #,##0.00_);_(* \(#,##0.00\);_(* "-"??_);_(@_)</c:formatCode>
                <c:ptCount val="8"/>
                <c:pt idx="0">
                  <c:v>3.7930896880000011</c:v>
                </c:pt>
                <c:pt idx="1">
                  <c:v>4.4316127639999987</c:v>
                </c:pt>
                <c:pt idx="2">
                  <c:v>2.6070528259999977</c:v>
                </c:pt>
                <c:pt idx="3">
                  <c:v>2.0150171920000015</c:v>
                </c:pt>
                <c:pt idx="4">
                  <c:v>1.4042908859999998</c:v>
                </c:pt>
                <c:pt idx="5">
                  <c:v>2.7651635509999992</c:v>
                </c:pt>
                <c:pt idx="6">
                  <c:v>1.2389386829999984</c:v>
                </c:pt>
                <c:pt idx="7">
                  <c:v>-6.1005870600000023</c:v>
                </c:pt>
              </c:numCache>
            </c:numRef>
          </c:val>
          <c:extLst>
            <c:ext xmlns:c15="http://schemas.microsoft.com/office/drawing/2012/chart" uri="{02D57815-91ED-43cb-92C2-25804820EDAC}">
              <c15:datalabelsRange>
                <c15:f>'R4.Loan vs deposit'!$E$6:$E$13</c15:f>
                <c15:dlblRangeCache>
                  <c:ptCount val="8"/>
                  <c:pt idx="0">
                    <c:v>7.8%</c:v>
                  </c:pt>
                  <c:pt idx="1">
                    <c:v>6.4%</c:v>
                  </c:pt>
                  <c:pt idx="2">
                    <c:v>4.9%</c:v>
                  </c:pt>
                  <c:pt idx="3">
                    <c:v>4.5%</c:v>
                  </c:pt>
                  <c:pt idx="4">
                    <c:v>3.0%</c:v>
                  </c:pt>
                  <c:pt idx="5">
                    <c:v>2.9%</c:v>
                  </c:pt>
                  <c:pt idx="6">
                    <c:v>2.8%</c:v>
                  </c:pt>
                  <c:pt idx="7">
                    <c:v>-11.3%</c:v>
                  </c:pt>
                </c15:dlblRangeCache>
              </c15:datalabelsRange>
            </c:ext>
            <c:ext xmlns:c16="http://schemas.microsoft.com/office/drawing/2014/chart" uri="{C3380CC4-5D6E-409C-BE32-E72D297353CC}">
              <c16:uniqueId val="{00000008-C0F9-4305-A634-F409228B62D1}"/>
            </c:ext>
          </c:extLst>
        </c:ser>
        <c:ser>
          <c:idx val="1"/>
          <c:order val="1"/>
          <c:tx>
            <c:strRef>
              <c:f>'R4.Loan vs deposit'!$J$4</c:f>
              <c:strCache>
                <c:ptCount val="1"/>
                <c:pt idx="0">
                  <c:v>Deposit amount(in billion)</c:v>
                </c:pt>
              </c:strCache>
            </c:strRef>
          </c:tx>
          <c:spPr>
            <a:solidFill>
              <a:schemeClr val="accent2"/>
            </a:solidFill>
            <a:ln>
              <a:noFill/>
            </a:ln>
            <a:effectLst/>
          </c:spPr>
          <c:invertIfNegative val="0"/>
          <c:dLbls>
            <c:dLbl>
              <c:idx val="0"/>
              <c:tx>
                <c:rich>
                  <a:bodyPr/>
                  <a:lstStyle/>
                  <a:p>
                    <a:fld id="{8D924C52-3F5D-4670-84A1-2ADD8E739B85}" type="CELLRANGE">
                      <a:rPr lang="en-US"/>
                      <a:pPr/>
                      <a:t>[CELLRANGE]</a:t>
                    </a:fld>
                    <a:r>
                      <a:rPr lang="en-US" baseline="0"/>
                      <a:t>, </a:t>
                    </a:r>
                    <a:fld id="{7113197C-2F57-44AF-8AAA-7F4A65563CC3}"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C0F9-4305-A634-F409228B62D1}"/>
                </c:ext>
              </c:extLst>
            </c:dLbl>
            <c:dLbl>
              <c:idx val="1"/>
              <c:tx>
                <c:rich>
                  <a:bodyPr/>
                  <a:lstStyle/>
                  <a:p>
                    <a:fld id="{F4393250-EFF0-464C-BE87-B20D56FA9BA1}" type="CELLRANGE">
                      <a:rPr lang="en-US"/>
                      <a:pPr/>
                      <a:t>[CELLRANGE]</a:t>
                    </a:fld>
                    <a:r>
                      <a:rPr lang="en-US" baseline="0"/>
                      <a:t>, </a:t>
                    </a:r>
                    <a:fld id="{369BEA37-E063-4324-BBEB-4068FA1DB1F3}"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C0F9-4305-A634-F409228B62D1}"/>
                </c:ext>
              </c:extLst>
            </c:dLbl>
            <c:dLbl>
              <c:idx val="2"/>
              <c:tx>
                <c:rich>
                  <a:bodyPr/>
                  <a:lstStyle/>
                  <a:p>
                    <a:fld id="{C4097D96-835C-4326-BCDD-7BFF1F8AE718}" type="CELLRANGE">
                      <a:rPr lang="en-US"/>
                      <a:pPr/>
                      <a:t>[CELLRANGE]</a:t>
                    </a:fld>
                    <a:r>
                      <a:rPr lang="en-US" baseline="0"/>
                      <a:t>, </a:t>
                    </a:r>
                    <a:fld id="{FDBDA889-69C8-468D-9796-6022849BBCBF}"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C0F9-4305-A634-F409228B62D1}"/>
                </c:ext>
              </c:extLst>
            </c:dLbl>
            <c:dLbl>
              <c:idx val="3"/>
              <c:tx>
                <c:rich>
                  <a:bodyPr/>
                  <a:lstStyle/>
                  <a:p>
                    <a:fld id="{2B02EA75-93F1-460D-94D9-FC84B36A2387}" type="CELLRANGE">
                      <a:rPr lang="en-US"/>
                      <a:pPr/>
                      <a:t>[CELLRANGE]</a:t>
                    </a:fld>
                    <a:r>
                      <a:rPr lang="en-US" baseline="0"/>
                      <a:t>, </a:t>
                    </a:r>
                    <a:fld id="{AAB10930-BD9F-40A2-AA7B-64ACDCFBD401}"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C0F9-4305-A634-F409228B62D1}"/>
                </c:ext>
              </c:extLst>
            </c:dLbl>
            <c:dLbl>
              <c:idx val="4"/>
              <c:tx>
                <c:rich>
                  <a:bodyPr/>
                  <a:lstStyle/>
                  <a:p>
                    <a:fld id="{5E815CD2-DC91-4BAC-82B2-CB36F0720769}" type="CELLRANGE">
                      <a:rPr lang="en-US"/>
                      <a:pPr/>
                      <a:t>[CELLRANGE]</a:t>
                    </a:fld>
                    <a:r>
                      <a:rPr lang="en-US" baseline="0"/>
                      <a:t>, </a:t>
                    </a:r>
                    <a:fld id="{304013AE-7835-4A95-8D9C-121EF7F97374}"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C0F9-4305-A634-F409228B62D1}"/>
                </c:ext>
              </c:extLst>
            </c:dLbl>
            <c:dLbl>
              <c:idx val="5"/>
              <c:tx>
                <c:rich>
                  <a:bodyPr/>
                  <a:lstStyle/>
                  <a:p>
                    <a:fld id="{3053A055-496D-4D1D-B45F-CD245D8BD4D5}" type="CELLRANGE">
                      <a:rPr lang="en-US"/>
                      <a:pPr/>
                      <a:t>[CELLRANGE]</a:t>
                    </a:fld>
                    <a:r>
                      <a:rPr lang="en-US" baseline="0"/>
                      <a:t>, </a:t>
                    </a:r>
                    <a:fld id="{774229E8-8B26-4BAB-BBC7-D5BEE880E66B}"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C0F9-4305-A634-F409228B62D1}"/>
                </c:ext>
              </c:extLst>
            </c:dLbl>
            <c:dLbl>
              <c:idx val="6"/>
              <c:tx>
                <c:rich>
                  <a:bodyPr/>
                  <a:lstStyle/>
                  <a:p>
                    <a:fld id="{802A25ED-41F9-46D8-9FC9-702A5E4CD7C7}" type="CELLRANGE">
                      <a:rPr lang="en-US"/>
                      <a:pPr/>
                      <a:t>[CELLRANGE]</a:t>
                    </a:fld>
                    <a:r>
                      <a:rPr lang="en-US" baseline="0"/>
                      <a:t>, </a:t>
                    </a:r>
                    <a:fld id="{2643BE0C-11B7-49DA-9F3E-007CB91EEC34}"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C0F9-4305-A634-F409228B62D1}"/>
                </c:ext>
              </c:extLst>
            </c:dLbl>
            <c:dLbl>
              <c:idx val="7"/>
              <c:tx>
                <c:rich>
                  <a:bodyPr/>
                  <a:lstStyle/>
                  <a:p>
                    <a:fld id="{A8F3E243-01E6-4A61-8115-2859BE4562EE}" type="CELLRANGE">
                      <a:rPr lang="en-US"/>
                      <a:pPr/>
                      <a:t>[CELLRANGE]</a:t>
                    </a:fld>
                    <a:r>
                      <a:rPr lang="en-US" baseline="0"/>
                      <a:t>, </a:t>
                    </a:r>
                    <a:fld id="{37385FC2-B7CF-4472-8F8B-02718C79D4D7}"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C0F9-4305-A634-F409228B62D1}"/>
                </c:ext>
              </c:extLst>
            </c:dLbl>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cat>
            <c:strRef>
              <c:f>'R4.Loan vs deposit'!$B$6:$B$13</c:f>
              <c:strCache>
                <c:ptCount val="8"/>
                <c:pt idx="0">
                  <c:v> KSBBL </c:v>
                </c:pt>
                <c:pt idx="1">
                  <c:v> GBBL </c:v>
                </c:pt>
                <c:pt idx="2">
                  <c:v> SHINE </c:v>
                </c:pt>
                <c:pt idx="3">
                  <c:v> SADBL </c:v>
                </c:pt>
                <c:pt idx="4">
                  <c:v> LBBL </c:v>
                </c:pt>
                <c:pt idx="5">
                  <c:v> MNBBL </c:v>
                </c:pt>
                <c:pt idx="6">
                  <c:v> MLBL </c:v>
                </c:pt>
                <c:pt idx="7">
                  <c:v> JBBL </c:v>
                </c:pt>
              </c:strCache>
            </c:strRef>
          </c:cat>
          <c:val>
            <c:numRef>
              <c:f>'R4.Loan vs deposit'!$J$6:$J$13</c:f>
              <c:numCache>
                <c:formatCode>_(* #,##0.00_);_(* \(#,##0.00\);_(* "-"??_);_(@_)</c:formatCode>
                <c:ptCount val="8"/>
                <c:pt idx="0">
                  <c:v>4.6163419420000018</c:v>
                </c:pt>
                <c:pt idx="1">
                  <c:v>2.959894973999992</c:v>
                </c:pt>
                <c:pt idx="2">
                  <c:v>6.3076955110000075</c:v>
                </c:pt>
                <c:pt idx="3">
                  <c:v>2.1305027309999987</c:v>
                </c:pt>
                <c:pt idx="4">
                  <c:v>-0.83965715699999777</c:v>
                </c:pt>
                <c:pt idx="5">
                  <c:v>2.9254439309999944</c:v>
                </c:pt>
                <c:pt idx="6">
                  <c:v>0.1401636000000015</c:v>
                </c:pt>
                <c:pt idx="7">
                  <c:v>-4.6726135700000002</c:v>
                </c:pt>
              </c:numCache>
            </c:numRef>
          </c:val>
          <c:extLst>
            <c:ext xmlns:c15="http://schemas.microsoft.com/office/drawing/2012/chart" uri="{02D57815-91ED-43cb-92C2-25804820EDAC}">
              <c15:datalabelsRange>
                <c15:f>'R4.Loan vs deposit'!$I$6:$I$13</c15:f>
                <c15:dlblRangeCache>
                  <c:ptCount val="8"/>
                  <c:pt idx="0">
                    <c:v>8.1%</c:v>
                  </c:pt>
                  <c:pt idx="1">
                    <c:v>3.6%</c:v>
                  </c:pt>
                  <c:pt idx="2">
                    <c:v>10.0%</c:v>
                  </c:pt>
                  <c:pt idx="3">
                    <c:v>4.0%</c:v>
                  </c:pt>
                  <c:pt idx="4">
                    <c:v>-1.5%</c:v>
                  </c:pt>
                  <c:pt idx="5">
                    <c:v>2.6%</c:v>
                  </c:pt>
                  <c:pt idx="6">
                    <c:v>0.3%</c:v>
                  </c:pt>
                  <c:pt idx="7">
                    <c:v>-7.4%</c:v>
                  </c:pt>
                </c15:dlblRangeCache>
              </c15:datalabelsRange>
            </c:ext>
            <c:ext xmlns:c16="http://schemas.microsoft.com/office/drawing/2014/chart" uri="{C3380CC4-5D6E-409C-BE32-E72D297353CC}">
              <c16:uniqueId val="{00000011-C0F9-4305-A634-F409228B62D1}"/>
            </c:ext>
          </c:extLst>
        </c:ser>
        <c:dLbls>
          <c:dLblPos val="outEnd"/>
          <c:showLegendKey val="0"/>
          <c:showVal val="1"/>
          <c:showCatName val="0"/>
          <c:showSerName val="0"/>
          <c:showPercent val="0"/>
          <c:showBubbleSize val="0"/>
        </c:dLbls>
        <c:gapWidth val="219"/>
        <c:overlap val="-27"/>
        <c:axId val="443444792"/>
        <c:axId val="443447416"/>
      </c:barChart>
      <c:catAx>
        <c:axId val="44344479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447416"/>
        <c:crosses val="autoZero"/>
        <c:auto val="1"/>
        <c:lblAlgn val="ctr"/>
        <c:lblOffset val="100"/>
        <c:noMultiLvlLbl val="0"/>
      </c:catAx>
      <c:valAx>
        <c:axId val="443447416"/>
        <c:scaling>
          <c:orientation val="minMax"/>
        </c:scaling>
        <c:delete val="1"/>
        <c:axPos val="l"/>
        <c:numFmt formatCode="_(* #,##0.00_);_(* \(#,##0.00\);_(* &quot;-&quot;??_);_(@_)" sourceLinked="1"/>
        <c:majorTickMark val="none"/>
        <c:minorTickMark val="none"/>
        <c:tickLblPos val="nextTo"/>
        <c:crossAx val="443444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0B3C6-5ED0-4659-AD89-A19B03E9B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1932</TotalTime>
  <Pages>10</Pages>
  <Words>2149</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sanimacapital@sanimabank.com</Company>
  <LinksUpToDate>false</LinksUpToDate>
  <CharactersWithSpaces>14376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BIKRAM STHAPIT</dc:creator>
  <cp:keywords/>
  <dc:description/>
  <cp:lastModifiedBy>AKHILESH BIKRAM STHAPIT</cp:lastModifiedBy>
  <cp:revision>130</cp:revision>
  <cp:lastPrinted>2025-04-23T07:30:00Z</cp:lastPrinted>
  <dcterms:created xsi:type="dcterms:W3CDTF">2024-06-11T09:57:00Z</dcterms:created>
  <dcterms:modified xsi:type="dcterms:W3CDTF">2025-08-11T08:11:00Z</dcterms:modified>
</cp:coreProperties>
</file>