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204788928" w:displacedByCustomXml="next"/>
    <w:bookmarkStart w:id="1" w:name="_Hlk181097014" w:displacedByCustomXml="next"/>
    <w:sdt>
      <w:sdtPr>
        <w:rPr>
          <w:rFonts w:eastAsiaTheme="minorHAnsi"/>
          <w:color w:val="auto"/>
          <w:highlight w:val="yellow"/>
        </w:rPr>
        <w:id w:val="-761985391"/>
        <w:docPartObj>
          <w:docPartGallery w:val="Cover Pages"/>
          <w:docPartUnique/>
        </w:docPartObj>
      </w:sdtPr>
      <w:sdtEndPr>
        <w:rPr>
          <w:rFonts w:cs="Times New Roman"/>
          <w:b w:val="0"/>
          <w:color w:val="FFFFFF" w:themeColor="background1"/>
          <w:sz w:val="24"/>
          <w:szCs w:val="24"/>
        </w:rPr>
      </w:sdtEndPr>
      <w:sdtContent>
        <w:p w:rsidR="00857E09" w:rsidRPr="006D7549" w:rsidRDefault="00857E09" w:rsidP="00944817">
          <w:pPr>
            <w:pStyle w:val="Heading2"/>
            <w:rPr>
              <w:highlight w:val="yellow"/>
            </w:rPr>
          </w:pPr>
          <w:r w:rsidRPr="006D7549">
            <w:rPr>
              <w:noProof/>
              <w:highlight w:val="yellow"/>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0" name="Group 10"/>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1" name="Rectangle 11"/>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82D89" w:rsidRDefault="00082D89">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6" name="Group 16"/>
                            <wpg:cNvGrpSpPr/>
                            <wpg:grpSpPr>
                              <a:xfrm>
                                <a:off x="76200" y="4210050"/>
                                <a:ext cx="2057400" cy="4910328"/>
                                <a:chOff x="80645" y="4211812"/>
                                <a:chExt cx="1306273" cy="3121026"/>
                              </a:xfrm>
                            </wpg:grpSpPr>
                            <wpg:grpSp>
                              <wpg:cNvPr id="17" name="Group 17"/>
                              <wpg:cNvGrpSpPr>
                                <a:grpSpLocks noChangeAspect="1"/>
                              </wpg:cNvGrpSpPr>
                              <wpg:grpSpPr>
                                <a:xfrm>
                                  <a:off x="141062" y="4211812"/>
                                  <a:ext cx="1047750" cy="3121026"/>
                                  <a:chOff x="141062" y="4211812"/>
                                  <a:chExt cx="1047750" cy="3121026"/>
                                </a:xfrm>
                              </wpg:grpSpPr>
                              <wps:wsp>
                                <wps:cNvPr id="18"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0" name="Group 30"/>
                              <wpg:cNvGrpSpPr>
                                <a:grpSpLocks noChangeAspect="1"/>
                              </wpg:cNvGrpSpPr>
                              <wpg:grpSpPr>
                                <a:xfrm>
                                  <a:off x="80645" y="4826972"/>
                                  <a:ext cx="1306273" cy="2505863"/>
                                  <a:chOff x="80645" y="4649964"/>
                                  <a:chExt cx="874712" cy="1677988"/>
                                </a:xfrm>
                              </wpg:grpSpPr>
                              <wps:wsp>
                                <wps:cNvPr id="3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8"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9"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0"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1"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2"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3"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4"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5"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6"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7"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10"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8eTC1VAkAACXBAEADgAA&#10;AAAAAAAAAAAAAAAuAgAAZHJzL2Uyb0RvYy54bWxQSwECLQAUAAYACAAAACEAT/eVMt0AAAAGAQAA&#10;DwAAAAAAAAAAAAAAAACqJgAAZHJzL2Rvd25yZXYueG1sUEsFBgAAAAAEAAQA8wAAALQnAAAAAA==&#10;">
                    <v:rect id="Rectangle 11"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" adj="18883" fillcolor="#4472c4 [3204]" stroked="f" strokeweight="1pt">
                      <v:textbox inset=",0,14.4pt,0">
                        <w:txbxContent>
                          <w:p w:rsidR="00082D89" w:rsidRDefault="00082D89">
                            <w:pPr>
                              <w:pStyle w:val="NoSpacing"/>
                              <w:jc w:val="right"/>
                              <w:rPr>
                                <w:color w:val="FFFFFF" w:themeColor="background1"/>
                                <w:sz w:val="28"/>
                                <w:szCs w:val="28"/>
                              </w:rPr>
                            </w:pPr>
                          </w:p>
                        </w:txbxContent>
                      </v:textbox>
                    </v:shape>
                    <v:group id="Group 1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17"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JlWxQAAANsAAAAPAAAAZHJzL2Rvd25yZXYueG1sRI9Pa8JA&#10;FMTvQr/D8gq96cZQWom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2NJlW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3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bookmarkEnd w:id="0"/>
        </w:p>
        <w:p w:rsidR="006431C4" w:rsidRPr="006D7549" w:rsidRDefault="006431C4" w:rsidP="00AF4EC0">
          <w:pPr>
            <w:spacing w:line="360" w:lineRule="auto"/>
            <w:rPr>
              <w:rFonts w:ascii="Times New Roman" w:eastAsiaTheme="minorEastAsia" w:hAnsi="Times New Roman" w:cs="Times New Roman"/>
              <w:color w:val="FFFFFF" w:themeColor="background1"/>
              <w:sz w:val="24"/>
              <w:szCs w:val="24"/>
              <w:highlight w:val="yellow"/>
            </w:rPr>
          </w:pPr>
          <w:r w:rsidRPr="006D7549">
            <w:rPr>
              <w:rFonts w:ascii="Times New Roman" w:hAnsi="Times New Roman" w:cs="Times New Roman"/>
              <w:noProof/>
              <w:sz w:val="24"/>
              <w:szCs w:val="24"/>
              <w:highlight w:val="yellow"/>
            </w:rPr>
            <mc:AlternateContent>
              <mc:Choice Requires="wps">
                <w:drawing>
                  <wp:anchor distT="0" distB="0" distL="114300" distR="114300" simplePos="0" relativeHeight="251660288" behindDoc="0" locked="0" layoutInCell="1" allowOverlap="1">
                    <wp:simplePos x="314325" y="1762125"/>
                    <wp:positionH relativeFrom="margin">
                      <wp:align>center</wp:align>
                    </wp:positionH>
                    <wp:positionV relativeFrom="margin">
                      <wp:align>top</wp:align>
                    </wp:positionV>
                    <wp:extent cx="6400800" cy="1005840"/>
                    <wp:effectExtent l="0" t="0" r="0" b="3810"/>
                    <wp:wrapSquare wrapText="bothSides"/>
                    <wp:docPr id="138" name="Text Box 138"/>
                    <wp:cNvGraphicFramePr/>
                    <a:graphic xmlns:a="http://schemas.openxmlformats.org/drawingml/2006/main">
                      <a:graphicData uri="http://schemas.microsoft.com/office/word/2010/wordprocessingShape">
                        <wps:wsp>
                          <wps:cNvSpPr txBox="1"/>
                          <wps:spPr>
                            <a:xfrm>
                              <a:off x="0" y="0"/>
                              <a:ext cx="6400800" cy="1005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2D89" w:rsidRPr="003F3701" w:rsidRDefault="00082D89" w:rsidP="006431C4">
                                <w:pPr>
                                  <w:pStyle w:val="NoSpacing"/>
                                  <w:jc w:val="center"/>
                                  <w:rPr>
                                    <w:rFonts w:ascii="Times New Roman" w:eastAsiaTheme="majorEastAsia" w:hAnsi="Times New Roman" w:cs="Times New Roman"/>
                                    <w:b/>
                                    <w:color w:val="262626" w:themeColor="text1" w:themeTint="D9"/>
                                    <w:sz w:val="60"/>
                                    <w:szCs w:val="60"/>
                                  </w:rPr>
                                </w:pPr>
                                <w:r w:rsidRPr="003F3701">
                                  <w:rPr>
                                    <w:rFonts w:ascii="Times New Roman" w:eastAsiaTheme="majorEastAsia" w:hAnsi="Times New Roman" w:cs="Times New Roman"/>
                                    <w:b/>
                                    <w:color w:val="262626" w:themeColor="text1" w:themeTint="D9"/>
                                    <w:sz w:val="60"/>
                                    <w:szCs w:val="60"/>
                                  </w:rPr>
                                  <w:t xml:space="preserve">Industry report of </w:t>
                                </w:r>
                                <w:r>
                                  <w:rPr>
                                    <w:rFonts w:ascii="Times New Roman" w:eastAsiaTheme="majorEastAsia" w:hAnsi="Times New Roman" w:cs="Times New Roman"/>
                                    <w:b/>
                                    <w:color w:val="262626" w:themeColor="text1" w:themeTint="D9"/>
                                    <w:sz w:val="60"/>
                                    <w:szCs w:val="60"/>
                                  </w:rPr>
                                  <w:t xml:space="preserve">Hotels and Tourism </w:t>
                                </w:r>
                              </w:p>
                              <w:p w:rsidR="00082D89" w:rsidRPr="005F5618" w:rsidRDefault="00082D89" w:rsidP="00436CE6">
                                <w:pPr>
                                  <w:pStyle w:val="NoSpacing"/>
                                  <w:jc w:val="center"/>
                                  <w:rPr>
                                    <w:rFonts w:ascii="Times New Roman" w:eastAsiaTheme="majorEastAsia" w:hAnsi="Times New Roman" w:cs="Times New Roman"/>
                                    <w:i/>
                                    <w:color w:val="262626" w:themeColor="text1" w:themeTint="D9"/>
                                    <w:sz w:val="40"/>
                                    <w:szCs w:val="40"/>
                                    <w:u w:val="single"/>
                                  </w:rPr>
                                </w:pPr>
                                <w:r w:rsidRPr="005F5618">
                                  <w:rPr>
                                    <w:rFonts w:ascii="Times New Roman" w:eastAsiaTheme="majorEastAsia" w:hAnsi="Times New Roman" w:cs="Times New Roman"/>
                                    <w:i/>
                                    <w:color w:val="262626" w:themeColor="text1" w:themeTint="D9"/>
                                    <w:sz w:val="40"/>
                                    <w:szCs w:val="40"/>
                                    <w:u w:val="single"/>
                                  </w:rPr>
                                  <w:t>As of Q</w:t>
                                </w:r>
                                <w:r>
                                  <w:rPr>
                                    <w:rFonts w:ascii="Times New Roman" w:eastAsiaTheme="majorEastAsia" w:hAnsi="Times New Roman" w:cs="Times New Roman"/>
                                    <w:i/>
                                    <w:color w:val="262626" w:themeColor="text1" w:themeTint="D9"/>
                                    <w:sz w:val="40"/>
                                    <w:szCs w:val="40"/>
                                    <w:u w:val="single"/>
                                  </w:rPr>
                                  <w:t>3</w:t>
                                </w:r>
                                <w:r w:rsidRPr="005F5618">
                                  <w:rPr>
                                    <w:rFonts w:ascii="Times New Roman" w:eastAsiaTheme="majorEastAsia" w:hAnsi="Times New Roman" w:cs="Times New Roman"/>
                                    <w:i/>
                                    <w:color w:val="262626" w:themeColor="text1" w:themeTint="D9"/>
                                    <w:sz w:val="40"/>
                                    <w:szCs w:val="40"/>
                                    <w:u w:val="single"/>
                                  </w:rPr>
                                  <w:t xml:space="preserve"> 2024/25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8" o:spid="_x0000_s1055" type="#_x0000_t202" style="position:absolute;margin-left:0;margin-top:0;width:7in;height:79.2pt;z-index:251660288;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" filled="f" stroked="f" strokeweight=".5pt">
                    <v:textbox inset="0,0,0,0">
                      <w:txbxContent>
                        <w:p w:rsidR="00082D89" w:rsidRPr="003F3701" w:rsidRDefault="00082D89" w:rsidP="006431C4">
                          <w:pPr>
                            <w:pStyle w:val="NoSpacing"/>
                            <w:jc w:val="center"/>
                            <w:rPr>
                              <w:rFonts w:ascii="Times New Roman" w:eastAsiaTheme="majorEastAsia" w:hAnsi="Times New Roman" w:cs="Times New Roman"/>
                              <w:b/>
                              <w:color w:val="262626" w:themeColor="text1" w:themeTint="D9"/>
                              <w:sz w:val="60"/>
                              <w:szCs w:val="60"/>
                            </w:rPr>
                          </w:pPr>
                          <w:r w:rsidRPr="003F3701">
                            <w:rPr>
                              <w:rFonts w:ascii="Times New Roman" w:eastAsiaTheme="majorEastAsia" w:hAnsi="Times New Roman" w:cs="Times New Roman"/>
                              <w:b/>
                              <w:color w:val="262626" w:themeColor="text1" w:themeTint="D9"/>
                              <w:sz w:val="60"/>
                              <w:szCs w:val="60"/>
                            </w:rPr>
                            <w:t xml:space="preserve">Industry report of </w:t>
                          </w:r>
                          <w:r>
                            <w:rPr>
                              <w:rFonts w:ascii="Times New Roman" w:eastAsiaTheme="majorEastAsia" w:hAnsi="Times New Roman" w:cs="Times New Roman"/>
                              <w:b/>
                              <w:color w:val="262626" w:themeColor="text1" w:themeTint="D9"/>
                              <w:sz w:val="60"/>
                              <w:szCs w:val="60"/>
                            </w:rPr>
                            <w:t xml:space="preserve">Hotels and Tourism </w:t>
                          </w:r>
                        </w:p>
                        <w:p w:rsidR="00082D89" w:rsidRPr="005F5618" w:rsidRDefault="00082D89" w:rsidP="00436CE6">
                          <w:pPr>
                            <w:pStyle w:val="NoSpacing"/>
                            <w:jc w:val="center"/>
                            <w:rPr>
                              <w:rFonts w:ascii="Times New Roman" w:eastAsiaTheme="majorEastAsia" w:hAnsi="Times New Roman" w:cs="Times New Roman"/>
                              <w:i/>
                              <w:color w:val="262626" w:themeColor="text1" w:themeTint="D9"/>
                              <w:sz w:val="40"/>
                              <w:szCs w:val="40"/>
                              <w:u w:val="single"/>
                            </w:rPr>
                          </w:pPr>
                          <w:r w:rsidRPr="005F5618">
                            <w:rPr>
                              <w:rFonts w:ascii="Times New Roman" w:eastAsiaTheme="majorEastAsia" w:hAnsi="Times New Roman" w:cs="Times New Roman"/>
                              <w:i/>
                              <w:color w:val="262626" w:themeColor="text1" w:themeTint="D9"/>
                              <w:sz w:val="40"/>
                              <w:szCs w:val="40"/>
                              <w:u w:val="single"/>
                            </w:rPr>
                            <w:t>As of Q</w:t>
                          </w:r>
                          <w:r>
                            <w:rPr>
                              <w:rFonts w:ascii="Times New Roman" w:eastAsiaTheme="majorEastAsia" w:hAnsi="Times New Roman" w:cs="Times New Roman"/>
                              <w:i/>
                              <w:color w:val="262626" w:themeColor="text1" w:themeTint="D9"/>
                              <w:sz w:val="40"/>
                              <w:szCs w:val="40"/>
                              <w:u w:val="single"/>
                            </w:rPr>
                            <w:t>3</w:t>
                          </w:r>
                          <w:r w:rsidRPr="005F5618">
                            <w:rPr>
                              <w:rFonts w:ascii="Times New Roman" w:eastAsiaTheme="majorEastAsia" w:hAnsi="Times New Roman" w:cs="Times New Roman"/>
                              <w:i/>
                              <w:color w:val="262626" w:themeColor="text1" w:themeTint="D9"/>
                              <w:sz w:val="40"/>
                              <w:szCs w:val="40"/>
                              <w:u w:val="single"/>
                            </w:rPr>
                            <w:t xml:space="preserve"> 2024/25</w:t>
                          </w:r>
                        </w:p>
                      </w:txbxContent>
                    </v:textbox>
                    <w10:wrap type="square" anchorx="margin" anchory="margin"/>
                  </v:shape>
                </w:pict>
              </mc:Fallback>
            </mc:AlternateContent>
          </w:r>
        </w:p>
        <w:p w:rsidR="00F146C5" w:rsidRPr="006D7549" w:rsidRDefault="00DB56F9" w:rsidP="00AF4EC0">
          <w:pPr>
            <w:spacing w:line="360" w:lineRule="auto"/>
            <w:rPr>
              <w:rFonts w:ascii="Times New Roman" w:eastAsiaTheme="minorEastAsia" w:hAnsi="Times New Roman" w:cs="Times New Roman"/>
              <w:color w:val="FFFFFF" w:themeColor="background1"/>
              <w:sz w:val="24"/>
              <w:szCs w:val="24"/>
              <w:highlight w:val="yellow"/>
            </w:rPr>
          </w:pPr>
          <w:r w:rsidRPr="006D7549">
            <w:rPr>
              <w:rFonts w:ascii="Times New Roman" w:hAnsi="Times New Roman" w:cs="Times New Roman"/>
              <w:noProof/>
              <w:sz w:val="24"/>
              <w:szCs w:val="24"/>
              <w:highlight w:val="yellow"/>
            </w:rPr>
            <w:drawing>
              <wp:anchor distT="0" distB="0" distL="114300" distR="114300" simplePos="0" relativeHeight="251663360" behindDoc="0" locked="0" layoutInCell="1" allowOverlap="1" wp14:anchorId="2083287A" wp14:editId="62B48F55">
                <wp:simplePos x="0" y="0"/>
                <wp:positionH relativeFrom="margin">
                  <wp:align>center</wp:align>
                </wp:positionH>
                <wp:positionV relativeFrom="margin">
                  <wp:align>center</wp:align>
                </wp:positionV>
                <wp:extent cx="6400800" cy="1378305"/>
                <wp:effectExtent l="0" t="0" r="0" b="0"/>
                <wp:wrapSquare wrapText="bothSides"/>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ima capital high resolution final - Copy.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00800" cy="1378305"/>
                        </a:xfrm>
                        <a:prstGeom prst="rect">
                          <a:avLst/>
                        </a:prstGeom>
                      </pic:spPr>
                    </pic:pic>
                  </a:graphicData>
                </a:graphic>
                <wp14:sizeRelH relativeFrom="page">
                  <wp14:pctWidth>0</wp14:pctWidth>
                </wp14:sizeRelH>
                <wp14:sizeRelV relativeFrom="page">
                  <wp14:pctHeight>0</wp14:pctHeight>
                </wp14:sizeRelV>
              </wp:anchor>
            </w:drawing>
          </w:r>
        </w:p>
        <w:p w:rsidR="00F146C5" w:rsidRPr="006D7549" w:rsidRDefault="00F146C5" w:rsidP="00AF4EC0">
          <w:pPr>
            <w:spacing w:line="360" w:lineRule="auto"/>
            <w:rPr>
              <w:rFonts w:ascii="Times New Roman" w:eastAsiaTheme="minorEastAsia" w:hAnsi="Times New Roman" w:cs="Times New Roman"/>
              <w:color w:val="FFFFFF" w:themeColor="background1"/>
              <w:sz w:val="24"/>
              <w:szCs w:val="24"/>
              <w:highlight w:val="yellow"/>
            </w:rPr>
          </w:pPr>
        </w:p>
        <w:p w:rsidR="00F146C5" w:rsidRPr="006D7549" w:rsidRDefault="00DB56F9" w:rsidP="00AF4EC0">
          <w:pPr>
            <w:spacing w:line="360" w:lineRule="auto"/>
            <w:rPr>
              <w:rFonts w:ascii="Times New Roman" w:eastAsiaTheme="minorEastAsia" w:hAnsi="Times New Roman" w:cs="Times New Roman"/>
              <w:color w:val="FFFFFF" w:themeColor="background1"/>
              <w:sz w:val="24"/>
              <w:szCs w:val="24"/>
              <w:highlight w:val="yellow"/>
            </w:rPr>
          </w:pPr>
          <w:r w:rsidRPr="006D7549">
            <w:rPr>
              <w:rFonts w:ascii="Times New Roman" w:hAnsi="Times New Roman" w:cs="Times New Roman"/>
              <w:noProof/>
              <w:sz w:val="24"/>
              <w:szCs w:val="24"/>
              <w:highlight w:val="yellow"/>
            </w:rPr>
            <mc:AlternateContent>
              <mc:Choice Requires="wps">
                <w:drawing>
                  <wp:anchor distT="0" distB="0" distL="114300" distR="114300" simplePos="0" relativeHeight="251661312" behindDoc="0" locked="0" layoutInCell="1" allowOverlap="1">
                    <wp:simplePos x="0" y="0"/>
                    <wp:positionH relativeFrom="margin">
                      <wp:posOffset>4121150</wp:posOffset>
                    </wp:positionH>
                    <wp:positionV relativeFrom="margin">
                      <wp:posOffset>5837555</wp:posOffset>
                    </wp:positionV>
                    <wp:extent cx="2067560" cy="1371600"/>
                    <wp:effectExtent l="0" t="0" r="8890" b="0"/>
                    <wp:wrapSquare wrapText="bothSides"/>
                    <wp:docPr id="32" name="Text Box 32"/>
                    <wp:cNvGraphicFramePr/>
                    <a:graphic xmlns:a="http://schemas.openxmlformats.org/drawingml/2006/main">
                      <a:graphicData uri="http://schemas.microsoft.com/office/word/2010/wordprocessingShape">
                        <wps:wsp>
                          <wps:cNvSpPr txBox="1"/>
                          <wps:spPr>
                            <a:xfrm>
                              <a:off x="0" y="0"/>
                              <a:ext cx="206756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2D89" w:rsidRPr="006431C4" w:rsidRDefault="00082D89" w:rsidP="00F146C5">
                                <w:pPr>
                                  <w:pStyle w:val="NoSpacing"/>
                                  <w:rPr>
                                    <w:rFonts w:ascii="Times New Roman" w:hAnsi="Times New Roman" w:cs="Times New Roman"/>
                                    <w:color w:val="4472C4" w:themeColor="accent1"/>
                                    <w:sz w:val="28"/>
                                    <w:szCs w:val="28"/>
                                  </w:rPr>
                                </w:pPr>
                                <w:r w:rsidRPr="006431C4">
                                  <w:rPr>
                                    <w:rFonts w:ascii="Times New Roman" w:hAnsi="Times New Roman" w:cs="Times New Roman"/>
                                    <w:color w:val="4472C4" w:themeColor="accent1"/>
                                    <w:sz w:val="28"/>
                                    <w:szCs w:val="28"/>
                                  </w:rPr>
                                  <w:t>Prepared By:</w:t>
                                </w:r>
                              </w:p>
                              <w:p w:rsidR="00082D89" w:rsidRPr="006431C4" w:rsidRDefault="00082D89" w:rsidP="00F146C5">
                                <w:pPr>
                                  <w:pStyle w:val="NoSpacing"/>
                                  <w:rPr>
                                    <w:rFonts w:ascii="Times New Roman" w:hAnsi="Times New Roman" w:cs="Times New Roman"/>
                                    <w:color w:val="4472C4" w:themeColor="accent1"/>
                                    <w:sz w:val="28"/>
                                    <w:szCs w:val="28"/>
                                  </w:rPr>
                                </w:pPr>
                                <w:r w:rsidRPr="006431C4">
                                  <w:rPr>
                                    <w:rFonts w:ascii="Times New Roman" w:hAnsi="Times New Roman" w:cs="Times New Roman"/>
                                    <w:color w:val="4472C4" w:themeColor="accent1"/>
                                    <w:sz w:val="28"/>
                                    <w:szCs w:val="28"/>
                                  </w:rPr>
                                  <w:t>Research Department</w:t>
                                </w:r>
                              </w:p>
                              <w:p w:rsidR="00082D89" w:rsidRDefault="00082D89" w:rsidP="00F146C5">
                                <w:pPr>
                                  <w:pStyle w:val="NoSpacing"/>
                                  <w:rPr>
                                    <w:rFonts w:ascii="Times New Roman" w:hAnsi="Times New Roman" w:cs="Times New Roman"/>
                                    <w:color w:val="4472C4" w:themeColor="accent1"/>
                                    <w:sz w:val="28"/>
                                    <w:szCs w:val="28"/>
                                  </w:rPr>
                                </w:pPr>
                                <w:r w:rsidRPr="006431C4">
                                  <w:rPr>
                                    <w:rFonts w:ascii="Times New Roman" w:hAnsi="Times New Roman" w:cs="Times New Roman"/>
                                    <w:color w:val="4472C4" w:themeColor="accent1"/>
                                    <w:sz w:val="28"/>
                                    <w:szCs w:val="28"/>
                                  </w:rPr>
                                  <w:t>Sanima Capital Limite</w:t>
                                </w:r>
                                <w:r>
                                  <w:rPr>
                                    <w:rFonts w:ascii="Times New Roman" w:hAnsi="Times New Roman" w:cs="Times New Roman"/>
                                    <w:color w:val="4472C4" w:themeColor="accent1"/>
                                    <w:sz w:val="28"/>
                                    <w:szCs w:val="28"/>
                                  </w:rPr>
                                  <w:t>d</w:t>
                                </w:r>
                              </w:p>
                              <w:sdt>
                                <w:sdtPr>
                                  <w:rPr>
                                    <w:rFonts w:ascii="Times New Roman" w:hAnsi="Times New Roman" w:cs="Times New Roman"/>
                                    <w:i/>
                                    <w:color w:val="4472C4" w:themeColor="accent1"/>
                                    <w:sz w:val="24"/>
                                    <w:szCs w:val="28"/>
                                  </w:rPr>
                                  <w:alias w:val="Company"/>
                                  <w:tag w:val=""/>
                                  <w:id w:val="-1300531558"/>
                                  <w:placeholder>
                                    <w:docPart w:val="8998AFDA66BA4EE5BA5B7F2107EA5776"/>
                                  </w:placeholder>
                                  <w:dataBinding w:prefixMappings="xmlns:ns0='http://schemas.openxmlformats.org/officeDocument/2006/extended-properties' " w:xpath="/ns0:Properties[1]/ns0:Company[1]" w:storeItemID="{6668398D-A668-4E3E-A5EB-62B293D839F1}"/>
                                  <w:text/>
                                </w:sdtPr>
                                <w:sdtEndPr/>
                                <w:sdtContent>
                                  <w:p w:rsidR="00082D89" w:rsidRPr="006431C4" w:rsidRDefault="00082D89" w:rsidP="00F146C5">
                                    <w:pPr>
                                      <w:pStyle w:val="NoSpacing"/>
                                      <w:rPr>
                                        <w:rFonts w:ascii="Times New Roman" w:hAnsi="Times New Roman" w:cs="Times New Roman"/>
                                        <w:color w:val="4472C4" w:themeColor="accent1"/>
                                        <w:sz w:val="28"/>
                                        <w:szCs w:val="28"/>
                                      </w:rPr>
                                    </w:pPr>
                                    <w:r w:rsidRPr="00EF3C9A">
                                      <w:rPr>
                                        <w:rFonts w:ascii="Times New Roman" w:hAnsi="Times New Roman" w:cs="Times New Roman"/>
                                        <w:i/>
                                        <w:color w:val="4472C4" w:themeColor="accent1"/>
                                        <w:sz w:val="24"/>
                                        <w:szCs w:val="28"/>
                                      </w:rPr>
                                      <w:t>sanimacapital@sani</w:t>
                                    </w:r>
                                    <w:r>
                                      <w:rPr>
                                        <w:rFonts w:ascii="Times New Roman" w:hAnsi="Times New Roman" w:cs="Times New Roman"/>
                                        <w:i/>
                                        <w:color w:val="4472C4" w:themeColor="accent1"/>
                                        <w:sz w:val="24"/>
                                        <w:szCs w:val="28"/>
                                      </w:rPr>
                                      <w:t>m</w:t>
                                    </w:r>
                                    <w:r w:rsidRPr="00EF3C9A">
                                      <w:rPr>
                                        <w:rFonts w:ascii="Times New Roman" w:hAnsi="Times New Roman" w:cs="Times New Roman"/>
                                        <w:i/>
                                        <w:color w:val="4472C4" w:themeColor="accent1"/>
                                        <w:sz w:val="24"/>
                                        <w:szCs w:val="28"/>
                                      </w:rPr>
                                      <w:t>abank.com</w:t>
                                    </w:r>
                                  </w:p>
                                </w:sdtContent>
                              </w:sdt>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2" o:spid="_x0000_s1056" type="#_x0000_t202" style="position:absolute;margin-left:324.5pt;margin-top:459.65pt;width:162.8pt;height:10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" filled="f" stroked="f" strokeweight=".5pt">
                    <v:textbox inset="0,0,0,0">
                      <w:txbxContent>
                        <w:p w:rsidR="00082D89" w:rsidRPr="006431C4" w:rsidRDefault="00082D89" w:rsidP="00F146C5">
                          <w:pPr>
                            <w:pStyle w:val="NoSpacing"/>
                            <w:rPr>
                              <w:rFonts w:ascii="Times New Roman" w:hAnsi="Times New Roman" w:cs="Times New Roman"/>
                              <w:color w:val="4472C4" w:themeColor="accent1"/>
                              <w:sz w:val="28"/>
                              <w:szCs w:val="28"/>
                            </w:rPr>
                          </w:pPr>
                          <w:r w:rsidRPr="006431C4">
                            <w:rPr>
                              <w:rFonts w:ascii="Times New Roman" w:hAnsi="Times New Roman" w:cs="Times New Roman"/>
                              <w:color w:val="4472C4" w:themeColor="accent1"/>
                              <w:sz w:val="28"/>
                              <w:szCs w:val="28"/>
                            </w:rPr>
                            <w:t>Prepared By:</w:t>
                          </w:r>
                        </w:p>
                        <w:p w:rsidR="00082D89" w:rsidRPr="006431C4" w:rsidRDefault="00082D89" w:rsidP="00F146C5">
                          <w:pPr>
                            <w:pStyle w:val="NoSpacing"/>
                            <w:rPr>
                              <w:rFonts w:ascii="Times New Roman" w:hAnsi="Times New Roman" w:cs="Times New Roman"/>
                              <w:color w:val="4472C4" w:themeColor="accent1"/>
                              <w:sz w:val="28"/>
                              <w:szCs w:val="28"/>
                            </w:rPr>
                          </w:pPr>
                          <w:r w:rsidRPr="006431C4">
                            <w:rPr>
                              <w:rFonts w:ascii="Times New Roman" w:hAnsi="Times New Roman" w:cs="Times New Roman"/>
                              <w:color w:val="4472C4" w:themeColor="accent1"/>
                              <w:sz w:val="28"/>
                              <w:szCs w:val="28"/>
                            </w:rPr>
                            <w:t>Research Department</w:t>
                          </w:r>
                        </w:p>
                        <w:p w:rsidR="00082D89" w:rsidRDefault="00082D89" w:rsidP="00F146C5">
                          <w:pPr>
                            <w:pStyle w:val="NoSpacing"/>
                            <w:rPr>
                              <w:rFonts w:ascii="Times New Roman" w:hAnsi="Times New Roman" w:cs="Times New Roman"/>
                              <w:color w:val="4472C4" w:themeColor="accent1"/>
                              <w:sz w:val="28"/>
                              <w:szCs w:val="28"/>
                            </w:rPr>
                          </w:pPr>
                          <w:r w:rsidRPr="006431C4">
                            <w:rPr>
                              <w:rFonts w:ascii="Times New Roman" w:hAnsi="Times New Roman" w:cs="Times New Roman"/>
                              <w:color w:val="4472C4" w:themeColor="accent1"/>
                              <w:sz w:val="28"/>
                              <w:szCs w:val="28"/>
                            </w:rPr>
                            <w:t>Sanima Capital Limite</w:t>
                          </w:r>
                          <w:r>
                            <w:rPr>
                              <w:rFonts w:ascii="Times New Roman" w:hAnsi="Times New Roman" w:cs="Times New Roman"/>
                              <w:color w:val="4472C4" w:themeColor="accent1"/>
                              <w:sz w:val="28"/>
                              <w:szCs w:val="28"/>
                            </w:rPr>
                            <w:t>d</w:t>
                          </w:r>
                        </w:p>
                        <w:sdt>
                          <w:sdtPr>
                            <w:rPr>
                              <w:rFonts w:ascii="Times New Roman" w:hAnsi="Times New Roman" w:cs="Times New Roman"/>
                              <w:i/>
                              <w:color w:val="4472C4" w:themeColor="accent1"/>
                              <w:sz w:val="24"/>
                              <w:szCs w:val="28"/>
                            </w:rPr>
                            <w:alias w:val="Company"/>
                            <w:tag w:val=""/>
                            <w:id w:val="-1300531558"/>
                            <w:placeholder>
                              <w:docPart w:val="8998AFDA66BA4EE5BA5B7F2107EA5776"/>
                            </w:placeholder>
                            <w:dataBinding w:prefixMappings="xmlns:ns0='http://schemas.openxmlformats.org/officeDocument/2006/extended-properties' " w:xpath="/ns0:Properties[1]/ns0:Company[1]" w:storeItemID="{6668398D-A668-4E3E-A5EB-62B293D839F1}"/>
                            <w:text/>
                          </w:sdtPr>
                          <w:sdtEndPr/>
                          <w:sdtContent>
                            <w:p w:rsidR="00082D89" w:rsidRPr="006431C4" w:rsidRDefault="00082D89" w:rsidP="00F146C5">
                              <w:pPr>
                                <w:pStyle w:val="NoSpacing"/>
                                <w:rPr>
                                  <w:rFonts w:ascii="Times New Roman" w:hAnsi="Times New Roman" w:cs="Times New Roman"/>
                                  <w:color w:val="4472C4" w:themeColor="accent1"/>
                                  <w:sz w:val="28"/>
                                  <w:szCs w:val="28"/>
                                </w:rPr>
                              </w:pPr>
                              <w:r w:rsidRPr="00EF3C9A">
                                <w:rPr>
                                  <w:rFonts w:ascii="Times New Roman" w:hAnsi="Times New Roman" w:cs="Times New Roman"/>
                                  <w:i/>
                                  <w:color w:val="4472C4" w:themeColor="accent1"/>
                                  <w:sz w:val="24"/>
                                  <w:szCs w:val="28"/>
                                </w:rPr>
                                <w:t>sanimacapital@sani</w:t>
                              </w:r>
                              <w:r>
                                <w:rPr>
                                  <w:rFonts w:ascii="Times New Roman" w:hAnsi="Times New Roman" w:cs="Times New Roman"/>
                                  <w:i/>
                                  <w:color w:val="4472C4" w:themeColor="accent1"/>
                                  <w:sz w:val="24"/>
                                  <w:szCs w:val="28"/>
                                </w:rPr>
                                <w:t>m</w:t>
                              </w:r>
                              <w:r w:rsidRPr="00EF3C9A">
                                <w:rPr>
                                  <w:rFonts w:ascii="Times New Roman" w:hAnsi="Times New Roman" w:cs="Times New Roman"/>
                                  <w:i/>
                                  <w:color w:val="4472C4" w:themeColor="accent1"/>
                                  <w:sz w:val="24"/>
                                  <w:szCs w:val="28"/>
                                </w:rPr>
                                <w:t>abank.com</w:t>
                              </w:r>
                            </w:p>
                          </w:sdtContent>
                        </w:sdt>
                      </w:txbxContent>
                    </v:textbox>
                    <w10:wrap type="square" anchorx="margin" anchory="margin"/>
                  </v:shape>
                </w:pict>
              </mc:Fallback>
            </mc:AlternateContent>
          </w:r>
        </w:p>
        <w:p w:rsidR="003509E7" w:rsidRPr="006D7549" w:rsidRDefault="00944817" w:rsidP="00AF4EC0">
          <w:pPr>
            <w:spacing w:line="360" w:lineRule="auto"/>
            <w:rPr>
              <w:rFonts w:ascii="Times New Roman" w:hAnsi="Times New Roman" w:cs="Times New Roman"/>
              <w:color w:val="FFFFFF" w:themeColor="background1"/>
              <w:sz w:val="24"/>
              <w:szCs w:val="24"/>
              <w:highlight w:val="yellow"/>
            </w:rPr>
          </w:pPr>
        </w:p>
      </w:sdtContent>
    </w:sdt>
    <w:bookmarkEnd w:id="1" w:displacedByCustomXml="prev"/>
    <w:p w:rsidR="003509E7" w:rsidRPr="006D7549" w:rsidRDefault="003509E7" w:rsidP="00AF4EC0">
      <w:pPr>
        <w:spacing w:line="360" w:lineRule="auto"/>
        <w:rPr>
          <w:rFonts w:ascii="Times New Roman" w:hAnsi="Times New Roman" w:cs="Times New Roman"/>
          <w:b/>
          <w:sz w:val="24"/>
          <w:szCs w:val="24"/>
          <w:highlight w:val="yellow"/>
        </w:rPr>
      </w:pPr>
    </w:p>
    <w:p w:rsidR="003509E7" w:rsidRPr="006D7549" w:rsidRDefault="003509E7" w:rsidP="00AF4EC0">
      <w:pPr>
        <w:spacing w:line="360" w:lineRule="auto"/>
        <w:rPr>
          <w:rFonts w:ascii="Times New Roman" w:hAnsi="Times New Roman" w:cs="Times New Roman"/>
          <w:b/>
          <w:sz w:val="24"/>
          <w:szCs w:val="24"/>
          <w:highlight w:val="yellow"/>
        </w:rPr>
      </w:pPr>
      <w:r w:rsidRPr="006D7549">
        <w:rPr>
          <w:rFonts w:ascii="Times New Roman" w:hAnsi="Times New Roman" w:cs="Times New Roman"/>
          <w:b/>
          <w:sz w:val="24"/>
          <w:szCs w:val="24"/>
          <w:highlight w:val="yellow"/>
        </w:rPr>
        <w:br w:type="page"/>
      </w:r>
    </w:p>
    <w:p w:rsidR="006D7549" w:rsidRPr="006D7549" w:rsidRDefault="006D7549" w:rsidP="00AF4EC0">
      <w:pPr>
        <w:pStyle w:val="Heading1"/>
        <w:spacing w:line="360" w:lineRule="auto"/>
      </w:pPr>
      <w:bookmarkStart w:id="2" w:name="_Toc204788929"/>
      <w:r w:rsidRPr="006D7549">
        <w:lastRenderedPageBreak/>
        <w:t>Industry report of Hotels Q3 2024/25</w:t>
      </w:r>
      <w:bookmarkEnd w:id="2"/>
    </w:p>
    <w:p w:rsidR="006D7549" w:rsidRPr="006D7549" w:rsidRDefault="006D7549" w:rsidP="00AF4EC0">
      <w:pPr>
        <w:pStyle w:val="Heading2"/>
        <w:spacing w:line="360" w:lineRule="auto"/>
      </w:pPr>
      <w:bookmarkStart w:id="3" w:name="_Toc204788930"/>
      <w:r w:rsidRPr="006D7549">
        <w:t>Introduction</w:t>
      </w:r>
      <w:bookmarkEnd w:id="3"/>
      <w:r w:rsidRPr="006D7549">
        <w:t xml:space="preserve"> </w:t>
      </w:r>
    </w:p>
    <w:p w:rsidR="006D7549" w:rsidRPr="006D7549" w:rsidRDefault="006D7549" w:rsidP="00AF4EC0">
      <w:pPr>
        <w:spacing w:after="120" w:line="360" w:lineRule="auto"/>
        <w:jc w:val="both"/>
        <w:rPr>
          <w:rFonts w:ascii="Times New Roman" w:hAnsi="Times New Roman" w:cs="Times New Roman"/>
          <w:sz w:val="24"/>
          <w:szCs w:val="24"/>
        </w:rPr>
      </w:pPr>
      <w:r w:rsidRPr="006D7549">
        <w:rPr>
          <w:rFonts w:ascii="Times New Roman" w:hAnsi="Times New Roman" w:cs="Times New Roman"/>
          <w:sz w:val="24"/>
          <w:szCs w:val="24"/>
        </w:rPr>
        <w:t>The hotel industry in Nepal is a vital component of the country’s tourism sector, contributing significantly to its economy and employment. Nestled in the Himalayas, Nepal attracts millions of tourists annually, drawn by its natural beauty, cultural heritage, adventure opportunities, and spiritual experiences. The hospitality industry plays a crucial role in accommodating and serving this diverse group of travelers, ranging from luxury-seeking adventurers to budget-conscious backpackers and pilgrims.</w:t>
      </w:r>
    </w:p>
    <w:p w:rsidR="006D7549" w:rsidRPr="006D7549" w:rsidRDefault="006D7549" w:rsidP="00AF4EC0">
      <w:pPr>
        <w:pStyle w:val="Heading2"/>
        <w:spacing w:line="360" w:lineRule="auto"/>
      </w:pPr>
      <w:bookmarkStart w:id="4" w:name="_Toc204788931"/>
      <w:r w:rsidRPr="006D7549">
        <w:t>Importance of the Hotel Industry in Nepal:</w:t>
      </w:r>
      <w:bookmarkEnd w:id="4"/>
    </w:p>
    <w:p w:rsidR="006D7549" w:rsidRPr="006D7549" w:rsidRDefault="006D7549" w:rsidP="00AF4EC0">
      <w:pPr>
        <w:pStyle w:val="NormalWeb"/>
        <w:numPr>
          <w:ilvl w:val="0"/>
          <w:numId w:val="2"/>
        </w:numPr>
        <w:spacing w:before="240" w:beforeAutospacing="0" w:after="0" w:afterAutospacing="0" w:line="360" w:lineRule="auto"/>
        <w:textAlignment w:val="baseline"/>
        <w:rPr>
          <w:color w:val="000000"/>
        </w:rPr>
      </w:pPr>
      <w:bookmarkStart w:id="5" w:name="_Toc204788932"/>
      <w:r w:rsidRPr="006D7549">
        <w:rPr>
          <w:rStyle w:val="Heading3Char"/>
        </w:rPr>
        <w:t>Economic Contribution:</w:t>
      </w:r>
      <w:bookmarkEnd w:id="5"/>
      <w:r w:rsidRPr="006D7549">
        <w:rPr>
          <w:color w:val="000000"/>
        </w:rPr>
        <w:t xml:space="preserve"> The hotel industry is a key contributor to Nepal's GDP, generating revenue through domestic and international tourism.</w:t>
      </w:r>
    </w:p>
    <w:p w:rsidR="006D7549" w:rsidRPr="006D7549" w:rsidRDefault="006D7549" w:rsidP="00AF4EC0">
      <w:pPr>
        <w:pStyle w:val="NormalWeb"/>
        <w:numPr>
          <w:ilvl w:val="0"/>
          <w:numId w:val="2"/>
        </w:numPr>
        <w:spacing w:before="0" w:beforeAutospacing="0" w:after="0" w:afterAutospacing="0" w:line="360" w:lineRule="auto"/>
        <w:textAlignment w:val="baseline"/>
        <w:rPr>
          <w:color w:val="000000"/>
        </w:rPr>
      </w:pPr>
      <w:bookmarkStart w:id="6" w:name="_Toc204788933"/>
      <w:r w:rsidRPr="006D7549">
        <w:rPr>
          <w:rStyle w:val="Heading3Char"/>
        </w:rPr>
        <w:t>Employment Opportunities:</w:t>
      </w:r>
      <w:bookmarkEnd w:id="6"/>
      <w:r w:rsidRPr="006D7549">
        <w:rPr>
          <w:color w:val="000000"/>
        </w:rPr>
        <w:t xml:space="preserve"> The sector employs a significant portion of the workforce, from management roles to service staff.</w:t>
      </w:r>
    </w:p>
    <w:p w:rsidR="006D7549" w:rsidRPr="006D7549" w:rsidRDefault="006D7549" w:rsidP="00AF4EC0">
      <w:pPr>
        <w:pStyle w:val="NormalWeb"/>
        <w:numPr>
          <w:ilvl w:val="0"/>
          <w:numId w:val="2"/>
        </w:numPr>
        <w:spacing w:before="0" w:beforeAutospacing="0" w:after="0" w:afterAutospacing="0" w:line="360" w:lineRule="auto"/>
        <w:textAlignment w:val="baseline"/>
        <w:rPr>
          <w:color w:val="000000"/>
        </w:rPr>
      </w:pPr>
      <w:bookmarkStart w:id="7" w:name="_Toc204788934"/>
      <w:r w:rsidRPr="006D7549">
        <w:rPr>
          <w:rStyle w:val="Heading3Char"/>
        </w:rPr>
        <w:t>Cultural Promotion:</w:t>
      </w:r>
      <w:bookmarkEnd w:id="7"/>
      <w:r w:rsidRPr="006D7549">
        <w:rPr>
          <w:color w:val="000000"/>
        </w:rPr>
        <w:t xml:space="preserve"> Hotels often serve as gateways for tourists to explore Nepalese culture, food, and traditions, thereby enhancing the country's global image.</w:t>
      </w:r>
    </w:p>
    <w:p w:rsidR="006D7549" w:rsidRPr="006D7549" w:rsidRDefault="006D7549" w:rsidP="00AF4EC0">
      <w:pPr>
        <w:pStyle w:val="NormalWeb"/>
        <w:numPr>
          <w:ilvl w:val="0"/>
          <w:numId w:val="2"/>
        </w:numPr>
        <w:spacing w:before="0" w:beforeAutospacing="0" w:after="240" w:afterAutospacing="0" w:line="360" w:lineRule="auto"/>
        <w:textAlignment w:val="baseline"/>
        <w:rPr>
          <w:color w:val="000000"/>
        </w:rPr>
      </w:pPr>
      <w:bookmarkStart w:id="8" w:name="_Toc204788935"/>
      <w:r w:rsidRPr="006D7549">
        <w:rPr>
          <w:rStyle w:val="Heading3Char"/>
        </w:rPr>
        <w:t>Support to Allied Industries:</w:t>
      </w:r>
      <w:bookmarkEnd w:id="8"/>
      <w:r w:rsidRPr="006D7549">
        <w:rPr>
          <w:color w:val="000000"/>
        </w:rPr>
        <w:t xml:space="preserve"> The growth of the hotel industry supports various allied sectors, such as transportation, agriculture, and handicrafts.</w:t>
      </w:r>
    </w:p>
    <w:p w:rsidR="006D7549" w:rsidRPr="006D7549" w:rsidRDefault="006D7549" w:rsidP="00AF4EC0">
      <w:pPr>
        <w:pStyle w:val="NormalWeb"/>
        <w:spacing w:before="240" w:beforeAutospacing="0" w:after="240" w:afterAutospacing="0" w:line="360" w:lineRule="auto"/>
      </w:pPr>
      <w:r w:rsidRPr="006D7549">
        <w:rPr>
          <w:color w:val="000000"/>
        </w:rPr>
        <w:t>As of March 2025, six hotel and tourism companies are listed on the Nepal Stock Exchange (NEPSE):</w:t>
      </w:r>
    </w:p>
    <w:p w:rsidR="006D7549" w:rsidRPr="006D7549" w:rsidRDefault="00AF4EC0" w:rsidP="00AF4EC0">
      <w:pPr>
        <w:pStyle w:val="NormalWeb"/>
        <w:spacing w:before="240" w:after="240" w:line="360" w:lineRule="auto"/>
        <w:ind w:left="360"/>
        <w:rPr>
          <w:color w:val="000000"/>
        </w:rPr>
      </w:pPr>
      <w:r>
        <w:rPr>
          <w:rStyle w:val="Heading2Char"/>
        </w:rPr>
        <w:t xml:space="preserve">   </w:t>
      </w:r>
      <w:bookmarkStart w:id="9" w:name="_Toc204788936"/>
      <w:r w:rsidR="006D7549" w:rsidRPr="006D7549">
        <w:rPr>
          <w:rStyle w:val="Heading2Char"/>
        </w:rPr>
        <w:t>Soaltee Hotel Limited (SHL):</w:t>
      </w:r>
      <w:bookmarkEnd w:id="9"/>
      <w:r w:rsidR="006D7549" w:rsidRPr="006D7549">
        <w:rPr>
          <w:b/>
        </w:rPr>
        <w:t xml:space="preserve"> </w:t>
      </w:r>
    </w:p>
    <w:p w:rsidR="006D7549" w:rsidRPr="006D7549" w:rsidRDefault="006D7549" w:rsidP="00AF4EC0">
      <w:pPr>
        <w:pStyle w:val="NormalWeb"/>
        <w:spacing w:before="240" w:after="240" w:line="360" w:lineRule="auto"/>
        <w:ind w:left="720"/>
        <w:rPr>
          <w:color w:val="000000"/>
        </w:rPr>
      </w:pPr>
      <w:r w:rsidRPr="006D7549">
        <w:rPr>
          <w:b/>
        </w:rPr>
        <w:t>S</w:t>
      </w:r>
      <w:r w:rsidRPr="006D7549">
        <w:rPr>
          <w:color w:val="000000"/>
        </w:rPr>
        <w:t>oaltee Hotel Limited is one of Nepal's premier five-star hospitality companies with a rich history spanning over 56 years in the tourism and hospitality sector. The company owns and operates "The Soaltee Kathmandu," a luxury hotel property located in Tahachal, Kathmandu.</w:t>
      </w:r>
    </w:p>
    <w:p w:rsidR="006D7549" w:rsidRPr="006D7549" w:rsidRDefault="006D7549" w:rsidP="00AF4EC0">
      <w:pPr>
        <w:pStyle w:val="NormalWeb"/>
        <w:spacing w:before="240" w:after="240" w:line="360" w:lineRule="auto"/>
        <w:ind w:left="720"/>
        <w:rPr>
          <w:color w:val="000000"/>
        </w:rPr>
      </w:pPr>
      <w:r w:rsidRPr="006D7549">
        <w:rPr>
          <w:color w:val="000000"/>
        </w:rPr>
        <w:t xml:space="preserve">The Soaltee Kathmandu features 285 saleable rooms ranging from deluxe rooms to club rooms and suites. The hotel offers comprehensive amenities including multiple restaurants (such as Kakori Indian Restaurant, Garden Terrace Restaurant, and Bao Xuan </w:t>
      </w:r>
      <w:r w:rsidRPr="006D7549">
        <w:rPr>
          <w:color w:val="000000"/>
        </w:rPr>
        <w:lastRenderedPageBreak/>
        <w:t>Chinese Restaurant), bars like Rodi Bar, conference spaces including Megha Malhar Hall, and recreational facilities.</w:t>
      </w:r>
    </w:p>
    <w:p w:rsidR="006D7549" w:rsidRPr="006D7549" w:rsidRDefault="006D7549" w:rsidP="00AF4EC0">
      <w:pPr>
        <w:pStyle w:val="NormalWeb"/>
        <w:spacing w:before="240" w:after="240" w:line="360" w:lineRule="auto"/>
        <w:ind w:left="720"/>
        <w:rPr>
          <w:color w:val="000000"/>
        </w:rPr>
      </w:pPr>
      <w:r w:rsidRPr="006D7549">
        <w:rPr>
          <w:color w:val="000000"/>
        </w:rPr>
        <w:t>Beyond its flagship hotel, Soaltee Hotel Limited has expanded its brand presence through its wholly-owned subsidiary, Soaltee Hospitality Limited. This has allowed them to extend the "Soaltee" brand to other locations outside Kathmandu Valley with properties such as Soaltee Westend Resort in Chitwan, Soaltee Westend in Itahari, Soaltee Westend Resort in Kaskikot (Pokhara), and Soaltee Westend Resort in Nagarkot.</w:t>
      </w:r>
    </w:p>
    <w:p w:rsidR="006D7549" w:rsidRPr="006D7549" w:rsidRDefault="006D7549" w:rsidP="00AF4EC0">
      <w:pPr>
        <w:pStyle w:val="NormalWeb"/>
        <w:spacing w:before="240" w:after="240" w:line="360" w:lineRule="auto"/>
        <w:ind w:left="720"/>
        <w:rPr>
          <w:color w:val="000000"/>
        </w:rPr>
      </w:pPr>
      <w:r w:rsidRPr="006D7549">
        <w:rPr>
          <w:color w:val="000000"/>
        </w:rPr>
        <w:t>The company also operates The Soaltee Gate Gourmet, an inflight catering division that provides services to international airlines under a technical assistance agreement with Gate Gourmet Singapore Pte. Limited.</w:t>
      </w:r>
    </w:p>
    <w:p w:rsidR="006D7549" w:rsidRPr="006D7549" w:rsidRDefault="006D7549" w:rsidP="00AF4EC0">
      <w:pPr>
        <w:pStyle w:val="NormalWeb"/>
        <w:spacing w:before="240" w:beforeAutospacing="0" w:after="240" w:afterAutospacing="0" w:line="360" w:lineRule="auto"/>
        <w:ind w:left="720"/>
        <w:rPr>
          <w:color w:val="000000"/>
        </w:rPr>
      </w:pPr>
      <w:r w:rsidRPr="006D7549">
        <w:rPr>
          <w:color w:val="000000"/>
        </w:rPr>
        <w:t xml:space="preserve">Soaltee Hotel Limited is publicly listed on the Nepal Stock Exchange (NEPSE), with major corporate shareholders holding 69% of shares and general shareholders owning the remaining 31%. </w:t>
      </w:r>
    </w:p>
    <w:p w:rsidR="006D7549" w:rsidRPr="006D7549" w:rsidRDefault="006D7549" w:rsidP="00AF4EC0">
      <w:pPr>
        <w:pStyle w:val="NormalWeb"/>
        <w:spacing w:before="240" w:after="240" w:line="360" w:lineRule="auto"/>
        <w:ind w:left="720"/>
        <w:rPr>
          <w:color w:val="000000"/>
        </w:rPr>
      </w:pPr>
      <w:bookmarkStart w:id="10" w:name="_Toc204788937"/>
      <w:r w:rsidRPr="006D7549">
        <w:rPr>
          <w:rStyle w:val="Heading2Char"/>
        </w:rPr>
        <w:t>Taragaon Regency Hotel Limited (TRH):</w:t>
      </w:r>
      <w:bookmarkEnd w:id="10"/>
      <w:r w:rsidRPr="006D7549">
        <w:t xml:space="preserve"> </w:t>
      </w:r>
      <w:r w:rsidRPr="006D7549">
        <w:rPr>
          <w:color w:val="000000"/>
        </w:rPr>
        <w:t>Manages the Hyatt Regency Kathmandu, the largest five-star hotel in Nepal, located near the Boudhanath Stupa.</w:t>
      </w:r>
      <w:r w:rsidRPr="006D7549">
        <w:t xml:space="preserve"> </w:t>
      </w:r>
      <w:r w:rsidRPr="006D7549">
        <w:rPr>
          <w:color w:val="000000"/>
        </w:rPr>
        <w:t>Hyatt Regency. Opened in 2000 and formally inaugurated by King Birendra, the hotel is built on 37 acres of land showcasing traditional Newar architecture.</w:t>
      </w:r>
    </w:p>
    <w:p w:rsidR="006D7549" w:rsidRPr="006D7549" w:rsidRDefault="006D7549" w:rsidP="00AF4EC0">
      <w:pPr>
        <w:pStyle w:val="NormalWeb"/>
        <w:spacing w:before="240" w:after="240" w:line="360" w:lineRule="auto"/>
        <w:ind w:left="720"/>
        <w:rPr>
          <w:color w:val="000000"/>
        </w:rPr>
      </w:pPr>
      <w:r w:rsidRPr="006D7549">
        <w:rPr>
          <w:color w:val="000000"/>
        </w:rPr>
        <w:t>The property features 280 guest rooms, including seven luxurious suites, and is operated by Taragaon Regency Hotels. It employs approximately 400 workers, with the majority affiliated with the All Nepal Hotel, Casino and Restaurant Workers Union.</w:t>
      </w:r>
    </w:p>
    <w:p w:rsidR="006D7549" w:rsidRPr="006D7549" w:rsidRDefault="006D7549" w:rsidP="00AF4EC0">
      <w:pPr>
        <w:pStyle w:val="NormalWeb"/>
        <w:spacing w:before="240" w:beforeAutospacing="0" w:after="240" w:afterAutospacing="0" w:line="360" w:lineRule="auto"/>
        <w:ind w:left="720"/>
        <w:rPr>
          <w:color w:val="000000"/>
        </w:rPr>
      </w:pPr>
      <w:r w:rsidRPr="006D7549">
        <w:rPr>
          <w:color w:val="000000"/>
        </w:rPr>
        <w:t xml:space="preserve">The hotel was established through a public-private partnership, with initial ownership split between the Tourism Ministry's Taragaon Development Committee (40% public ownership) and private partners, primarily the Radheshyam Sharaf and Ramlal Shrestha families (60% private ownership). </w:t>
      </w:r>
    </w:p>
    <w:p w:rsidR="006D7549" w:rsidRPr="006D7549" w:rsidRDefault="006D7549" w:rsidP="00AF4EC0">
      <w:pPr>
        <w:pStyle w:val="NormalWeb"/>
        <w:spacing w:before="240" w:beforeAutospacing="0" w:after="240" w:afterAutospacing="0" w:line="360" w:lineRule="auto"/>
        <w:ind w:left="720"/>
        <w:rPr>
          <w:color w:val="000000"/>
        </w:rPr>
      </w:pPr>
      <w:r w:rsidRPr="006D7549">
        <w:rPr>
          <w:color w:val="000000"/>
        </w:rPr>
        <w:t>As of 2020, the Taragaon Development Committee has been working to reclaim the public land on which the hotel is built back into public ownership, amid allegations that the private partners may have deliberately shown losses to illegally increase their ownership stake in the hotel.</w:t>
      </w:r>
    </w:p>
    <w:p w:rsidR="006D7549" w:rsidRPr="006D7549" w:rsidRDefault="006D7549" w:rsidP="00AF4EC0">
      <w:pPr>
        <w:pStyle w:val="NormalWeb"/>
        <w:spacing w:before="240" w:beforeAutospacing="0" w:after="240" w:afterAutospacing="0" w:line="360" w:lineRule="auto"/>
        <w:ind w:left="720"/>
        <w:rPr>
          <w:color w:val="000000"/>
        </w:rPr>
      </w:pPr>
      <w:bookmarkStart w:id="11" w:name="_Toc204788938"/>
      <w:r w:rsidRPr="006D7549">
        <w:rPr>
          <w:rStyle w:val="Heading2Char"/>
        </w:rPr>
        <w:lastRenderedPageBreak/>
        <w:t>Oriental Hotels Limited (OHL):</w:t>
      </w:r>
      <w:bookmarkEnd w:id="11"/>
      <w:r w:rsidRPr="006D7549">
        <w:t xml:space="preserve"> </w:t>
      </w:r>
      <w:r w:rsidRPr="006D7549">
        <w:rPr>
          <w:color w:val="000000"/>
        </w:rPr>
        <w:t>Oriental Hotels Limited was incorporated as a private limited company in 1994 before converting to a listed public company in 1999. OHL is a single property company that owns and operates a 260-key Radisson Kathmandu located in central Kathmandu, approximately 5 kilometers from Tribhuvan International Airport. The hotel is built on a 1.6-acre (approximately 6,500 square meter) plot in the embassy district.</w:t>
      </w:r>
    </w:p>
    <w:p w:rsidR="006D7549" w:rsidRPr="006D7549" w:rsidRDefault="006D7549" w:rsidP="00AF4EC0">
      <w:pPr>
        <w:pStyle w:val="NormalWeb"/>
        <w:spacing w:before="240" w:after="240" w:line="360" w:lineRule="auto"/>
        <w:ind w:left="720"/>
        <w:rPr>
          <w:color w:val="000000"/>
        </w:rPr>
      </w:pPr>
      <w:r w:rsidRPr="006D7549">
        <w:rPr>
          <w:color w:val="000000"/>
        </w:rPr>
        <w:t>OHL operates under a franchise agreement with the Radisson Group of Hotels, a global hotel chain, though the hotel maintains domestic management. This partnership, established in 1999, provides OHL access to the Radisson brand name, the global reservation system, and management expertise.</w:t>
      </w:r>
    </w:p>
    <w:p w:rsidR="006D7549" w:rsidRPr="006D7549" w:rsidRDefault="006D7549" w:rsidP="00AF4EC0">
      <w:pPr>
        <w:pStyle w:val="NormalWeb"/>
        <w:spacing w:line="360" w:lineRule="auto"/>
        <w:ind w:left="720"/>
        <w:rPr>
          <w:color w:val="000000"/>
        </w:rPr>
      </w:pPr>
      <w:r w:rsidRPr="006D7549">
        <w:rPr>
          <w:color w:val="000000"/>
        </w:rPr>
        <w:t xml:space="preserve">The company is predominantly owned by the Shrestha family, which holds almost the entire promoter stake of approximately 70%. The family has extensive experience in owning and operating high-end hotels and has established strong traction in the local market. </w:t>
      </w:r>
    </w:p>
    <w:p w:rsidR="006D7549" w:rsidRPr="006D7549" w:rsidRDefault="006D7549" w:rsidP="00AF4EC0">
      <w:pPr>
        <w:pStyle w:val="NormalWeb"/>
        <w:spacing w:before="240" w:beforeAutospacing="0" w:after="240" w:afterAutospacing="0" w:line="360" w:lineRule="auto"/>
        <w:ind w:left="720"/>
      </w:pPr>
      <w:r w:rsidRPr="006D7549">
        <w:rPr>
          <w:color w:val="000000"/>
        </w:rPr>
        <w:t>The company has a diversified revenue profile that includes room revenues, food and beverage earnings (supported by banquet operations), and income from operating an executive lounge at the Kathmandu International Airport terminal. OHL is currently expanding its property with the addition of 30 serviced apartments expected to be completed by late FY2024 or early FY2025. Operates the Radisson Hotel in Kathmandu, offering luxury accommodations and services.</w:t>
      </w:r>
    </w:p>
    <w:p w:rsidR="006D7549" w:rsidRPr="006D7549" w:rsidRDefault="006D7549" w:rsidP="00AF4EC0">
      <w:pPr>
        <w:pStyle w:val="NormalWeb"/>
        <w:spacing w:before="240" w:after="240" w:line="360" w:lineRule="auto"/>
        <w:ind w:left="720"/>
        <w:textAlignment w:val="baseline"/>
        <w:rPr>
          <w:color w:val="000000"/>
        </w:rPr>
      </w:pPr>
      <w:bookmarkStart w:id="12" w:name="_Toc204788939"/>
      <w:r w:rsidRPr="006D7549">
        <w:rPr>
          <w:rStyle w:val="Heading2Char"/>
        </w:rPr>
        <w:t>Chandragiri Hills Limited (CGH):</w:t>
      </w:r>
      <w:bookmarkEnd w:id="12"/>
      <w:r w:rsidRPr="006D7549">
        <w:rPr>
          <w:b/>
          <w:color w:val="000000"/>
        </w:rPr>
        <w:t xml:space="preserve"> </w:t>
      </w:r>
      <w:r w:rsidRPr="006D7549">
        <w:rPr>
          <w:color w:val="000000"/>
        </w:rPr>
        <w:t>Chandragiri Hills Limited was established in 2009 and has developed a unique tourism facility that combines a cable car service with a 100-room boutique resort and various adventure/amusement activities. The company is strategically located on a scenic mountain near Nepal's capital city, with the cable car providing access to a location of religious and historical significance.</w:t>
      </w:r>
    </w:p>
    <w:p w:rsidR="006D7549" w:rsidRPr="006D7549" w:rsidRDefault="006D7549" w:rsidP="00AF4EC0">
      <w:pPr>
        <w:pStyle w:val="NormalWeb"/>
        <w:spacing w:before="240" w:after="240" w:line="360" w:lineRule="auto"/>
        <w:ind w:left="720"/>
        <w:textAlignment w:val="baseline"/>
        <w:rPr>
          <w:color w:val="000000"/>
        </w:rPr>
      </w:pPr>
      <w:r w:rsidRPr="006D7549">
        <w:rPr>
          <w:color w:val="000000"/>
        </w:rPr>
        <w:t xml:space="preserve">The company is primarily promoted by individuals associated with the IME Group, with Mr. Hem Raj </w:t>
      </w:r>
      <w:proofErr w:type="spellStart"/>
      <w:r w:rsidRPr="006D7549">
        <w:rPr>
          <w:color w:val="000000"/>
        </w:rPr>
        <w:t>Dhakal</w:t>
      </w:r>
      <w:proofErr w:type="spellEnd"/>
      <w:r w:rsidRPr="006D7549">
        <w:rPr>
          <w:color w:val="000000"/>
        </w:rPr>
        <w:t xml:space="preserve"> (who also serves as chairman) and Mr. Chandra Prasad </w:t>
      </w:r>
      <w:proofErr w:type="spellStart"/>
      <w:r w:rsidRPr="006D7549">
        <w:rPr>
          <w:color w:val="000000"/>
        </w:rPr>
        <w:t>Dhakal</w:t>
      </w:r>
      <w:proofErr w:type="spellEnd"/>
      <w:r w:rsidRPr="006D7549">
        <w:rPr>
          <w:color w:val="000000"/>
        </w:rPr>
        <w:t xml:space="preserve"> being the largest shareholders, each holding approximately 19% ownership. Other major stakeholders include Bhat-Bhateni Supermarket Private Limited (one of Nepal's largest retail chains) and several individual investors.</w:t>
      </w:r>
      <w:r w:rsidRPr="006D7549">
        <w:rPr>
          <w:b/>
          <w:color w:val="000000"/>
        </w:rPr>
        <w:t xml:space="preserve"> </w:t>
      </w:r>
    </w:p>
    <w:p w:rsidR="006D7549" w:rsidRPr="006D7549" w:rsidRDefault="006D7549" w:rsidP="00AF4EC0">
      <w:pPr>
        <w:pStyle w:val="NormalWeb"/>
        <w:spacing w:before="240" w:beforeAutospacing="0" w:after="240" w:afterAutospacing="0" w:line="360" w:lineRule="auto"/>
        <w:ind w:left="720"/>
        <w:textAlignment w:val="baseline"/>
        <w:rPr>
          <w:color w:val="000000"/>
        </w:rPr>
      </w:pPr>
      <w:bookmarkStart w:id="13" w:name="_Toc204788940"/>
      <w:r w:rsidRPr="006D7549">
        <w:rPr>
          <w:rStyle w:val="Heading2Char"/>
        </w:rPr>
        <w:lastRenderedPageBreak/>
        <w:t>Kalinchowk Darshan Limited (KDL):</w:t>
      </w:r>
      <w:bookmarkEnd w:id="13"/>
      <w:r w:rsidRPr="006D7549">
        <w:rPr>
          <w:b/>
          <w:color w:val="000000"/>
        </w:rPr>
        <w:t xml:space="preserve"> </w:t>
      </w:r>
      <w:r w:rsidRPr="006D7549">
        <w:rPr>
          <w:color w:val="000000"/>
        </w:rPr>
        <w:t>Kalinchowk Darshan Limited was incorporated on January 20, 2015, and is promoted by both individual and institutional investors from various backgrounds. The company's primary business is a cable car project that connects the bottom station at Kuri Valley to the Kalinchowk Temple located at the top of the mountain. The cable car journey spans approximately 1 kilometer and utilizes 4 gondolas (2 gondolas per system) with a capacity to transport 192 passengers per hour in one direction. The project is strategically located in one of Nepal's major religious destinations, approximately a six-hour drive from Kathmandu. Kalinchowk Temple at the top station attracts numerous pilgrimage visitors throughout the year (except during monsoon season). During the winter season (November-March), the area also becomes popular with domestic and foreign tourists for sightseeing and winter adventure sports, with nearly half of the company's annual revenue generated during this period.</w:t>
      </w:r>
      <w:r w:rsidRPr="006D7549">
        <w:rPr>
          <w:b/>
          <w:color w:val="000000"/>
        </w:rPr>
        <w:t xml:space="preserve"> </w:t>
      </w:r>
    </w:p>
    <w:p w:rsidR="006D7549" w:rsidRPr="006D7549" w:rsidRDefault="006D7549" w:rsidP="00AF4EC0">
      <w:pPr>
        <w:pStyle w:val="NormalWeb"/>
        <w:spacing w:before="240" w:after="240" w:line="360" w:lineRule="auto"/>
        <w:ind w:left="720"/>
        <w:textAlignment w:val="baseline"/>
        <w:rPr>
          <w:color w:val="000000"/>
        </w:rPr>
      </w:pPr>
      <w:bookmarkStart w:id="14" w:name="_Toc204788941"/>
      <w:r w:rsidRPr="006D7549">
        <w:rPr>
          <w:rStyle w:val="Heading2Char"/>
        </w:rPr>
        <w:t>City Hotel Limited (CITY):</w:t>
      </w:r>
      <w:bookmarkEnd w:id="14"/>
      <w:r w:rsidRPr="006D7549">
        <w:rPr>
          <w:b/>
          <w:color w:val="000000"/>
        </w:rPr>
        <w:t xml:space="preserve"> </w:t>
      </w:r>
      <w:r w:rsidRPr="006D7549">
        <w:rPr>
          <w:color w:val="000000"/>
        </w:rPr>
        <w:t xml:space="preserve">City Hotel Limited (CHL) is a 5-star hotel property located in Soalteemode, Kathmandu, Nepal. The hotel operates under the brand name "Hyatt Place" and is part of the </w:t>
      </w:r>
      <w:proofErr w:type="spellStart"/>
      <w:r w:rsidRPr="006D7549">
        <w:rPr>
          <w:color w:val="000000"/>
        </w:rPr>
        <w:t>Golyan</w:t>
      </w:r>
      <w:proofErr w:type="spellEnd"/>
      <w:r w:rsidRPr="006D7549">
        <w:rPr>
          <w:color w:val="000000"/>
        </w:rPr>
        <w:t xml:space="preserve"> Group of companies.</w:t>
      </w:r>
      <w:r w:rsidRPr="006D7549">
        <w:t xml:space="preserve"> </w:t>
      </w:r>
      <w:r w:rsidRPr="006D7549">
        <w:rPr>
          <w:color w:val="000000"/>
        </w:rPr>
        <w:t>City Hotel Limited was incorporated on December 5, 2007, but began commercial operations relatively recently in November 2021.</w:t>
      </w:r>
    </w:p>
    <w:p w:rsidR="006D7549" w:rsidRPr="006D7549" w:rsidRDefault="006D7549" w:rsidP="00AF4EC0">
      <w:pPr>
        <w:pStyle w:val="NormalWeb"/>
        <w:spacing w:before="240" w:after="240" w:line="360" w:lineRule="auto"/>
        <w:ind w:left="720"/>
        <w:textAlignment w:val="baseline"/>
        <w:rPr>
          <w:color w:val="000000"/>
        </w:rPr>
      </w:pPr>
      <w:r w:rsidRPr="006D7549">
        <w:rPr>
          <w:color w:val="000000"/>
        </w:rPr>
        <w:t xml:space="preserve"> The property features 153 room keys and includes modern amenities such as food and beverage service, spa, conference hall, casino, and other facilities. The hotel has a management agreement with Hyatt International-South West Asia Limited (owned by Hyatt Hotels Corporation), which provides the hotel with brand recognition, marketing support, and operational expertise.</w:t>
      </w:r>
    </w:p>
    <w:p w:rsidR="006D7549" w:rsidRPr="006D7549" w:rsidRDefault="006D7549" w:rsidP="00AF4EC0">
      <w:pPr>
        <w:pStyle w:val="NormalWeb"/>
        <w:spacing w:before="240" w:after="240" w:line="360" w:lineRule="auto"/>
        <w:ind w:left="720"/>
        <w:textAlignment w:val="baseline"/>
        <w:rPr>
          <w:color w:val="000000"/>
        </w:rPr>
      </w:pPr>
      <w:r w:rsidRPr="006D7549">
        <w:rPr>
          <w:color w:val="000000"/>
        </w:rPr>
        <w:t xml:space="preserve">The hotel is currently planning to upgrade from Hyatt Place to Hyatt Centric, which along with an expansion of its banquet hall capacity and the opening of an on-site casino, is expected to boost revenue. </w:t>
      </w:r>
    </w:p>
    <w:p w:rsidR="006D7549" w:rsidRPr="006D7549" w:rsidRDefault="006D7549" w:rsidP="00AF4EC0">
      <w:pPr>
        <w:pStyle w:val="NormalWeb"/>
        <w:spacing w:before="240" w:beforeAutospacing="0" w:after="240" w:afterAutospacing="0" w:line="360" w:lineRule="auto"/>
      </w:pPr>
      <w:r w:rsidRPr="006D7549">
        <w:rPr>
          <w:color w:val="000000"/>
        </w:rPr>
        <w:t xml:space="preserve">These companies represent the hotel and tourism sector on NEPSE, offering investors opportunities to participate in Nepal's growing tourism industry. </w:t>
      </w:r>
    </w:p>
    <w:p w:rsidR="006D7549" w:rsidRPr="006D7549" w:rsidRDefault="006D7549" w:rsidP="00AF4EC0">
      <w:pPr>
        <w:pStyle w:val="NormalWeb"/>
        <w:spacing w:before="240" w:beforeAutospacing="0" w:after="240" w:afterAutospacing="0" w:line="360" w:lineRule="auto"/>
      </w:pPr>
      <w:r w:rsidRPr="006D7549">
        <w:rPr>
          <w:color w:val="000000"/>
        </w:rPr>
        <w:lastRenderedPageBreak/>
        <w:t xml:space="preserve">Additionally, several other hotel and tourism companies are in the pipeline to issue Initial Public Offerings (IPOs) and list on NEPSE, indicating a positive trend towards the expansion and formalization of the sector. </w:t>
      </w:r>
    </w:p>
    <w:p w:rsidR="006D7549" w:rsidRPr="006D7549" w:rsidRDefault="006D7549" w:rsidP="00AF4EC0">
      <w:pPr>
        <w:spacing w:after="120" w:line="360" w:lineRule="auto"/>
        <w:jc w:val="both"/>
        <w:rPr>
          <w:rFonts w:ascii="Times New Roman" w:hAnsi="Times New Roman" w:cs="Times New Roman"/>
          <w:sz w:val="24"/>
          <w:szCs w:val="24"/>
          <w:highlight w:val="yellow"/>
        </w:rPr>
      </w:pPr>
      <w:r w:rsidRPr="006D7549">
        <w:rPr>
          <w:rFonts w:ascii="Times New Roman" w:hAnsi="Times New Roman" w:cs="Times New Roman"/>
          <w:noProof/>
          <w:sz w:val="24"/>
          <w:szCs w:val="24"/>
        </w:rPr>
        <w:drawing>
          <wp:inline distT="0" distB="0" distL="0" distR="0" wp14:anchorId="67834659" wp14:editId="322EAA29">
            <wp:extent cx="5943600" cy="4165600"/>
            <wp:effectExtent l="0" t="0" r="0" b="6350"/>
            <wp:docPr id="6" name="Chart 6">
              <a:extLst xmlns:a="http://schemas.openxmlformats.org/drawingml/2006/main">
                <a:ext uri="{FF2B5EF4-FFF2-40B4-BE49-F238E27FC236}">
                  <a16:creationId xmlns:a16="http://schemas.microsoft.com/office/drawing/2014/main" id="{17C7F503-B1F5-4EB6-B18D-EAFA00856F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D7549" w:rsidRPr="006D7549" w:rsidRDefault="006D7549" w:rsidP="00AF4EC0">
      <w:pPr>
        <w:spacing w:after="120" w:line="360" w:lineRule="auto"/>
        <w:jc w:val="both"/>
        <w:rPr>
          <w:rFonts w:ascii="Times New Roman" w:hAnsi="Times New Roman" w:cs="Times New Roman"/>
          <w:sz w:val="24"/>
          <w:szCs w:val="24"/>
        </w:rPr>
      </w:pPr>
    </w:p>
    <w:p w:rsidR="006D7549" w:rsidRPr="006D7549" w:rsidRDefault="006D7549" w:rsidP="00AF4EC0">
      <w:pPr>
        <w:spacing w:after="120" w:line="360" w:lineRule="auto"/>
        <w:jc w:val="both"/>
        <w:rPr>
          <w:rFonts w:ascii="Times New Roman" w:hAnsi="Times New Roman" w:cs="Times New Roman"/>
          <w:sz w:val="24"/>
          <w:szCs w:val="24"/>
        </w:rPr>
      </w:pPr>
      <w:r w:rsidRPr="006D7549">
        <w:rPr>
          <w:rFonts w:ascii="Times New Roman" w:hAnsi="Times New Roman" w:cs="Times New Roman"/>
          <w:sz w:val="24"/>
          <w:szCs w:val="24"/>
        </w:rPr>
        <w:t xml:space="preserve">This chart shows three different market metrics tracked over time from Q1 2014/15 to Q3 2024/25 of the hotels industry. The first is the NEPSE (Nepal Stock Exchange) index. The second metric is the Hotels and Tourism Index, the third metric is the PB (Price-to-Book) Ratio, depicted by blue dots, which measures the relationship between market value and book value of companies. </w:t>
      </w:r>
    </w:p>
    <w:p w:rsidR="006D7549" w:rsidRPr="006D7549" w:rsidRDefault="006D7549" w:rsidP="00AF4EC0">
      <w:pPr>
        <w:spacing w:after="120" w:line="360" w:lineRule="auto"/>
        <w:jc w:val="both"/>
        <w:rPr>
          <w:rFonts w:ascii="Times New Roman" w:hAnsi="Times New Roman" w:cs="Times New Roman"/>
          <w:sz w:val="24"/>
          <w:szCs w:val="24"/>
        </w:rPr>
      </w:pPr>
      <w:r w:rsidRPr="006D7549">
        <w:rPr>
          <w:rFonts w:ascii="Times New Roman" w:hAnsi="Times New Roman" w:cs="Times New Roman"/>
          <w:sz w:val="24"/>
          <w:szCs w:val="24"/>
        </w:rPr>
        <w:t>The data suggests a significant transformation in the market dynamics around 2020, with all metrics showing substantially higher levels in the post-2020 period compared to the 2014-2019 period. This could indicate structural changes in market valuations and investor sentiment during and after the pandemic period.</w:t>
      </w:r>
    </w:p>
    <w:p w:rsidR="006D7549" w:rsidRPr="006D7549" w:rsidRDefault="006D7549" w:rsidP="00AF4EC0">
      <w:pPr>
        <w:spacing w:after="120" w:line="360" w:lineRule="auto"/>
        <w:jc w:val="both"/>
        <w:rPr>
          <w:rFonts w:ascii="Times New Roman" w:hAnsi="Times New Roman" w:cs="Times New Roman"/>
          <w:sz w:val="24"/>
          <w:szCs w:val="24"/>
        </w:rPr>
      </w:pPr>
      <w:r w:rsidRPr="006D7549">
        <w:rPr>
          <w:rFonts w:ascii="Times New Roman" w:hAnsi="Times New Roman" w:cs="Times New Roman"/>
          <w:noProof/>
          <w:sz w:val="24"/>
          <w:szCs w:val="24"/>
        </w:rPr>
        <w:lastRenderedPageBreak/>
        <w:drawing>
          <wp:inline distT="0" distB="0" distL="0" distR="0" wp14:anchorId="4342BAF7" wp14:editId="720B67ED">
            <wp:extent cx="5943600" cy="4743450"/>
            <wp:effectExtent l="0" t="0" r="0" b="0"/>
            <wp:docPr id="7" name="Chart 7">
              <a:extLst xmlns:a="http://schemas.openxmlformats.org/drawingml/2006/main">
                <a:ext uri="{FF2B5EF4-FFF2-40B4-BE49-F238E27FC236}">
                  <a16:creationId xmlns:a16="http://schemas.microsoft.com/office/drawing/2014/main" id="{FBD4BE0C-3622-4A50-9728-FCAD37EBA7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D7549" w:rsidRPr="006D7549" w:rsidRDefault="006D7549" w:rsidP="00AF4EC0">
      <w:pPr>
        <w:spacing w:after="120" w:line="360" w:lineRule="auto"/>
        <w:jc w:val="both"/>
        <w:rPr>
          <w:rFonts w:ascii="Times New Roman" w:hAnsi="Times New Roman" w:cs="Times New Roman"/>
          <w:sz w:val="24"/>
          <w:szCs w:val="24"/>
        </w:rPr>
      </w:pPr>
    </w:p>
    <w:p w:rsidR="006D7549" w:rsidRPr="006D7549" w:rsidRDefault="006D7549" w:rsidP="00AF4EC0">
      <w:pPr>
        <w:spacing w:before="100" w:beforeAutospacing="1" w:after="100" w:afterAutospacing="1" w:line="360" w:lineRule="auto"/>
        <w:rPr>
          <w:rFonts w:ascii="Times New Roman" w:eastAsia="Times New Roman" w:hAnsi="Times New Roman" w:cs="Times New Roman"/>
          <w:sz w:val="24"/>
          <w:szCs w:val="24"/>
        </w:rPr>
      </w:pPr>
      <w:r w:rsidRPr="006D7549">
        <w:rPr>
          <w:rFonts w:ascii="Times New Roman" w:eastAsia="Times New Roman" w:hAnsi="Times New Roman" w:cs="Times New Roman"/>
          <w:sz w:val="24"/>
          <w:szCs w:val="24"/>
        </w:rPr>
        <w:t xml:space="preserve">Tourist arrivals demonstrate remarkable recovering from the pandemic under 200,000 visitors in 2020-2021 to reach 114,501 in March 2025, representing a near-complete recovery to pre-pandemic monthly levels of 120,000-134,000 seen in late 2019. </w:t>
      </w:r>
    </w:p>
    <w:p w:rsidR="006D7549" w:rsidRPr="006D7549" w:rsidRDefault="006D7549" w:rsidP="00AF4EC0">
      <w:pPr>
        <w:spacing w:after="120" w:line="360" w:lineRule="auto"/>
        <w:jc w:val="both"/>
        <w:rPr>
          <w:rFonts w:ascii="Times New Roman" w:hAnsi="Times New Roman" w:cs="Times New Roman"/>
          <w:sz w:val="24"/>
          <w:szCs w:val="24"/>
        </w:rPr>
      </w:pPr>
    </w:p>
    <w:p w:rsidR="006D7549" w:rsidRPr="006D7549" w:rsidRDefault="006D7549" w:rsidP="00AF4EC0">
      <w:pPr>
        <w:spacing w:after="120" w:line="360" w:lineRule="auto"/>
        <w:jc w:val="both"/>
        <w:rPr>
          <w:rFonts w:ascii="Times New Roman" w:hAnsi="Times New Roman" w:cs="Times New Roman"/>
          <w:sz w:val="24"/>
          <w:szCs w:val="24"/>
          <w:highlight w:val="yellow"/>
        </w:rPr>
      </w:pPr>
      <w:r w:rsidRPr="006D7549">
        <w:rPr>
          <w:rFonts w:ascii="Times New Roman" w:hAnsi="Times New Roman" w:cs="Times New Roman"/>
          <w:noProof/>
          <w:sz w:val="24"/>
          <w:szCs w:val="24"/>
        </w:rPr>
        <w:lastRenderedPageBreak/>
        <w:drawing>
          <wp:inline distT="0" distB="0" distL="0" distR="0" wp14:anchorId="3A9ED2E7" wp14:editId="7A0DBFA8">
            <wp:extent cx="5943600" cy="382756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2"/>
                    <a:stretch>
                      <a:fillRect/>
                    </a:stretch>
                  </pic:blipFill>
                  <pic:spPr>
                    <a:xfrm>
                      <a:off x="0" y="0"/>
                      <a:ext cx="5943600" cy="3827568"/>
                    </a:xfrm>
                    <a:prstGeom prst="rect">
                      <a:avLst/>
                    </a:prstGeom>
                  </pic:spPr>
                </pic:pic>
              </a:graphicData>
            </a:graphic>
          </wp:inline>
        </w:drawing>
      </w:r>
    </w:p>
    <w:p w:rsidR="006D7549" w:rsidRPr="006D7549" w:rsidRDefault="006D7549" w:rsidP="00AF4EC0">
      <w:pPr>
        <w:spacing w:after="120" w:line="360" w:lineRule="auto"/>
        <w:jc w:val="both"/>
        <w:rPr>
          <w:rFonts w:ascii="Times New Roman" w:hAnsi="Times New Roman" w:cs="Times New Roman"/>
          <w:sz w:val="24"/>
          <w:szCs w:val="24"/>
          <w:highlight w:val="yellow"/>
        </w:rPr>
      </w:pPr>
    </w:p>
    <w:p w:rsidR="006D7549" w:rsidRPr="006D7549" w:rsidRDefault="006D7549" w:rsidP="00AF4EC0">
      <w:pPr>
        <w:spacing w:after="120" w:line="360" w:lineRule="auto"/>
        <w:jc w:val="both"/>
        <w:rPr>
          <w:rFonts w:ascii="Times New Roman" w:hAnsi="Times New Roman" w:cs="Times New Roman"/>
          <w:sz w:val="24"/>
          <w:szCs w:val="24"/>
        </w:rPr>
      </w:pPr>
      <w:r w:rsidRPr="006D7549">
        <w:rPr>
          <w:rFonts w:ascii="Times New Roman" w:hAnsi="Times New Roman" w:cs="Times New Roman"/>
          <w:sz w:val="24"/>
          <w:szCs w:val="24"/>
        </w:rPr>
        <w:t>This bubble chart compares ROE (Return on Equity) vs ROA (Return on Assets) for several companies, with bubble sizes representing their market capitalization. The data reveals a clear positive correlation between ROE and ROA across the companies, suggesting that efficient asset utilization generally translates to better returns for shareholders. At the top end of performance, SHL leads with impressive metrics followed by TRH and CGH showing strong performance.</w:t>
      </w:r>
    </w:p>
    <w:p w:rsidR="006D7549" w:rsidRPr="006D7549" w:rsidRDefault="006D7549" w:rsidP="00AF4EC0">
      <w:pPr>
        <w:spacing w:line="360" w:lineRule="auto"/>
        <w:rPr>
          <w:rFonts w:ascii="Times New Roman" w:hAnsi="Times New Roman" w:cs="Times New Roman"/>
          <w:b/>
          <w:sz w:val="24"/>
          <w:szCs w:val="24"/>
          <w:highlight w:val="yellow"/>
        </w:rPr>
      </w:pPr>
      <w:r w:rsidRPr="006D7549">
        <w:rPr>
          <w:rFonts w:ascii="Times New Roman" w:hAnsi="Times New Roman" w:cs="Times New Roman"/>
          <w:b/>
          <w:sz w:val="24"/>
          <w:szCs w:val="24"/>
          <w:highlight w:val="yellow"/>
        </w:rPr>
        <w:br w:type="page"/>
      </w:r>
    </w:p>
    <w:p w:rsidR="006D7549" w:rsidRPr="006D7549" w:rsidRDefault="006D7549" w:rsidP="00AF4EC0">
      <w:pPr>
        <w:pStyle w:val="Heading2"/>
        <w:spacing w:line="360" w:lineRule="auto"/>
      </w:pPr>
      <w:bookmarkStart w:id="15" w:name="_Toc204788942"/>
      <w:r w:rsidRPr="006D7549">
        <w:lastRenderedPageBreak/>
        <w:t>Key ratio</w:t>
      </w:r>
      <w:bookmarkEnd w:id="15"/>
      <w:r w:rsidRPr="006D7549">
        <w:t xml:space="preserve"> </w:t>
      </w:r>
    </w:p>
    <w:tbl>
      <w:tblPr>
        <w:tblStyle w:val="TableGridLight"/>
        <w:tblW w:w="9987" w:type="dxa"/>
        <w:tblInd w:w="-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1"/>
        <w:gridCol w:w="967"/>
        <w:gridCol w:w="974"/>
        <w:gridCol w:w="974"/>
        <w:gridCol w:w="967"/>
        <w:gridCol w:w="1143"/>
        <w:gridCol w:w="855"/>
        <w:gridCol w:w="1128"/>
        <w:gridCol w:w="1128"/>
      </w:tblGrid>
      <w:tr w:rsidR="006D7549" w:rsidRPr="006D7549" w:rsidTr="00610E9D">
        <w:trPr>
          <w:trHeight w:val="53"/>
        </w:trPr>
        <w:tc>
          <w:tcPr>
            <w:tcW w:w="1851" w:type="dxa"/>
            <w:noWrap/>
            <w:vAlign w:val="center"/>
            <w:hideMark/>
          </w:tcPr>
          <w:p w:rsidR="006D7549" w:rsidRPr="006D7549" w:rsidRDefault="006D7549" w:rsidP="00AF4EC0">
            <w:pPr>
              <w:spacing w:line="360" w:lineRule="auto"/>
              <w:rPr>
                <w:rFonts w:ascii="Times New Roman" w:eastAsia="Times New Roman" w:hAnsi="Times New Roman" w:cs="Times New Roman"/>
                <w:b/>
                <w:color w:val="000000" w:themeColor="text1"/>
                <w:sz w:val="24"/>
                <w:szCs w:val="24"/>
              </w:rPr>
            </w:pPr>
            <w:r w:rsidRPr="006D7549">
              <w:rPr>
                <w:rFonts w:ascii="Times New Roman" w:eastAsia="Times New Roman" w:hAnsi="Times New Roman" w:cs="Times New Roman"/>
                <w:b/>
                <w:color w:val="000000" w:themeColor="text1"/>
                <w:sz w:val="24"/>
                <w:szCs w:val="24"/>
              </w:rPr>
              <w:t>Particulars</w:t>
            </w:r>
          </w:p>
        </w:tc>
        <w:tc>
          <w:tcPr>
            <w:tcW w:w="967" w:type="dxa"/>
            <w:noWrap/>
            <w:vAlign w:val="center"/>
            <w:hideMark/>
          </w:tcPr>
          <w:p w:rsidR="006D7549" w:rsidRPr="006D7549" w:rsidRDefault="006D7549" w:rsidP="00AF4EC0">
            <w:pPr>
              <w:spacing w:line="360" w:lineRule="auto"/>
              <w:rPr>
                <w:rFonts w:ascii="Times New Roman" w:eastAsia="Times New Roman" w:hAnsi="Times New Roman" w:cs="Times New Roman"/>
                <w:b/>
                <w:color w:val="000000" w:themeColor="text1"/>
                <w:sz w:val="24"/>
                <w:szCs w:val="24"/>
              </w:rPr>
            </w:pPr>
            <w:r w:rsidRPr="006D7549">
              <w:rPr>
                <w:rFonts w:ascii="Times New Roman" w:eastAsia="Times New Roman" w:hAnsi="Times New Roman" w:cs="Times New Roman"/>
                <w:b/>
                <w:color w:val="000000" w:themeColor="text1"/>
                <w:sz w:val="24"/>
                <w:szCs w:val="24"/>
              </w:rPr>
              <w:t>CGH</w:t>
            </w:r>
          </w:p>
        </w:tc>
        <w:tc>
          <w:tcPr>
            <w:tcW w:w="974" w:type="dxa"/>
            <w:noWrap/>
            <w:vAlign w:val="center"/>
            <w:hideMark/>
          </w:tcPr>
          <w:p w:rsidR="006D7549" w:rsidRPr="006D7549" w:rsidRDefault="006D7549" w:rsidP="00AF4EC0">
            <w:pPr>
              <w:spacing w:line="360" w:lineRule="auto"/>
              <w:rPr>
                <w:rFonts w:ascii="Times New Roman" w:eastAsia="Times New Roman" w:hAnsi="Times New Roman" w:cs="Times New Roman"/>
                <w:b/>
                <w:color w:val="000000" w:themeColor="text1"/>
                <w:sz w:val="24"/>
                <w:szCs w:val="24"/>
              </w:rPr>
            </w:pPr>
            <w:r w:rsidRPr="006D7549">
              <w:rPr>
                <w:rFonts w:ascii="Times New Roman" w:eastAsia="Times New Roman" w:hAnsi="Times New Roman" w:cs="Times New Roman"/>
                <w:b/>
                <w:color w:val="000000" w:themeColor="text1"/>
                <w:sz w:val="24"/>
                <w:szCs w:val="24"/>
              </w:rPr>
              <w:t>CITY</w:t>
            </w:r>
          </w:p>
        </w:tc>
        <w:tc>
          <w:tcPr>
            <w:tcW w:w="974" w:type="dxa"/>
            <w:noWrap/>
            <w:vAlign w:val="center"/>
            <w:hideMark/>
          </w:tcPr>
          <w:p w:rsidR="006D7549" w:rsidRPr="006D7549" w:rsidRDefault="006D7549" w:rsidP="00AF4EC0">
            <w:pPr>
              <w:spacing w:line="360" w:lineRule="auto"/>
              <w:rPr>
                <w:rFonts w:ascii="Times New Roman" w:eastAsia="Times New Roman" w:hAnsi="Times New Roman" w:cs="Times New Roman"/>
                <w:b/>
                <w:color w:val="000000" w:themeColor="text1"/>
                <w:sz w:val="24"/>
                <w:szCs w:val="24"/>
              </w:rPr>
            </w:pPr>
            <w:r w:rsidRPr="006D7549">
              <w:rPr>
                <w:rFonts w:ascii="Times New Roman" w:eastAsia="Times New Roman" w:hAnsi="Times New Roman" w:cs="Times New Roman"/>
                <w:b/>
                <w:color w:val="000000" w:themeColor="text1"/>
                <w:sz w:val="24"/>
                <w:szCs w:val="24"/>
              </w:rPr>
              <w:t>KDL</w:t>
            </w:r>
          </w:p>
        </w:tc>
        <w:tc>
          <w:tcPr>
            <w:tcW w:w="967" w:type="dxa"/>
            <w:noWrap/>
            <w:vAlign w:val="center"/>
            <w:hideMark/>
          </w:tcPr>
          <w:p w:rsidR="006D7549" w:rsidRPr="006D7549" w:rsidRDefault="006D7549" w:rsidP="00AF4EC0">
            <w:pPr>
              <w:spacing w:line="360" w:lineRule="auto"/>
              <w:rPr>
                <w:rFonts w:ascii="Times New Roman" w:eastAsia="Times New Roman" w:hAnsi="Times New Roman" w:cs="Times New Roman"/>
                <w:b/>
                <w:color w:val="000000" w:themeColor="text1"/>
                <w:sz w:val="24"/>
                <w:szCs w:val="24"/>
              </w:rPr>
            </w:pPr>
            <w:r w:rsidRPr="006D7549">
              <w:rPr>
                <w:rFonts w:ascii="Times New Roman" w:eastAsia="Times New Roman" w:hAnsi="Times New Roman" w:cs="Times New Roman"/>
                <w:b/>
                <w:color w:val="000000" w:themeColor="text1"/>
                <w:sz w:val="24"/>
                <w:szCs w:val="24"/>
              </w:rPr>
              <w:t>OHL</w:t>
            </w:r>
          </w:p>
        </w:tc>
        <w:tc>
          <w:tcPr>
            <w:tcW w:w="1143" w:type="dxa"/>
            <w:noWrap/>
            <w:vAlign w:val="center"/>
            <w:hideMark/>
          </w:tcPr>
          <w:p w:rsidR="006D7549" w:rsidRPr="006D7549" w:rsidRDefault="006D7549" w:rsidP="00AF4EC0">
            <w:pPr>
              <w:spacing w:line="360" w:lineRule="auto"/>
              <w:rPr>
                <w:rFonts w:ascii="Times New Roman" w:eastAsia="Times New Roman" w:hAnsi="Times New Roman" w:cs="Times New Roman"/>
                <w:b/>
                <w:color w:val="000000" w:themeColor="text1"/>
                <w:sz w:val="24"/>
                <w:szCs w:val="24"/>
              </w:rPr>
            </w:pPr>
            <w:r w:rsidRPr="006D7549">
              <w:rPr>
                <w:rFonts w:ascii="Times New Roman" w:eastAsia="Times New Roman" w:hAnsi="Times New Roman" w:cs="Times New Roman"/>
                <w:b/>
                <w:color w:val="000000" w:themeColor="text1"/>
                <w:sz w:val="24"/>
                <w:szCs w:val="24"/>
              </w:rPr>
              <w:t>SHL</w:t>
            </w:r>
          </w:p>
        </w:tc>
        <w:tc>
          <w:tcPr>
            <w:tcW w:w="855" w:type="dxa"/>
            <w:noWrap/>
            <w:vAlign w:val="center"/>
            <w:hideMark/>
          </w:tcPr>
          <w:p w:rsidR="006D7549" w:rsidRPr="006D7549" w:rsidRDefault="006D7549" w:rsidP="00AF4EC0">
            <w:pPr>
              <w:spacing w:line="360" w:lineRule="auto"/>
              <w:rPr>
                <w:rFonts w:ascii="Times New Roman" w:eastAsia="Times New Roman" w:hAnsi="Times New Roman" w:cs="Times New Roman"/>
                <w:b/>
                <w:color w:val="000000" w:themeColor="text1"/>
                <w:sz w:val="24"/>
                <w:szCs w:val="24"/>
              </w:rPr>
            </w:pPr>
            <w:r w:rsidRPr="006D7549">
              <w:rPr>
                <w:rFonts w:ascii="Times New Roman" w:eastAsia="Times New Roman" w:hAnsi="Times New Roman" w:cs="Times New Roman"/>
                <w:b/>
                <w:color w:val="000000" w:themeColor="text1"/>
                <w:sz w:val="24"/>
                <w:szCs w:val="24"/>
              </w:rPr>
              <w:t>TRH</w:t>
            </w:r>
          </w:p>
        </w:tc>
        <w:tc>
          <w:tcPr>
            <w:tcW w:w="1128" w:type="dxa"/>
            <w:noWrap/>
            <w:vAlign w:val="center"/>
            <w:hideMark/>
          </w:tcPr>
          <w:p w:rsidR="006D7549" w:rsidRPr="006D7549" w:rsidRDefault="006D7549" w:rsidP="00AF4EC0">
            <w:pPr>
              <w:spacing w:line="360" w:lineRule="auto"/>
              <w:rPr>
                <w:rFonts w:ascii="Times New Roman" w:eastAsia="Times New Roman" w:hAnsi="Times New Roman" w:cs="Times New Roman"/>
                <w:b/>
                <w:color w:val="000000" w:themeColor="text1"/>
                <w:sz w:val="24"/>
                <w:szCs w:val="24"/>
              </w:rPr>
            </w:pPr>
            <w:r w:rsidRPr="006D7549">
              <w:rPr>
                <w:rFonts w:ascii="Times New Roman" w:eastAsia="Times New Roman" w:hAnsi="Times New Roman" w:cs="Times New Roman"/>
                <w:b/>
                <w:color w:val="000000" w:themeColor="text1"/>
                <w:sz w:val="24"/>
                <w:szCs w:val="24"/>
              </w:rPr>
              <w:t>Industry Average</w:t>
            </w:r>
          </w:p>
        </w:tc>
        <w:tc>
          <w:tcPr>
            <w:tcW w:w="1128" w:type="dxa"/>
            <w:noWrap/>
            <w:vAlign w:val="center"/>
            <w:hideMark/>
          </w:tcPr>
          <w:p w:rsidR="006D7549" w:rsidRPr="006D7549" w:rsidRDefault="006D7549" w:rsidP="00AF4EC0">
            <w:pPr>
              <w:spacing w:line="360" w:lineRule="auto"/>
              <w:rPr>
                <w:rFonts w:ascii="Times New Roman" w:eastAsia="Times New Roman" w:hAnsi="Times New Roman" w:cs="Times New Roman"/>
                <w:b/>
                <w:color w:val="000000" w:themeColor="text1"/>
                <w:sz w:val="24"/>
                <w:szCs w:val="24"/>
              </w:rPr>
            </w:pPr>
            <w:r w:rsidRPr="006D7549">
              <w:rPr>
                <w:rFonts w:ascii="Times New Roman" w:eastAsia="Times New Roman" w:hAnsi="Times New Roman" w:cs="Times New Roman"/>
                <w:b/>
                <w:color w:val="000000" w:themeColor="text1"/>
                <w:sz w:val="24"/>
                <w:szCs w:val="24"/>
              </w:rPr>
              <w:t>Industry Median</w:t>
            </w:r>
          </w:p>
        </w:tc>
      </w:tr>
      <w:tr w:rsidR="006D7549" w:rsidRPr="006D7549" w:rsidTr="00610E9D">
        <w:trPr>
          <w:trHeight w:val="108"/>
        </w:trPr>
        <w:tc>
          <w:tcPr>
            <w:tcW w:w="1851" w:type="dxa"/>
            <w:vAlign w:val="center"/>
            <w:hideMark/>
          </w:tcPr>
          <w:p w:rsidR="006D7549" w:rsidRPr="006D7549" w:rsidRDefault="006D7549" w:rsidP="00AF4EC0">
            <w:pPr>
              <w:spacing w:line="360" w:lineRule="auto"/>
              <w:rPr>
                <w:rFonts w:ascii="Times New Roman" w:eastAsia="Times New Roman" w:hAnsi="Times New Roman" w:cs="Times New Roman"/>
                <w:b/>
                <w:color w:val="000000" w:themeColor="text1"/>
                <w:sz w:val="24"/>
                <w:szCs w:val="24"/>
              </w:rPr>
            </w:pPr>
            <w:r w:rsidRPr="006D7549">
              <w:rPr>
                <w:rFonts w:ascii="Times New Roman" w:eastAsia="Times New Roman" w:hAnsi="Times New Roman" w:cs="Times New Roman"/>
                <w:b/>
                <w:color w:val="000000" w:themeColor="text1"/>
                <w:sz w:val="24"/>
                <w:szCs w:val="24"/>
              </w:rPr>
              <w:t>Total Income YOY % Growth</w:t>
            </w:r>
          </w:p>
        </w:tc>
        <w:tc>
          <w:tcPr>
            <w:tcW w:w="967" w:type="dxa"/>
            <w:noWrap/>
            <w:vAlign w:val="center"/>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-9.50%</w:t>
            </w:r>
          </w:p>
        </w:tc>
        <w:tc>
          <w:tcPr>
            <w:tcW w:w="974" w:type="dxa"/>
            <w:noWrap/>
            <w:vAlign w:val="center"/>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-10.79%</w:t>
            </w:r>
          </w:p>
        </w:tc>
        <w:tc>
          <w:tcPr>
            <w:tcW w:w="974" w:type="dxa"/>
            <w:noWrap/>
            <w:vAlign w:val="center"/>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-18.58%</w:t>
            </w:r>
          </w:p>
        </w:tc>
        <w:tc>
          <w:tcPr>
            <w:tcW w:w="967" w:type="dxa"/>
            <w:noWrap/>
            <w:vAlign w:val="center"/>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-9.14%</w:t>
            </w:r>
          </w:p>
        </w:tc>
        <w:tc>
          <w:tcPr>
            <w:tcW w:w="1143" w:type="dxa"/>
            <w:noWrap/>
            <w:vAlign w:val="center"/>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12.48%</w:t>
            </w:r>
          </w:p>
        </w:tc>
        <w:tc>
          <w:tcPr>
            <w:tcW w:w="855" w:type="dxa"/>
            <w:noWrap/>
            <w:vAlign w:val="center"/>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6.21%</w:t>
            </w:r>
          </w:p>
        </w:tc>
        <w:tc>
          <w:tcPr>
            <w:tcW w:w="1128" w:type="dxa"/>
            <w:noWrap/>
            <w:vAlign w:val="center"/>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-7.11%</w:t>
            </w:r>
          </w:p>
        </w:tc>
        <w:tc>
          <w:tcPr>
            <w:tcW w:w="1128" w:type="dxa"/>
            <w:noWrap/>
            <w:vAlign w:val="center"/>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-9.32%</w:t>
            </w:r>
          </w:p>
        </w:tc>
      </w:tr>
      <w:tr w:rsidR="006D7549" w:rsidRPr="006D7549" w:rsidTr="00610E9D">
        <w:trPr>
          <w:trHeight w:val="108"/>
        </w:trPr>
        <w:tc>
          <w:tcPr>
            <w:tcW w:w="1851" w:type="dxa"/>
            <w:vAlign w:val="center"/>
            <w:hideMark/>
          </w:tcPr>
          <w:p w:rsidR="006D7549" w:rsidRPr="006D7549" w:rsidRDefault="006D7549" w:rsidP="00AF4EC0">
            <w:pPr>
              <w:spacing w:line="360" w:lineRule="auto"/>
              <w:rPr>
                <w:rFonts w:ascii="Times New Roman" w:eastAsia="Times New Roman" w:hAnsi="Times New Roman" w:cs="Times New Roman"/>
                <w:b/>
                <w:color w:val="000000" w:themeColor="text1"/>
                <w:sz w:val="24"/>
                <w:szCs w:val="24"/>
              </w:rPr>
            </w:pPr>
            <w:r w:rsidRPr="006D7549">
              <w:rPr>
                <w:rFonts w:ascii="Times New Roman" w:eastAsia="Times New Roman" w:hAnsi="Times New Roman" w:cs="Times New Roman"/>
                <w:b/>
                <w:color w:val="000000" w:themeColor="text1"/>
                <w:sz w:val="24"/>
                <w:szCs w:val="24"/>
              </w:rPr>
              <w:t>Total Operating Expenditure YOY % Growth</w:t>
            </w:r>
          </w:p>
        </w:tc>
        <w:tc>
          <w:tcPr>
            <w:tcW w:w="967" w:type="dxa"/>
            <w:noWrap/>
            <w:vAlign w:val="center"/>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-1.7%</w:t>
            </w:r>
          </w:p>
        </w:tc>
        <w:tc>
          <w:tcPr>
            <w:tcW w:w="974" w:type="dxa"/>
            <w:noWrap/>
            <w:vAlign w:val="center"/>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0.1%</w:t>
            </w:r>
          </w:p>
        </w:tc>
        <w:tc>
          <w:tcPr>
            <w:tcW w:w="974" w:type="dxa"/>
            <w:noWrap/>
            <w:vAlign w:val="center"/>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13.3%</w:t>
            </w:r>
          </w:p>
        </w:tc>
        <w:tc>
          <w:tcPr>
            <w:tcW w:w="967" w:type="dxa"/>
            <w:noWrap/>
            <w:vAlign w:val="center"/>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-4.4%</w:t>
            </w:r>
          </w:p>
        </w:tc>
        <w:tc>
          <w:tcPr>
            <w:tcW w:w="1143" w:type="dxa"/>
            <w:noWrap/>
            <w:vAlign w:val="center"/>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11.4%</w:t>
            </w:r>
          </w:p>
        </w:tc>
        <w:tc>
          <w:tcPr>
            <w:tcW w:w="855" w:type="dxa"/>
            <w:noWrap/>
            <w:vAlign w:val="center"/>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7.9%</w:t>
            </w:r>
          </w:p>
        </w:tc>
        <w:tc>
          <w:tcPr>
            <w:tcW w:w="1128" w:type="dxa"/>
            <w:noWrap/>
            <w:vAlign w:val="center"/>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3.7%</w:t>
            </w:r>
          </w:p>
        </w:tc>
        <w:tc>
          <w:tcPr>
            <w:tcW w:w="1128" w:type="dxa"/>
            <w:noWrap/>
            <w:vAlign w:val="center"/>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4.0%</w:t>
            </w:r>
          </w:p>
        </w:tc>
      </w:tr>
      <w:tr w:rsidR="006D7549" w:rsidRPr="006D7549" w:rsidTr="00610E9D">
        <w:trPr>
          <w:trHeight w:val="53"/>
        </w:trPr>
        <w:tc>
          <w:tcPr>
            <w:tcW w:w="1851" w:type="dxa"/>
            <w:vAlign w:val="center"/>
            <w:hideMark/>
          </w:tcPr>
          <w:p w:rsidR="006D7549" w:rsidRPr="006D7549" w:rsidRDefault="006D7549" w:rsidP="00AF4EC0">
            <w:pPr>
              <w:spacing w:line="360" w:lineRule="auto"/>
              <w:rPr>
                <w:rFonts w:ascii="Times New Roman" w:eastAsia="Times New Roman" w:hAnsi="Times New Roman" w:cs="Times New Roman"/>
                <w:b/>
                <w:color w:val="000000" w:themeColor="text1"/>
                <w:sz w:val="24"/>
                <w:szCs w:val="24"/>
              </w:rPr>
            </w:pPr>
            <w:r w:rsidRPr="006D7549">
              <w:rPr>
                <w:rFonts w:ascii="Times New Roman" w:eastAsia="Times New Roman" w:hAnsi="Times New Roman" w:cs="Times New Roman"/>
                <w:b/>
                <w:color w:val="000000" w:themeColor="text1"/>
                <w:sz w:val="24"/>
                <w:szCs w:val="24"/>
              </w:rPr>
              <w:t>Investments YOY % Growth</w:t>
            </w:r>
          </w:p>
        </w:tc>
        <w:tc>
          <w:tcPr>
            <w:tcW w:w="967" w:type="dxa"/>
            <w:noWrap/>
            <w:vAlign w:val="center"/>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3.2%</w:t>
            </w:r>
          </w:p>
        </w:tc>
        <w:tc>
          <w:tcPr>
            <w:tcW w:w="974" w:type="dxa"/>
            <w:noWrap/>
            <w:vAlign w:val="center"/>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-86.8%</w:t>
            </w:r>
          </w:p>
        </w:tc>
        <w:tc>
          <w:tcPr>
            <w:tcW w:w="974" w:type="dxa"/>
            <w:noWrap/>
            <w:vAlign w:val="center"/>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7.9%</w:t>
            </w:r>
          </w:p>
        </w:tc>
        <w:tc>
          <w:tcPr>
            <w:tcW w:w="967" w:type="dxa"/>
            <w:noWrap/>
            <w:vAlign w:val="center"/>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-3.4%</w:t>
            </w:r>
          </w:p>
        </w:tc>
        <w:tc>
          <w:tcPr>
            <w:tcW w:w="1143" w:type="dxa"/>
            <w:noWrap/>
            <w:vAlign w:val="center"/>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2.2%</w:t>
            </w:r>
          </w:p>
        </w:tc>
        <w:tc>
          <w:tcPr>
            <w:tcW w:w="855" w:type="dxa"/>
            <w:noWrap/>
            <w:vAlign w:val="center"/>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0.0%</w:t>
            </w:r>
          </w:p>
        </w:tc>
        <w:tc>
          <w:tcPr>
            <w:tcW w:w="1128" w:type="dxa"/>
            <w:noWrap/>
            <w:vAlign w:val="center"/>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-15.4%</w:t>
            </w:r>
          </w:p>
        </w:tc>
        <w:tc>
          <w:tcPr>
            <w:tcW w:w="1128" w:type="dxa"/>
            <w:noWrap/>
            <w:vAlign w:val="center"/>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1.1%</w:t>
            </w:r>
          </w:p>
        </w:tc>
      </w:tr>
      <w:tr w:rsidR="006D7549" w:rsidRPr="006D7549" w:rsidTr="00610E9D">
        <w:trPr>
          <w:trHeight w:val="60"/>
        </w:trPr>
        <w:tc>
          <w:tcPr>
            <w:tcW w:w="1851" w:type="dxa"/>
            <w:vAlign w:val="center"/>
            <w:hideMark/>
          </w:tcPr>
          <w:p w:rsidR="006D7549" w:rsidRPr="006D7549" w:rsidRDefault="006D7549" w:rsidP="00AF4EC0">
            <w:pPr>
              <w:spacing w:line="360" w:lineRule="auto"/>
              <w:rPr>
                <w:rFonts w:ascii="Times New Roman" w:eastAsia="Times New Roman" w:hAnsi="Times New Roman" w:cs="Times New Roman"/>
                <w:b/>
                <w:color w:val="000000" w:themeColor="text1"/>
                <w:sz w:val="24"/>
                <w:szCs w:val="24"/>
              </w:rPr>
            </w:pPr>
            <w:r w:rsidRPr="006D7549">
              <w:rPr>
                <w:rFonts w:ascii="Times New Roman" w:eastAsia="Times New Roman" w:hAnsi="Times New Roman" w:cs="Times New Roman"/>
                <w:b/>
                <w:color w:val="000000" w:themeColor="text1"/>
                <w:sz w:val="24"/>
                <w:szCs w:val="24"/>
              </w:rPr>
              <w:t>EPS (Annualized)</w:t>
            </w:r>
          </w:p>
        </w:tc>
        <w:tc>
          <w:tcPr>
            <w:tcW w:w="967" w:type="dxa"/>
            <w:noWrap/>
            <w:vAlign w:val="center"/>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9.5</w:t>
            </w:r>
          </w:p>
        </w:tc>
        <w:tc>
          <w:tcPr>
            <w:tcW w:w="974" w:type="dxa"/>
            <w:noWrap/>
            <w:vAlign w:val="center"/>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(13.8)</w:t>
            </w:r>
          </w:p>
        </w:tc>
        <w:tc>
          <w:tcPr>
            <w:tcW w:w="974" w:type="dxa"/>
            <w:noWrap/>
            <w:vAlign w:val="center"/>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4.2</w:t>
            </w:r>
          </w:p>
        </w:tc>
        <w:tc>
          <w:tcPr>
            <w:tcW w:w="967" w:type="dxa"/>
            <w:noWrap/>
            <w:vAlign w:val="center"/>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5.0</w:t>
            </w:r>
          </w:p>
        </w:tc>
        <w:tc>
          <w:tcPr>
            <w:tcW w:w="1143" w:type="dxa"/>
            <w:noWrap/>
            <w:vAlign w:val="center"/>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6.1</w:t>
            </w:r>
          </w:p>
        </w:tc>
        <w:tc>
          <w:tcPr>
            <w:tcW w:w="855" w:type="dxa"/>
            <w:noWrap/>
            <w:vAlign w:val="center"/>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22.9</w:t>
            </w:r>
          </w:p>
        </w:tc>
        <w:tc>
          <w:tcPr>
            <w:tcW w:w="1128" w:type="dxa"/>
            <w:noWrap/>
            <w:vAlign w:val="center"/>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2.2</w:t>
            </w:r>
          </w:p>
        </w:tc>
        <w:tc>
          <w:tcPr>
            <w:tcW w:w="1128" w:type="dxa"/>
            <w:noWrap/>
            <w:vAlign w:val="center"/>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5.6</w:t>
            </w:r>
          </w:p>
        </w:tc>
      </w:tr>
      <w:tr w:rsidR="006D7549" w:rsidRPr="006D7549" w:rsidTr="00610E9D">
        <w:trPr>
          <w:trHeight w:val="60"/>
        </w:trPr>
        <w:tc>
          <w:tcPr>
            <w:tcW w:w="1851" w:type="dxa"/>
            <w:vAlign w:val="center"/>
            <w:hideMark/>
          </w:tcPr>
          <w:p w:rsidR="006D7549" w:rsidRPr="006D7549" w:rsidRDefault="006D7549" w:rsidP="00AF4EC0">
            <w:pPr>
              <w:spacing w:line="360" w:lineRule="auto"/>
              <w:rPr>
                <w:rFonts w:ascii="Times New Roman" w:eastAsia="Times New Roman" w:hAnsi="Times New Roman" w:cs="Times New Roman"/>
                <w:b/>
                <w:color w:val="000000" w:themeColor="text1"/>
                <w:sz w:val="24"/>
                <w:szCs w:val="24"/>
              </w:rPr>
            </w:pPr>
            <w:r w:rsidRPr="006D7549">
              <w:rPr>
                <w:rFonts w:ascii="Times New Roman" w:eastAsia="Times New Roman" w:hAnsi="Times New Roman" w:cs="Times New Roman"/>
                <w:b/>
                <w:color w:val="000000" w:themeColor="text1"/>
                <w:sz w:val="24"/>
                <w:szCs w:val="24"/>
              </w:rPr>
              <w:t>EPS TTM (Rs.)</w:t>
            </w:r>
          </w:p>
        </w:tc>
        <w:tc>
          <w:tcPr>
            <w:tcW w:w="967" w:type="dxa"/>
            <w:noWrap/>
            <w:vAlign w:val="center"/>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14.6</w:t>
            </w:r>
          </w:p>
        </w:tc>
        <w:tc>
          <w:tcPr>
            <w:tcW w:w="974" w:type="dxa"/>
            <w:noWrap/>
            <w:vAlign w:val="center"/>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(13.4)</w:t>
            </w:r>
          </w:p>
        </w:tc>
        <w:tc>
          <w:tcPr>
            <w:tcW w:w="974" w:type="dxa"/>
            <w:noWrap/>
            <w:vAlign w:val="center"/>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3.5</w:t>
            </w:r>
          </w:p>
        </w:tc>
        <w:tc>
          <w:tcPr>
            <w:tcW w:w="967" w:type="dxa"/>
            <w:noWrap/>
            <w:vAlign w:val="center"/>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8.5</w:t>
            </w:r>
          </w:p>
        </w:tc>
        <w:tc>
          <w:tcPr>
            <w:tcW w:w="1143" w:type="dxa"/>
            <w:noWrap/>
            <w:vAlign w:val="center"/>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6.4</w:t>
            </w:r>
          </w:p>
        </w:tc>
        <w:tc>
          <w:tcPr>
            <w:tcW w:w="855" w:type="dxa"/>
            <w:noWrap/>
            <w:vAlign w:val="center"/>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26.6</w:t>
            </w:r>
          </w:p>
        </w:tc>
        <w:tc>
          <w:tcPr>
            <w:tcW w:w="1128" w:type="dxa"/>
            <w:noWrap/>
            <w:vAlign w:val="center"/>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3.9</w:t>
            </w:r>
          </w:p>
        </w:tc>
        <w:tc>
          <w:tcPr>
            <w:tcW w:w="1128" w:type="dxa"/>
            <w:noWrap/>
            <w:vAlign w:val="center"/>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7.5</w:t>
            </w:r>
          </w:p>
        </w:tc>
      </w:tr>
      <w:tr w:rsidR="006D7549" w:rsidRPr="006D7549" w:rsidTr="00610E9D">
        <w:trPr>
          <w:trHeight w:val="60"/>
        </w:trPr>
        <w:tc>
          <w:tcPr>
            <w:tcW w:w="1851" w:type="dxa"/>
            <w:vAlign w:val="center"/>
            <w:hideMark/>
          </w:tcPr>
          <w:p w:rsidR="006D7549" w:rsidRPr="006D7549" w:rsidRDefault="006D7549" w:rsidP="00AF4EC0">
            <w:pPr>
              <w:spacing w:line="360" w:lineRule="auto"/>
              <w:rPr>
                <w:rFonts w:ascii="Times New Roman" w:eastAsia="Times New Roman" w:hAnsi="Times New Roman" w:cs="Times New Roman"/>
                <w:b/>
                <w:color w:val="000000" w:themeColor="text1"/>
                <w:sz w:val="24"/>
                <w:szCs w:val="24"/>
              </w:rPr>
            </w:pPr>
            <w:r w:rsidRPr="006D7549">
              <w:rPr>
                <w:rFonts w:ascii="Times New Roman" w:eastAsia="Times New Roman" w:hAnsi="Times New Roman" w:cs="Times New Roman"/>
                <w:b/>
                <w:color w:val="000000" w:themeColor="text1"/>
                <w:sz w:val="24"/>
                <w:szCs w:val="24"/>
              </w:rPr>
              <w:t>Return on Equity (TTM) %</w:t>
            </w:r>
          </w:p>
        </w:tc>
        <w:tc>
          <w:tcPr>
            <w:tcW w:w="967" w:type="dxa"/>
            <w:noWrap/>
            <w:vAlign w:val="center"/>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15.0%</w:t>
            </w:r>
          </w:p>
        </w:tc>
        <w:tc>
          <w:tcPr>
            <w:tcW w:w="974" w:type="dxa"/>
            <w:noWrap/>
            <w:vAlign w:val="center"/>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-15.1%</w:t>
            </w:r>
          </w:p>
        </w:tc>
        <w:tc>
          <w:tcPr>
            <w:tcW w:w="974" w:type="dxa"/>
            <w:noWrap/>
            <w:vAlign w:val="center"/>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3.4%</w:t>
            </w:r>
          </w:p>
        </w:tc>
        <w:tc>
          <w:tcPr>
            <w:tcW w:w="967" w:type="dxa"/>
            <w:noWrap/>
            <w:vAlign w:val="center"/>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2.6%</w:t>
            </w:r>
          </w:p>
        </w:tc>
        <w:tc>
          <w:tcPr>
            <w:tcW w:w="1143" w:type="dxa"/>
            <w:noWrap/>
            <w:vAlign w:val="center"/>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27.1%</w:t>
            </w:r>
          </w:p>
        </w:tc>
        <w:tc>
          <w:tcPr>
            <w:tcW w:w="855" w:type="dxa"/>
            <w:noWrap/>
            <w:vAlign w:val="center"/>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17.9%</w:t>
            </w:r>
          </w:p>
        </w:tc>
        <w:tc>
          <w:tcPr>
            <w:tcW w:w="1128" w:type="dxa"/>
            <w:noWrap/>
            <w:vAlign w:val="center"/>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6.6%</w:t>
            </w:r>
          </w:p>
        </w:tc>
        <w:tc>
          <w:tcPr>
            <w:tcW w:w="1128" w:type="dxa"/>
            <w:noWrap/>
            <w:vAlign w:val="center"/>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9.2%</w:t>
            </w:r>
          </w:p>
        </w:tc>
      </w:tr>
      <w:tr w:rsidR="006D7549" w:rsidRPr="006D7549" w:rsidTr="00610E9D">
        <w:trPr>
          <w:trHeight w:val="60"/>
        </w:trPr>
        <w:tc>
          <w:tcPr>
            <w:tcW w:w="1851" w:type="dxa"/>
            <w:vAlign w:val="center"/>
            <w:hideMark/>
          </w:tcPr>
          <w:p w:rsidR="006D7549" w:rsidRPr="006D7549" w:rsidRDefault="006D7549" w:rsidP="00AF4EC0">
            <w:pPr>
              <w:spacing w:line="360" w:lineRule="auto"/>
              <w:rPr>
                <w:rFonts w:ascii="Times New Roman" w:eastAsia="Times New Roman" w:hAnsi="Times New Roman" w:cs="Times New Roman"/>
                <w:b/>
                <w:color w:val="000000" w:themeColor="text1"/>
                <w:sz w:val="24"/>
                <w:szCs w:val="24"/>
              </w:rPr>
            </w:pPr>
            <w:r w:rsidRPr="006D7549">
              <w:rPr>
                <w:rFonts w:ascii="Times New Roman" w:eastAsia="Times New Roman" w:hAnsi="Times New Roman" w:cs="Times New Roman"/>
                <w:b/>
                <w:color w:val="000000" w:themeColor="text1"/>
                <w:sz w:val="24"/>
                <w:szCs w:val="24"/>
              </w:rPr>
              <w:t>Return on Assets (TTM) %</w:t>
            </w:r>
          </w:p>
        </w:tc>
        <w:tc>
          <w:tcPr>
            <w:tcW w:w="967" w:type="dxa"/>
            <w:noWrap/>
            <w:vAlign w:val="center"/>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6.2%</w:t>
            </w:r>
          </w:p>
        </w:tc>
        <w:tc>
          <w:tcPr>
            <w:tcW w:w="974" w:type="dxa"/>
            <w:noWrap/>
            <w:vAlign w:val="center"/>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-4.1%</w:t>
            </w:r>
          </w:p>
        </w:tc>
        <w:tc>
          <w:tcPr>
            <w:tcW w:w="974" w:type="dxa"/>
            <w:noWrap/>
            <w:vAlign w:val="center"/>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2.8%</w:t>
            </w:r>
          </w:p>
        </w:tc>
        <w:tc>
          <w:tcPr>
            <w:tcW w:w="967" w:type="dxa"/>
            <w:noWrap/>
            <w:vAlign w:val="center"/>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1.7%</w:t>
            </w:r>
          </w:p>
        </w:tc>
        <w:tc>
          <w:tcPr>
            <w:tcW w:w="1143" w:type="dxa"/>
            <w:noWrap/>
            <w:vAlign w:val="center"/>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20.7%</w:t>
            </w:r>
          </w:p>
        </w:tc>
        <w:tc>
          <w:tcPr>
            <w:tcW w:w="855" w:type="dxa"/>
            <w:noWrap/>
            <w:vAlign w:val="center"/>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12.0%</w:t>
            </w:r>
          </w:p>
        </w:tc>
        <w:tc>
          <w:tcPr>
            <w:tcW w:w="1128" w:type="dxa"/>
            <w:noWrap/>
            <w:vAlign w:val="center"/>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0.05</w:t>
            </w:r>
          </w:p>
        </w:tc>
        <w:tc>
          <w:tcPr>
            <w:tcW w:w="1128" w:type="dxa"/>
            <w:noWrap/>
            <w:vAlign w:val="center"/>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0.04</w:t>
            </w:r>
          </w:p>
        </w:tc>
      </w:tr>
      <w:tr w:rsidR="006D7549" w:rsidRPr="006D7549" w:rsidTr="00610E9D">
        <w:trPr>
          <w:trHeight w:val="60"/>
        </w:trPr>
        <w:tc>
          <w:tcPr>
            <w:tcW w:w="1851" w:type="dxa"/>
            <w:vAlign w:val="center"/>
            <w:hideMark/>
          </w:tcPr>
          <w:p w:rsidR="006D7549" w:rsidRPr="006D7549" w:rsidRDefault="006D7549" w:rsidP="00AF4EC0">
            <w:pPr>
              <w:spacing w:line="360" w:lineRule="auto"/>
              <w:rPr>
                <w:rFonts w:ascii="Times New Roman" w:eastAsia="Times New Roman" w:hAnsi="Times New Roman" w:cs="Times New Roman"/>
                <w:b/>
                <w:color w:val="000000" w:themeColor="text1"/>
                <w:sz w:val="24"/>
                <w:szCs w:val="24"/>
              </w:rPr>
            </w:pPr>
            <w:r w:rsidRPr="006D7549">
              <w:rPr>
                <w:rFonts w:ascii="Times New Roman" w:eastAsia="Times New Roman" w:hAnsi="Times New Roman" w:cs="Times New Roman"/>
                <w:b/>
                <w:color w:val="000000" w:themeColor="text1"/>
                <w:sz w:val="24"/>
                <w:szCs w:val="24"/>
              </w:rPr>
              <w:t>Book Value per Share</w:t>
            </w:r>
          </w:p>
        </w:tc>
        <w:tc>
          <w:tcPr>
            <w:tcW w:w="967" w:type="dxa"/>
            <w:noWrap/>
            <w:vAlign w:val="center"/>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102.5</w:t>
            </w:r>
          </w:p>
        </w:tc>
        <w:tc>
          <w:tcPr>
            <w:tcW w:w="974" w:type="dxa"/>
            <w:noWrap/>
            <w:vAlign w:val="center"/>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79.9</w:t>
            </w:r>
          </w:p>
        </w:tc>
        <w:tc>
          <w:tcPr>
            <w:tcW w:w="974" w:type="dxa"/>
            <w:noWrap/>
            <w:vAlign w:val="center"/>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103.8</w:t>
            </w:r>
          </w:p>
        </w:tc>
        <w:tc>
          <w:tcPr>
            <w:tcW w:w="967" w:type="dxa"/>
            <w:noWrap/>
            <w:vAlign w:val="center"/>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330.8</w:t>
            </w:r>
          </w:p>
        </w:tc>
        <w:tc>
          <w:tcPr>
            <w:tcW w:w="1143" w:type="dxa"/>
            <w:noWrap/>
            <w:vAlign w:val="center"/>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25.2</w:t>
            </w:r>
          </w:p>
        </w:tc>
        <w:tc>
          <w:tcPr>
            <w:tcW w:w="855" w:type="dxa"/>
            <w:noWrap/>
            <w:vAlign w:val="center"/>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152.6</w:t>
            </w:r>
          </w:p>
        </w:tc>
        <w:tc>
          <w:tcPr>
            <w:tcW w:w="1128" w:type="dxa"/>
            <w:noWrap/>
            <w:vAlign w:val="center"/>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128.4</w:t>
            </w:r>
          </w:p>
        </w:tc>
        <w:tc>
          <w:tcPr>
            <w:tcW w:w="1128" w:type="dxa"/>
            <w:noWrap/>
            <w:vAlign w:val="center"/>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103.1</w:t>
            </w:r>
          </w:p>
        </w:tc>
      </w:tr>
    </w:tbl>
    <w:p w:rsidR="006D7549" w:rsidRPr="006D7549" w:rsidRDefault="006D7549" w:rsidP="00AF4EC0">
      <w:pPr>
        <w:spacing w:line="360" w:lineRule="auto"/>
        <w:rPr>
          <w:rFonts w:ascii="Times New Roman" w:hAnsi="Times New Roman" w:cs="Times New Roman"/>
          <w:color w:val="000000"/>
          <w:sz w:val="24"/>
          <w:szCs w:val="24"/>
        </w:rPr>
      </w:pPr>
    </w:p>
    <w:p w:rsidR="006D7549" w:rsidRDefault="006D7549" w:rsidP="00AF4EC0">
      <w:pPr>
        <w:spacing w:line="360" w:lineRule="auto"/>
        <w:rPr>
          <w:rFonts w:ascii="Times New Roman" w:hAnsi="Times New Roman" w:cs="Times New Roman"/>
          <w:color w:val="000000"/>
          <w:sz w:val="24"/>
          <w:szCs w:val="24"/>
        </w:rPr>
      </w:pPr>
      <w:r w:rsidRPr="006D7549">
        <w:rPr>
          <w:rFonts w:ascii="Times New Roman" w:hAnsi="Times New Roman" w:cs="Times New Roman"/>
          <w:color w:val="000000"/>
          <w:sz w:val="24"/>
          <w:szCs w:val="24"/>
        </w:rPr>
        <w:t xml:space="preserve">The table provides a comparative analysis of six listed hotel companies (CGH, CITY, KDL, OHL, SHL, TRH) in terms of key financial metrics such as income growth, expenditure growth, earnings per share (EPS), returns, and book value per share. </w:t>
      </w:r>
    </w:p>
    <w:p w:rsidR="006D7549" w:rsidRPr="006D7549" w:rsidRDefault="006D7549" w:rsidP="00AF4EC0">
      <w:pPr>
        <w:spacing w:line="360" w:lineRule="auto"/>
        <w:rPr>
          <w:rFonts w:ascii="Times New Roman" w:hAnsi="Times New Roman" w:cs="Times New Roman"/>
          <w:color w:val="000000"/>
          <w:sz w:val="24"/>
          <w:szCs w:val="24"/>
        </w:rPr>
      </w:pPr>
    </w:p>
    <w:p w:rsidR="006D7549" w:rsidRPr="006D7549" w:rsidRDefault="006D7549" w:rsidP="00AF4EC0">
      <w:pPr>
        <w:pStyle w:val="Heading2"/>
        <w:spacing w:line="360" w:lineRule="auto"/>
      </w:pPr>
      <w:bookmarkStart w:id="16" w:name="_Toc204788943"/>
      <w:r w:rsidRPr="006D7549">
        <w:rPr>
          <w:rStyle w:val="Strong"/>
          <w:b/>
          <w:bCs w:val="0"/>
        </w:rPr>
        <w:lastRenderedPageBreak/>
        <w:t>Revenue Growth &amp; Recovery Trajectory</w:t>
      </w:r>
      <w:bookmarkEnd w:id="16"/>
    </w:p>
    <w:p w:rsidR="006D7549" w:rsidRPr="006D7549" w:rsidRDefault="006D7549" w:rsidP="00AF4EC0">
      <w:pPr>
        <w:pStyle w:val="whitespace-normal"/>
        <w:numPr>
          <w:ilvl w:val="0"/>
          <w:numId w:val="18"/>
        </w:numPr>
        <w:spacing w:line="360" w:lineRule="auto"/>
      </w:pPr>
      <w:r w:rsidRPr="006D7549">
        <w:t>Only 2 of 6 companies showing positive growth: SHL (12.48%) and TRH (6.21%) leading recovery</w:t>
      </w:r>
    </w:p>
    <w:p w:rsidR="006D7549" w:rsidRPr="006D7549" w:rsidRDefault="006D7549" w:rsidP="00AF4EC0">
      <w:pPr>
        <w:pStyle w:val="whitespace-normal"/>
        <w:numPr>
          <w:ilvl w:val="0"/>
          <w:numId w:val="18"/>
        </w:numPr>
        <w:spacing w:line="360" w:lineRule="auto"/>
      </w:pPr>
      <w:r w:rsidRPr="006D7549">
        <w:t>Remaining 4 companies in contraction: CGH (-9.50%), CITY (-10.79%), KDL (-18.58%), OHL (-9.14%)</w:t>
      </w:r>
    </w:p>
    <w:p w:rsidR="006D7549" w:rsidRPr="006D7549" w:rsidRDefault="006D7549" w:rsidP="00AF4EC0">
      <w:pPr>
        <w:pStyle w:val="Heading2"/>
        <w:spacing w:line="360" w:lineRule="auto"/>
      </w:pPr>
      <w:bookmarkStart w:id="17" w:name="_Toc204788944"/>
      <w:r w:rsidRPr="006D7549">
        <w:rPr>
          <w:rStyle w:val="Strong"/>
          <w:b/>
          <w:bCs w:val="0"/>
        </w:rPr>
        <w:t>Profitability &amp; Operational Efficiency</w:t>
      </w:r>
      <w:bookmarkEnd w:id="17"/>
    </w:p>
    <w:p w:rsidR="006D7549" w:rsidRPr="006D7549" w:rsidRDefault="006D7549" w:rsidP="00AF4EC0">
      <w:pPr>
        <w:pStyle w:val="whitespace-normal"/>
        <w:numPr>
          <w:ilvl w:val="0"/>
          <w:numId w:val="19"/>
        </w:numPr>
        <w:spacing w:line="360" w:lineRule="auto"/>
      </w:pPr>
      <w:r w:rsidRPr="006D7549">
        <w:t>Margin leaders: KDL (60.17% gross), SHL (30.42% operating), TRH (28.88% net profit)</w:t>
      </w:r>
    </w:p>
    <w:p w:rsidR="006D7549" w:rsidRPr="006D7549" w:rsidRDefault="006D7549" w:rsidP="00AF4EC0">
      <w:pPr>
        <w:pStyle w:val="whitespace-normal"/>
        <w:numPr>
          <w:ilvl w:val="0"/>
          <w:numId w:val="19"/>
        </w:numPr>
        <w:spacing w:line="360" w:lineRule="auto"/>
      </w:pPr>
      <w:r w:rsidRPr="006D7549">
        <w:t>CITY showing severe distress: -51.20% operating margin, -41.87% net margi</w:t>
      </w:r>
      <w:r>
        <w:t>n.</w:t>
      </w:r>
    </w:p>
    <w:p w:rsidR="006D7549" w:rsidRPr="006D7549" w:rsidRDefault="006D7549" w:rsidP="00AF4EC0">
      <w:pPr>
        <w:pStyle w:val="whitespace-normal"/>
        <w:spacing w:line="360" w:lineRule="auto"/>
        <w:ind w:left="360"/>
        <w:rPr>
          <w:highlight w:val="yellow"/>
        </w:rPr>
      </w:pPr>
    </w:p>
    <w:tbl>
      <w:tblPr>
        <w:tblStyle w:val="TableGridLight"/>
        <w:tblW w:w="10273" w:type="dxa"/>
        <w:jc w:val="center"/>
        <w:tblLook w:val="04A0" w:firstRow="1" w:lastRow="0" w:firstColumn="1" w:lastColumn="0" w:noHBand="0" w:noVBand="1"/>
      </w:tblPr>
      <w:tblGrid>
        <w:gridCol w:w="3556"/>
        <w:gridCol w:w="956"/>
        <w:gridCol w:w="1116"/>
        <w:gridCol w:w="996"/>
        <w:gridCol w:w="956"/>
        <w:gridCol w:w="1056"/>
        <w:gridCol w:w="956"/>
        <w:gridCol w:w="1110"/>
        <w:gridCol w:w="1110"/>
      </w:tblGrid>
      <w:tr w:rsidR="006D7549" w:rsidRPr="006D7549" w:rsidTr="006D7549">
        <w:trPr>
          <w:trHeight w:val="208"/>
          <w:jc w:val="center"/>
        </w:trPr>
        <w:tc>
          <w:tcPr>
            <w:tcW w:w="0" w:type="auto"/>
            <w:noWrap/>
            <w:hideMark/>
          </w:tcPr>
          <w:p w:rsidR="006D7549" w:rsidRPr="006D7549" w:rsidRDefault="006D7549" w:rsidP="00AF4EC0">
            <w:pPr>
              <w:spacing w:line="360" w:lineRule="auto"/>
              <w:rPr>
                <w:rFonts w:ascii="Times New Roman" w:eastAsia="Times New Roman" w:hAnsi="Times New Roman" w:cs="Times New Roman"/>
                <w:b/>
                <w:color w:val="000000" w:themeColor="text1"/>
                <w:sz w:val="24"/>
                <w:szCs w:val="24"/>
              </w:rPr>
            </w:pPr>
            <w:r w:rsidRPr="006D7549">
              <w:rPr>
                <w:rFonts w:ascii="Times New Roman" w:eastAsia="Times New Roman" w:hAnsi="Times New Roman" w:cs="Times New Roman"/>
                <w:b/>
                <w:color w:val="000000" w:themeColor="text1"/>
                <w:sz w:val="24"/>
                <w:szCs w:val="24"/>
              </w:rPr>
              <w:t> Particulars</w:t>
            </w:r>
          </w:p>
        </w:tc>
        <w:tc>
          <w:tcPr>
            <w:tcW w:w="0" w:type="auto"/>
            <w:noWrap/>
            <w:hideMark/>
          </w:tcPr>
          <w:p w:rsidR="006D7549" w:rsidRPr="006D7549" w:rsidRDefault="006D7549" w:rsidP="00AF4EC0">
            <w:pPr>
              <w:spacing w:line="360" w:lineRule="auto"/>
              <w:rPr>
                <w:rFonts w:ascii="Times New Roman" w:eastAsia="Times New Roman" w:hAnsi="Times New Roman" w:cs="Times New Roman"/>
                <w:b/>
                <w:color w:val="000000" w:themeColor="text1"/>
                <w:sz w:val="24"/>
                <w:szCs w:val="24"/>
              </w:rPr>
            </w:pPr>
            <w:r w:rsidRPr="006D7549">
              <w:rPr>
                <w:rFonts w:ascii="Times New Roman" w:eastAsia="Times New Roman" w:hAnsi="Times New Roman" w:cs="Times New Roman"/>
                <w:b/>
                <w:color w:val="000000" w:themeColor="text1"/>
                <w:sz w:val="24"/>
                <w:szCs w:val="24"/>
              </w:rPr>
              <w:t>CGH</w:t>
            </w:r>
          </w:p>
        </w:tc>
        <w:tc>
          <w:tcPr>
            <w:tcW w:w="0" w:type="auto"/>
            <w:noWrap/>
            <w:hideMark/>
          </w:tcPr>
          <w:p w:rsidR="006D7549" w:rsidRPr="006D7549" w:rsidRDefault="006D7549" w:rsidP="00AF4EC0">
            <w:pPr>
              <w:spacing w:line="360" w:lineRule="auto"/>
              <w:rPr>
                <w:rFonts w:ascii="Times New Roman" w:eastAsia="Times New Roman" w:hAnsi="Times New Roman" w:cs="Times New Roman"/>
                <w:b/>
                <w:color w:val="000000" w:themeColor="text1"/>
                <w:sz w:val="24"/>
                <w:szCs w:val="24"/>
              </w:rPr>
            </w:pPr>
            <w:r w:rsidRPr="006D7549">
              <w:rPr>
                <w:rFonts w:ascii="Times New Roman" w:eastAsia="Times New Roman" w:hAnsi="Times New Roman" w:cs="Times New Roman"/>
                <w:b/>
                <w:color w:val="000000" w:themeColor="text1"/>
                <w:sz w:val="24"/>
                <w:szCs w:val="24"/>
              </w:rPr>
              <w:t>CITY</w:t>
            </w:r>
          </w:p>
        </w:tc>
        <w:tc>
          <w:tcPr>
            <w:tcW w:w="0" w:type="auto"/>
            <w:noWrap/>
            <w:hideMark/>
          </w:tcPr>
          <w:p w:rsidR="006D7549" w:rsidRPr="006D7549" w:rsidRDefault="006D7549" w:rsidP="00AF4EC0">
            <w:pPr>
              <w:spacing w:line="360" w:lineRule="auto"/>
              <w:rPr>
                <w:rFonts w:ascii="Times New Roman" w:eastAsia="Times New Roman" w:hAnsi="Times New Roman" w:cs="Times New Roman"/>
                <w:b/>
                <w:color w:val="000000" w:themeColor="text1"/>
                <w:sz w:val="24"/>
                <w:szCs w:val="24"/>
              </w:rPr>
            </w:pPr>
            <w:r w:rsidRPr="006D7549">
              <w:rPr>
                <w:rFonts w:ascii="Times New Roman" w:eastAsia="Times New Roman" w:hAnsi="Times New Roman" w:cs="Times New Roman"/>
                <w:b/>
                <w:color w:val="000000" w:themeColor="text1"/>
                <w:sz w:val="24"/>
                <w:szCs w:val="24"/>
              </w:rPr>
              <w:t>KDL</w:t>
            </w:r>
          </w:p>
        </w:tc>
        <w:tc>
          <w:tcPr>
            <w:tcW w:w="0" w:type="auto"/>
            <w:noWrap/>
            <w:hideMark/>
          </w:tcPr>
          <w:p w:rsidR="006D7549" w:rsidRPr="006D7549" w:rsidRDefault="006D7549" w:rsidP="00AF4EC0">
            <w:pPr>
              <w:spacing w:line="360" w:lineRule="auto"/>
              <w:rPr>
                <w:rFonts w:ascii="Times New Roman" w:eastAsia="Times New Roman" w:hAnsi="Times New Roman" w:cs="Times New Roman"/>
                <w:b/>
                <w:color w:val="000000" w:themeColor="text1"/>
                <w:sz w:val="24"/>
                <w:szCs w:val="24"/>
              </w:rPr>
            </w:pPr>
            <w:r w:rsidRPr="006D7549">
              <w:rPr>
                <w:rFonts w:ascii="Times New Roman" w:eastAsia="Times New Roman" w:hAnsi="Times New Roman" w:cs="Times New Roman"/>
                <w:b/>
                <w:color w:val="000000" w:themeColor="text1"/>
                <w:sz w:val="24"/>
                <w:szCs w:val="24"/>
              </w:rPr>
              <w:t>OHL</w:t>
            </w:r>
          </w:p>
        </w:tc>
        <w:tc>
          <w:tcPr>
            <w:tcW w:w="0" w:type="auto"/>
            <w:noWrap/>
            <w:hideMark/>
          </w:tcPr>
          <w:p w:rsidR="006D7549" w:rsidRPr="006D7549" w:rsidRDefault="006D7549" w:rsidP="00AF4EC0">
            <w:pPr>
              <w:spacing w:line="360" w:lineRule="auto"/>
              <w:rPr>
                <w:rFonts w:ascii="Times New Roman" w:eastAsia="Times New Roman" w:hAnsi="Times New Roman" w:cs="Times New Roman"/>
                <w:b/>
                <w:color w:val="000000" w:themeColor="text1"/>
                <w:sz w:val="24"/>
                <w:szCs w:val="24"/>
              </w:rPr>
            </w:pPr>
            <w:r w:rsidRPr="006D7549">
              <w:rPr>
                <w:rFonts w:ascii="Times New Roman" w:eastAsia="Times New Roman" w:hAnsi="Times New Roman" w:cs="Times New Roman"/>
                <w:b/>
                <w:color w:val="000000" w:themeColor="text1"/>
                <w:sz w:val="24"/>
                <w:szCs w:val="24"/>
              </w:rPr>
              <w:t>SHL</w:t>
            </w:r>
          </w:p>
        </w:tc>
        <w:tc>
          <w:tcPr>
            <w:tcW w:w="0" w:type="auto"/>
            <w:noWrap/>
            <w:hideMark/>
          </w:tcPr>
          <w:p w:rsidR="006D7549" w:rsidRPr="006D7549" w:rsidRDefault="006D7549" w:rsidP="00AF4EC0">
            <w:pPr>
              <w:spacing w:line="360" w:lineRule="auto"/>
              <w:rPr>
                <w:rFonts w:ascii="Times New Roman" w:eastAsia="Times New Roman" w:hAnsi="Times New Roman" w:cs="Times New Roman"/>
                <w:b/>
                <w:color w:val="000000" w:themeColor="text1"/>
                <w:sz w:val="24"/>
                <w:szCs w:val="24"/>
              </w:rPr>
            </w:pPr>
            <w:r w:rsidRPr="006D7549">
              <w:rPr>
                <w:rFonts w:ascii="Times New Roman" w:eastAsia="Times New Roman" w:hAnsi="Times New Roman" w:cs="Times New Roman"/>
                <w:b/>
                <w:color w:val="000000" w:themeColor="text1"/>
                <w:sz w:val="24"/>
                <w:szCs w:val="24"/>
              </w:rPr>
              <w:t>TRH</w:t>
            </w:r>
          </w:p>
        </w:tc>
        <w:tc>
          <w:tcPr>
            <w:tcW w:w="968" w:type="dxa"/>
            <w:noWrap/>
            <w:hideMark/>
          </w:tcPr>
          <w:p w:rsidR="006D7549" w:rsidRPr="006D7549" w:rsidRDefault="006D7549" w:rsidP="00AF4EC0">
            <w:pPr>
              <w:spacing w:line="360" w:lineRule="auto"/>
              <w:rPr>
                <w:rFonts w:ascii="Times New Roman" w:eastAsia="Times New Roman" w:hAnsi="Times New Roman" w:cs="Times New Roman"/>
                <w:b/>
                <w:color w:val="000000" w:themeColor="text1"/>
                <w:sz w:val="24"/>
                <w:szCs w:val="24"/>
              </w:rPr>
            </w:pPr>
            <w:r w:rsidRPr="006D7549">
              <w:rPr>
                <w:rFonts w:ascii="Times New Roman" w:eastAsia="Times New Roman" w:hAnsi="Times New Roman" w:cs="Times New Roman"/>
                <w:b/>
                <w:color w:val="000000" w:themeColor="text1"/>
                <w:sz w:val="24"/>
                <w:szCs w:val="24"/>
              </w:rPr>
              <w:t>Industry Average</w:t>
            </w:r>
          </w:p>
        </w:tc>
        <w:tc>
          <w:tcPr>
            <w:tcW w:w="968" w:type="dxa"/>
            <w:noWrap/>
            <w:hideMark/>
          </w:tcPr>
          <w:p w:rsidR="006D7549" w:rsidRPr="006D7549" w:rsidRDefault="006D7549" w:rsidP="00AF4EC0">
            <w:pPr>
              <w:spacing w:line="360" w:lineRule="auto"/>
              <w:rPr>
                <w:rFonts w:ascii="Times New Roman" w:eastAsia="Times New Roman" w:hAnsi="Times New Roman" w:cs="Times New Roman"/>
                <w:b/>
                <w:color w:val="000000" w:themeColor="text1"/>
                <w:sz w:val="24"/>
                <w:szCs w:val="24"/>
              </w:rPr>
            </w:pPr>
            <w:r w:rsidRPr="006D7549">
              <w:rPr>
                <w:rFonts w:ascii="Times New Roman" w:eastAsia="Times New Roman" w:hAnsi="Times New Roman" w:cs="Times New Roman"/>
                <w:b/>
                <w:color w:val="000000" w:themeColor="text1"/>
                <w:sz w:val="24"/>
                <w:szCs w:val="24"/>
              </w:rPr>
              <w:t>Industry Median</w:t>
            </w:r>
          </w:p>
        </w:tc>
      </w:tr>
      <w:tr w:rsidR="006D7549" w:rsidRPr="006D7549" w:rsidTr="006D7549">
        <w:trPr>
          <w:trHeight w:val="235"/>
          <w:jc w:val="center"/>
        </w:trPr>
        <w:tc>
          <w:tcPr>
            <w:tcW w:w="10273" w:type="dxa"/>
            <w:gridSpan w:val="9"/>
            <w:noWrap/>
            <w:hideMark/>
          </w:tcPr>
          <w:p w:rsidR="006D7549" w:rsidRPr="006D7549" w:rsidRDefault="006D7549" w:rsidP="00AF4EC0">
            <w:pPr>
              <w:spacing w:line="360" w:lineRule="auto"/>
              <w:rPr>
                <w:rFonts w:ascii="Times New Roman" w:eastAsia="Times New Roman" w:hAnsi="Times New Roman" w:cs="Times New Roman"/>
                <w:b/>
                <w:bCs/>
                <w:color w:val="000000" w:themeColor="text1"/>
                <w:sz w:val="24"/>
                <w:szCs w:val="24"/>
              </w:rPr>
            </w:pPr>
            <w:r w:rsidRPr="006D7549">
              <w:rPr>
                <w:rFonts w:ascii="Times New Roman" w:eastAsia="Times New Roman" w:hAnsi="Times New Roman" w:cs="Times New Roman"/>
                <w:b/>
                <w:bCs/>
                <w:color w:val="000000" w:themeColor="text1"/>
                <w:sz w:val="24"/>
                <w:szCs w:val="24"/>
              </w:rPr>
              <w:t xml:space="preserve">Market related ratio </w:t>
            </w:r>
          </w:p>
        </w:tc>
      </w:tr>
      <w:tr w:rsidR="006D7549" w:rsidRPr="006D7549" w:rsidTr="006D7549">
        <w:trPr>
          <w:trHeight w:val="235"/>
          <w:jc w:val="center"/>
        </w:trPr>
        <w:tc>
          <w:tcPr>
            <w:tcW w:w="0" w:type="auto"/>
            <w:hideMark/>
          </w:tcPr>
          <w:p w:rsidR="006D7549" w:rsidRPr="006D7549" w:rsidRDefault="006D7549" w:rsidP="00AF4EC0">
            <w:pPr>
              <w:spacing w:line="360" w:lineRule="auto"/>
              <w:rPr>
                <w:rFonts w:ascii="Times New Roman" w:eastAsia="Times New Roman" w:hAnsi="Times New Roman" w:cs="Times New Roman"/>
                <w:i/>
                <w:color w:val="000000" w:themeColor="text1"/>
                <w:sz w:val="24"/>
                <w:szCs w:val="24"/>
              </w:rPr>
            </w:pPr>
            <w:r w:rsidRPr="006D7549">
              <w:rPr>
                <w:rFonts w:ascii="Times New Roman" w:eastAsia="Times New Roman" w:hAnsi="Times New Roman" w:cs="Times New Roman"/>
                <w:i/>
                <w:color w:val="000000" w:themeColor="text1"/>
                <w:sz w:val="24"/>
                <w:szCs w:val="24"/>
              </w:rPr>
              <w:t>LTP</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876.75</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850.53</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1153.26</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920.97</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563.14</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945.74</w:t>
            </w:r>
          </w:p>
        </w:tc>
        <w:tc>
          <w:tcPr>
            <w:tcW w:w="968" w:type="dxa"/>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 </w:t>
            </w:r>
          </w:p>
        </w:tc>
        <w:tc>
          <w:tcPr>
            <w:tcW w:w="968" w:type="dxa"/>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 </w:t>
            </w:r>
          </w:p>
        </w:tc>
      </w:tr>
      <w:tr w:rsidR="006D7549" w:rsidRPr="006D7549" w:rsidTr="006D7549">
        <w:trPr>
          <w:trHeight w:val="235"/>
          <w:jc w:val="center"/>
        </w:trPr>
        <w:tc>
          <w:tcPr>
            <w:tcW w:w="0" w:type="auto"/>
            <w:hideMark/>
          </w:tcPr>
          <w:p w:rsidR="006D7549" w:rsidRPr="006D7549" w:rsidRDefault="006D7549" w:rsidP="00AF4EC0">
            <w:pPr>
              <w:spacing w:line="360" w:lineRule="auto"/>
              <w:rPr>
                <w:rFonts w:ascii="Times New Roman" w:eastAsia="Times New Roman" w:hAnsi="Times New Roman" w:cs="Times New Roman"/>
                <w:i/>
                <w:color w:val="000000" w:themeColor="text1"/>
                <w:sz w:val="24"/>
                <w:szCs w:val="24"/>
              </w:rPr>
            </w:pPr>
            <w:r w:rsidRPr="006D7549">
              <w:rPr>
                <w:rFonts w:ascii="Times New Roman" w:eastAsia="Times New Roman" w:hAnsi="Times New Roman" w:cs="Times New Roman"/>
                <w:i/>
                <w:color w:val="000000" w:themeColor="text1"/>
                <w:sz w:val="24"/>
                <w:szCs w:val="24"/>
              </w:rPr>
              <w:t>Earnings Yield</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1.67%</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-1.58%</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0.30%</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0.93%</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1.14%</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2.82%</w:t>
            </w:r>
          </w:p>
        </w:tc>
        <w:tc>
          <w:tcPr>
            <w:tcW w:w="968" w:type="dxa"/>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0.49%</w:t>
            </w:r>
          </w:p>
        </w:tc>
        <w:tc>
          <w:tcPr>
            <w:tcW w:w="968" w:type="dxa"/>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1.03%</w:t>
            </w:r>
          </w:p>
        </w:tc>
      </w:tr>
      <w:tr w:rsidR="006D7549" w:rsidRPr="006D7549" w:rsidTr="006D7549">
        <w:trPr>
          <w:trHeight w:val="235"/>
          <w:jc w:val="center"/>
        </w:trPr>
        <w:tc>
          <w:tcPr>
            <w:tcW w:w="0" w:type="auto"/>
            <w:hideMark/>
          </w:tcPr>
          <w:p w:rsidR="006D7549" w:rsidRPr="006D7549" w:rsidRDefault="006D7549" w:rsidP="00AF4EC0">
            <w:pPr>
              <w:spacing w:line="360" w:lineRule="auto"/>
              <w:rPr>
                <w:rFonts w:ascii="Times New Roman" w:eastAsia="Times New Roman" w:hAnsi="Times New Roman" w:cs="Times New Roman"/>
                <w:i/>
                <w:color w:val="000000" w:themeColor="text1"/>
                <w:sz w:val="24"/>
                <w:szCs w:val="24"/>
              </w:rPr>
            </w:pPr>
            <w:r w:rsidRPr="006D7549">
              <w:rPr>
                <w:rFonts w:ascii="Times New Roman" w:eastAsia="Times New Roman" w:hAnsi="Times New Roman" w:cs="Times New Roman"/>
                <w:i/>
                <w:color w:val="000000" w:themeColor="text1"/>
                <w:sz w:val="24"/>
                <w:szCs w:val="24"/>
              </w:rPr>
              <w:t>P/E</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 xml:space="preserve"> 59.97 </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 xml:space="preserve">- </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 xml:space="preserve">332.36 </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 xml:space="preserve"> 107.91 </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 xml:space="preserve"> 87.70 </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 xml:space="preserve"> 35.51 </w:t>
            </w:r>
          </w:p>
        </w:tc>
        <w:tc>
          <w:tcPr>
            <w:tcW w:w="968" w:type="dxa"/>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 xml:space="preserve"> 117.59 </w:t>
            </w:r>
          </w:p>
        </w:tc>
        <w:tc>
          <w:tcPr>
            <w:tcW w:w="968" w:type="dxa"/>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 xml:space="preserve">73.83 </w:t>
            </w:r>
          </w:p>
        </w:tc>
      </w:tr>
      <w:tr w:rsidR="006D7549" w:rsidRPr="006D7549" w:rsidTr="006D7549">
        <w:trPr>
          <w:trHeight w:val="235"/>
          <w:jc w:val="center"/>
        </w:trPr>
        <w:tc>
          <w:tcPr>
            <w:tcW w:w="0" w:type="auto"/>
            <w:hideMark/>
          </w:tcPr>
          <w:p w:rsidR="006D7549" w:rsidRPr="006D7549" w:rsidRDefault="006D7549" w:rsidP="00AF4EC0">
            <w:pPr>
              <w:spacing w:line="360" w:lineRule="auto"/>
              <w:rPr>
                <w:rFonts w:ascii="Times New Roman" w:eastAsia="Times New Roman" w:hAnsi="Times New Roman" w:cs="Times New Roman"/>
                <w:i/>
                <w:color w:val="000000" w:themeColor="text1"/>
                <w:sz w:val="24"/>
                <w:szCs w:val="24"/>
              </w:rPr>
            </w:pPr>
            <w:r w:rsidRPr="006D7549">
              <w:rPr>
                <w:rFonts w:ascii="Times New Roman" w:eastAsia="Times New Roman" w:hAnsi="Times New Roman" w:cs="Times New Roman"/>
                <w:i/>
                <w:color w:val="000000" w:themeColor="text1"/>
                <w:sz w:val="24"/>
                <w:szCs w:val="24"/>
              </w:rPr>
              <w:t>P/B</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 xml:space="preserve"> 8.55 </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 xml:space="preserve"> 10.64 </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 xml:space="preserve">11.11 </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 xml:space="preserve"> 2.78 </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 xml:space="preserve"> 22.38 </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 xml:space="preserve"> 6.20 </w:t>
            </w:r>
          </w:p>
        </w:tc>
        <w:tc>
          <w:tcPr>
            <w:tcW w:w="968" w:type="dxa"/>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 xml:space="preserve"> 11.09 </w:t>
            </w:r>
          </w:p>
        </w:tc>
        <w:tc>
          <w:tcPr>
            <w:tcW w:w="968" w:type="dxa"/>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 xml:space="preserve">9.60 </w:t>
            </w:r>
          </w:p>
        </w:tc>
      </w:tr>
      <w:tr w:rsidR="006D7549" w:rsidRPr="006D7549" w:rsidTr="006D7549">
        <w:trPr>
          <w:trHeight w:val="235"/>
          <w:jc w:val="center"/>
        </w:trPr>
        <w:tc>
          <w:tcPr>
            <w:tcW w:w="0" w:type="auto"/>
            <w:noWrap/>
            <w:hideMark/>
          </w:tcPr>
          <w:p w:rsidR="006D7549" w:rsidRPr="006D7549" w:rsidRDefault="006D7549" w:rsidP="00AF4EC0">
            <w:pPr>
              <w:spacing w:line="360" w:lineRule="auto"/>
              <w:rPr>
                <w:rFonts w:ascii="Times New Roman" w:eastAsia="Times New Roman" w:hAnsi="Times New Roman" w:cs="Times New Roman"/>
                <w:i/>
                <w:color w:val="000000" w:themeColor="text1"/>
                <w:sz w:val="24"/>
                <w:szCs w:val="24"/>
              </w:rPr>
            </w:pPr>
            <w:r w:rsidRPr="006D7549">
              <w:rPr>
                <w:rFonts w:ascii="Times New Roman" w:eastAsia="Times New Roman" w:hAnsi="Times New Roman" w:cs="Times New Roman"/>
                <w:i/>
                <w:color w:val="000000" w:themeColor="text1"/>
                <w:sz w:val="24"/>
                <w:szCs w:val="24"/>
              </w:rPr>
              <w:t>Market Capitalization (in Billions)</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 xml:space="preserve"> 13.45 </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 xml:space="preserve"> 14.24 </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 xml:space="preserve">6.92 </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 xml:space="preserve"> 10.91 </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 xml:space="preserve"> 57.55 </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 xml:space="preserve"> 18.56 </w:t>
            </w:r>
          </w:p>
        </w:tc>
        <w:tc>
          <w:tcPr>
            <w:tcW w:w="968" w:type="dxa"/>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 xml:space="preserve"> 20.61 </w:t>
            </w:r>
          </w:p>
        </w:tc>
        <w:tc>
          <w:tcPr>
            <w:tcW w:w="968" w:type="dxa"/>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 xml:space="preserve">13.84 </w:t>
            </w:r>
          </w:p>
        </w:tc>
      </w:tr>
      <w:tr w:rsidR="006D7549" w:rsidRPr="006D7549" w:rsidTr="006D7549">
        <w:trPr>
          <w:trHeight w:val="167"/>
          <w:jc w:val="center"/>
        </w:trPr>
        <w:tc>
          <w:tcPr>
            <w:tcW w:w="0" w:type="auto"/>
            <w:hideMark/>
          </w:tcPr>
          <w:p w:rsidR="006D7549" w:rsidRPr="006D7549" w:rsidRDefault="006D7549" w:rsidP="00AF4EC0">
            <w:pPr>
              <w:spacing w:line="360" w:lineRule="auto"/>
              <w:rPr>
                <w:rFonts w:ascii="Times New Roman" w:eastAsia="Times New Roman" w:hAnsi="Times New Roman" w:cs="Times New Roman"/>
                <w:i/>
                <w:color w:val="000000" w:themeColor="text1"/>
                <w:sz w:val="24"/>
                <w:szCs w:val="24"/>
              </w:rPr>
            </w:pPr>
            <w:r w:rsidRPr="006D7549">
              <w:rPr>
                <w:rFonts w:ascii="Times New Roman" w:eastAsia="Times New Roman" w:hAnsi="Times New Roman" w:cs="Times New Roman"/>
                <w:i/>
                <w:color w:val="000000" w:themeColor="text1"/>
                <w:sz w:val="24"/>
                <w:szCs w:val="24"/>
              </w:rPr>
              <w:t>Beta of stock (weekly)</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1.1</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1.17</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1.04</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0.98</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0.86</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0.95</w:t>
            </w:r>
          </w:p>
        </w:tc>
        <w:tc>
          <w:tcPr>
            <w:tcW w:w="968" w:type="dxa"/>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 xml:space="preserve"> 1.03 </w:t>
            </w:r>
          </w:p>
        </w:tc>
        <w:tc>
          <w:tcPr>
            <w:tcW w:w="968" w:type="dxa"/>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 xml:space="preserve">1.01 </w:t>
            </w:r>
          </w:p>
        </w:tc>
      </w:tr>
      <w:tr w:rsidR="006D7549" w:rsidRPr="006D7549" w:rsidTr="006D7549">
        <w:trPr>
          <w:trHeight w:val="235"/>
          <w:jc w:val="center"/>
        </w:trPr>
        <w:tc>
          <w:tcPr>
            <w:tcW w:w="10273" w:type="dxa"/>
            <w:gridSpan w:val="9"/>
            <w:noWrap/>
            <w:hideMark/>
          </w:tcPr>
          <w:p w:rsidR="006D7549" w:rsidRPr="006D7549" w:rsidRDefault="006D7549" w:rsidP="00AF4EC0">
            <w:pPr>
              <w:spacing w:line="360" w:lineRule="auto"/>
              <w:rPr>
                <w:rFonts w:ascii="Times New Roman" w:eastAsia="Times New Roman" w:hAnsi="Times New Roman" w:cs="Times New Roman"/>
                <w:b/>
                <w:bCs/>
                <w:color w:val="000000" w:themeColor="text1"/>
                <w:sz w:val="24"/>
                <w:szCs w:val="24"/>
              </w:rPr>
            </w:pPr>
            <w:r w:rsidRPr="006D7549">
              <w:rPr>
                <w:rFonts w:ascii="Times New Roman" w:eastAsia="Times New Roman" w:hAnsi="Times New Roman" w:cs="Times New Roman"/>
                <w:b/>
                <w:bCs/>
                <w:color w:val="000000" w:themeColor="text1"/>
                <w:sz w:val="24"/>
                <w:szCs w:val="24"/>
              </w:rPr>
              <w:t xml:space="preserve">Solvency ratio </w:t>
            </w:r>
          </w:p>
        </w:tc>
      </w:tr>
      <w:tr w:rsidR="006D7549" w:rsidRPr="006D7549" w:rsidTr="006D7549">
        <w:trPr>
          <w:trHeight w:val="235"/>
          <w:jc w:val="center"/>
        </w:trPr>
        <w:tc>
          <w:tcPr>
            <w:tcW w:w="0" w:type="auto"/>
            <w:hideMark/>
          </w:tcPr>
          <w:p w:rsidR="006D7549" w:rsidRPr="006D7549" w:rsidRDefault="006D7549" w:rsidP="00AF4EC0">
            <w:pPr>
              <w:spacing w:line="360" w:lineRule="auto"/>
              <w:rPr>
                <w:rFonts w:ascii="Times New Roman" w:eastAsia="Times New Roman" w:hAnsi="Times New Roman" w:cs="Times New Roman"/>
                <w:i/>
                <w:color w:val="000000" w:themeColor="text1"/>
                <w:sz w:val="24"/>
                <w:szCs w:val="24"/>
              </w:rPr>
            </w:pPr>
            <w:r w:rsidRPr="006D7549">
              <w:rPr>
                <w:rFonts w:ascii="Times New Roman" w:eastAsia="Times New Roman" w:hAnsi="Times New Roman" w:cs="Times New Roman"/>
                <w:i/>
                <w:color w:val="000000" w:themeColor="text1"/>
                <w:sz w:val="24"/>
                <w:szCs w:val="24"/>
              </w:rPr>
              <w:t>Debt to Equity</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 xml:space="preserve"> 1.13x </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 xml:space="preserve"> 2.43x </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 xml:space="preserve"> 0.08x </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 xml:space="preserve"> 0.40x </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 xml:space="preserve"> 0.08x </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 xml:space="preserve"> – </w:t>
            </w:r>
          </w:p>
        </w:tc>
        <w:tc>
          <w:tcPr>
            <w:tcW w:w="968" w:type="dxa"/>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 xml:space="preserve"> 0.82x </w:t>
            </w:r>
          </w:p>
        </w:tc>
        <w:tc>
          <w:tcPr>
            <w:tcW w:w="968" w:type="dxa"/>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 xml:space="preserve"> 0.24x </w:t>
            </w:r>
          </w:p>
        </w:tc>
      </w:tr>
      <w:tr w:rsidR="006D7549" w:rsidRPr="006D7549" w:rsidTr="006D7549">
        <w:trPr>
          <w:trHeight w:val="235"/>
          <w:jc w:val="center"/>
        </w:trPr>
        <w:tc>
          <w:tcPr>
            <w:tcW w:w="0" w:type="auto"/>
            <w:noWrap/>
            <w:hideMark/>
          </w:tcPr>
          <w:p w:rsidR="006D7549" w:rsidRPr="006D7549" w:rsidRDefault="006D7549" w:rsidP="00AF4EC0">
            <w:pPr>
              <w:spacing w:line="360" w:lineRule="auto"/>
              <w:rPr>
                <w:rFonts w:ascii="Times New Roman" w:eastAsia="Times New Roman" w:hAnsi="Times New Roman" w:cs="Times New Roman"/>
                <w:i/>
                <w:color w:val="000000" w:themeColor="text1"/>
                <w:sz w:val="24"/>
                <w:szCs w:val="24"/>
              </w:rPr>
            </w:pPr>
            <w:r w:rsidRPr="006D7549">
              <w:rPr>
                <w:rFonts w:ascii="Times New Roman" w:eastAsia="Times New Roman" w:hAnsi="Times New Roman" w:cs="Times New Roman"/>
                <w:i/>
                <w:color w:val="000000" w:themeColor="text1"/>
                <w:sz w:val="24"/>
                <w:szCs w:val="24"/>
              </w:rPr>
              <w:t>Interest Coverage (TTM)</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 xml:space="preserve"> 2.97x </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 xml:space="preserve"> 0.56x </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 xml:space="preserve"> 4.33x </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 xml:space="preserve"> 3.59x </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 xml:space="preserve"> 290.23x </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 xml:space="preserve"> – </w:t>
            </w:r>
          </w:p>
        </w:tc>
        <w:tc>
          <w:tcPr>
            <w:tcW w:w="968" w:type="dxa"/>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 xml:space="preserve"> 60.34x </w:t>
            </w:r>
          </w:p>
        </w:tc>
        <w:tc>
          <w:tcPr>
            <w:tcW w:w="968" w:type="dxa"/>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 xml:space="preserve"> 3.28x </w:t>
            </w:r>
          </w:p>
        </w:tc>
      </w:tr>
      <w:tr w:rsidR="006D7549" w:rsidRPr="006D7549" w:rsidTr="006D7549">
        <w:trPr>
          <w:trHeight w:val="235"/>
          <w:jc w:val="center"/>
        </w:trPr>
        <w:tc>
          <w:tcPr>
            <w:tcW w:w="10273" w:type="dxa"/>
            <w:gridSpan w:val="9"/>
            <w:noWrap/>
            <w:hideMark/>
          </w:tcPr>
          <w:p w:rsidR="006D7549" w:rsidRPr="006D7549" w:rsidRDefault="006D7549" w:rsidP="00AF4EC0">
            <w:pPr>
              <w:spacing w:line="360" w:lineRule="auto"/>
              <w:rPr>
                <w:rFonts w:ascii="Times New Roman" w:eastAsia="Times New Roman" w:hAnsi="Times New Roman" w:cs="Times New Roman"/>
                <w:b/>
                <w:bCs/>
                <w:color w:val="000000" w:themeColor="text1"/>
                <w:sz w:val="24"/>
                <w:szCs w:val="24"/>
              </w:rPr>
            </w:pPr>
            <w:r w:rsidRPr="006D7549">
              <w:rPr>
                <w:rFonts w:ascii="Times New Roman" w:eastAsia="Times New Roman" w:hAnsi="Times New Roman" w:cs="Times New Roman"/>
                <w:b/>
                <w:bCs/>
                <w:color w:val="000000" w:themeColor="text1"/>
                <w:sz w:val="24"/>
                <w:szCs w:val="24"/>
              </w:rPr>
              <w:t>Profit Margin</w:t>
            </w:r>
          </w:p>
        </w:tc>
      </w:tr>
      <w:tr w:rsidR="006D7549" w:rsidRPr="006D7549" w:rsidTr="006D7549">
        <w:trPr>
          <w:trHeight w:val="235"/>
          <w:jc w:val="center"/>
        </w:trPr>
        <w:tc>
          <w:tcPr>
            <w:tcW w:w="0" w:type="auto"/>
            <w:hideMark/>
          </w:tcPr>
          <w:p w:rsidR="006D7549" w:rsidRPr="006D7549" w:rsidRDefault="006D7549" w:rsidP="00AF4EC0">
            <w:pPr>
              <w:spacing w:line="360" w:lineRule="auto"/>
              <w:rPr>
                <w:rFonts w:ascii="Times New Roman" w:eastAsia="Times New Roman" w:hAnsi="Times New Roman" w:cs="Times New Roman"/>
                <w:i/>
                <w:color w:val="000000" w:themeColor="text1"/>
                <w:sz w:val="24"/>
                <w:szCs w:val="24"/>
              </w:rPr>
            </w:pPr>
            <w:r w:rsidRPr="006D7549">
              <w:rPr>
                <w:rFonts w:ascii="Times New Roman" w:eastAsia="Times New Roman" w:hAnsi="Times New Roman" w:cs="Times New Roman"/>
                <w:i/>
                <w:color w:val="000000" w:themeColor="text1"/>
                <w:sz w:val="24"/>
                <w:szCs w:val="24"/>
              </w:rPr>
              <w:t>Gross Profit Margin (TTM)</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54.18%</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29.65%</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60.17%</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26.89%</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36.15%</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41.72%</w:t>
            </w:r>
          </w:p>
        </w:tc>
        <w:tc>
          <w:tcPr>
            <w:tcW w:w="968" w:type="dxa"/>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41.41%</w:t>
            </w:r>
          </w:p>
        </w:tc>
        <w:tc>
          <w:tcPr>
            <w:tcW w:w="968" w:type="dxa"/>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38.93%</w:t>
            </w:r>
          </w:p>
        </w:tc>
      </w:tr>
      <w:tr w:rsidR="006D7549" w:rsidRPr="006D7549" w:rsidTr="006D7549">
        <w:trPr>
          <w:trHeight w:val="235"/>
          <w:jc w:val="center"/>
        </w:trPr>
        <w:tc>
          <w:tcPr>
            <w:tcW w:w="0" w:type="auto"/>
            <w:hideMark/>
          </w:tcPr>
          <w:p w:rsidR="006D7549" w:rsidRPr="006D7549" w:rsidRDefault="006D7549" w:rsidP="00AF4EC0">
            <w:pPr>
              <w:spacing w:line="360" w:lineRule="auto"/>
              <w:rPr>
                <w:rFonts w:ascii="Times New Roman" w:eastAsia="Times New Roman" w:hAnsi="Times New Roman" w:cs="Times New Roman"/>
                <w:i/>
                <w:color w:val="000000" w:themeColor="text1"/>
                <w:sz w:val="24"/>
                <w:szCs w:val="24"/>
              </w:rPr>
            </w:pPr>
            <w:r w:rsidRPr="006D7549">
              <w:rPr>
                <w:rFonts w:ascii="Times New Roman" w:eastAsia="Times New Roman" w:hAnsi="Times New Roman" w:cs="Times New Roman"/>
                <w:i/>
                <w:color w:val="000000" w:themeColor="text1"/>
                <w:sz w:val="24"/>
                <w:szCs w:val="24"/>
              </w:rPr>
              <w:t>Operating Profit Margin (TTM)</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24.25%</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(51.20%)</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28.09%</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10.40%</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30.42%</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36.68%</w:t>
            </w:r>
          </w:p>
        </w:tc>
        <w:tc>
          <w:tcPr>
            <w:tcW w:w="968" w:type="dxa"/>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8.39%</w:t>
            </w:r>
          </w:p>
        </w:tc>
        <w:tc>
          <w:tcPr>
            <w:tcW w:w="968" w:type="dxa"/>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26.17%</w:t>
            </w:r>
          </w:p>
        </w:tc>
      </w:tr>
      <w:tr w:rsidR="006D7549" w:rsidRPr="006D7549" w:rsidTr="006D7549">
        <w:trPr>
          <w:trHeight w:val="235"/>
          <w:jc w:val="center"/>
        </w:trPr>
        <w:tc>
          <w:tcPr>
            <w:tcW w:w="0" w:type="auto"/>
            <w:hideMark/>
          </w:tcPr>
          <w:p w:rsidR="006D7549" w:rsidRPr="006D7549" w:rsidRDefault="006D7549" w:rsidP="00AF4EC0">
            <w:pPr>
              <w:spacing w:line="360" w:lineRule="auto"/>
              <w:rPr>
                <w:rFonts w:ascii="Times New Roman" w:eastAsia="Times New Roman" w:hAnsi="Times New Roman" w:cs="Times New Roman"/>
                <w:i/>
                <w:color w:val="000000" w:themeColor="text1"/>
                <w:sz w:val="24"/>
                <w:szCs w:val="24"/>
              </w:rPr>
            </w:pPr>
            <w:r w:rsidRPr="006D7549">
              <w:rPr>
                <w:rFonts w:ascii="Times New Roman" w:eastAsia="Times New Roman" w:hAnsi="Times New Roman" w:cs="Times New Roman"/>
                <w:i/>
                <w:color w:val="000000" w:themeColor="text1"/>
                <w:sz w:val="24"/>
                <w:szCs w:val="24"/>
              </w:rPr>
              <w:t>Net Profit Margin (TTM)</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23.78%</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(41.87%)</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27.33%</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8.87%</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24.24%</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28.88%</w:t>
            </w:r>
          </w:p>
        </w:tc>
        <w:tc>
          <w:tcPr>
            <w:tcW w:w="968" w:type="dxa"/>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8.47%</w:t>
            </w:r>
          </w:p>
        </w:tc>
        <w:tc>
          <w:tcPr>
            <w:tcW w:w="968" w:type="dxa"/>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24.01%</w:t>
            </w:r>
          </w:p>
        </w:tc>
      </w:tr>
      <w:tr w:rsidR="006D7549" w:rsidRPr="006D7549" w:rsidTr="006D7549">
        <w:trPr>
          <w:trHeight w:val="235"/>
          <w:jc w:val="center"/>
        </w:trPr>
        <w:tc>
          <w:tcPr>
            <w:tcW w:w="0" w:type="auto"/>
            <w:hideMark/>
          </w:tcPr>
          <w:p w:rsidR="006D7549" w:rsidRPr="006D7549" w:rsidRDefault="006D7549" w:rsidP="00AF4EC0">
            <w:pPr>
              <w:spacing w:line="360" w:lineRule="auto"/>
              <w:rPr>
                <w:rFonts w:ascii="Times New Roman" w:eastAsia="Times New Roman" w:hAnsi="Times New Roman" w:cs="Times New Roman"/>
                <w:i/>
                <w:color w:val="000000" w:themeColor="text1"/>
                <w:sz w:val="24"/>
                <w:szCs w:val="24"/>
              </w:rPr>
            </w:pPr>
            <w:r w:rsidRPr="006D7549">
              <w:rPr>
                <w:rFonts w:ascii="Times New Roman" w:eastAsia="Times New Roman" w:hAnsi="Times New Roman" w:cs="Times New Roman"/>
                <w:i/>
                <w:color w:val="000000" w:themeColor="text1"/>
                <w:sz w:val="24"/>
                <w:szCs w:val="24"/>
              </w:rPr>
              <w:t>Equity Multiplier (TTM)</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 xml:space="preserve"> 2.26 </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 xml:space="preserve"> 3.48 </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 xml:space="preserve">1.11 </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 xml:space="preserve"> 1.42 </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 xml:space="preserve"> 1.14 </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 xml:space="preserve"> 1.07 </w:t>
            </w:r>
          </w:p>
        </w:tc>
        <w:tc>
          <w:tcPr>
            <w:tcW w:w="968" w:type="dxa"/>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 xml:space="preserve"> 1.88 </w:t>
            </w:r>
          </w:p>
        </w:tc>
        <w:tc>
          <w:tcPr>
            <w:tcW w:w="968" w:type="dxa"/>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 xml:space="preserve">1.28 </w:t>
            </w:r>
          </w:p>
        </w:tc>
      </w:tr>
      <w:tr w:rsidR="006D7549" w:rsidRPr="006D7549" w:rsidTr="006D7549">
        <w:trPr>
          <w:trHeight w:val="235"/>
          <w:jc w:val="center"/>
        </w:trPr>
        <w:tc>
          <w:tcPr>
            <w:tcW w:w="0" w:type="auto"/>
            <w:hideMark/>
          </w:tcPr>
          <w:p w:rsidR="006D7549" w:rsidRPr="006D7549" w:rsidRDefault="006D7549" w:rsidP="00AF4EC0">
            <w:pPr>
              <w:spacing w:line="360" w:lineRule="auto"/>
              <w:rPr>
                <w:rFonts w:ascii="Times New Roman" w:eastAsia="Times New Roman" w:hAnsi="Times New Roman" w:cs="Times New Roman"/>
                <w:i/>
                <w:color w:val="000000" w:themeColor="text1"/>
                <w:sz w:val="24"/>
                <w:szCs w:val="24"/>
              </w:rPr>
            </w:pPr>
            <w:r w:rsidRPr="006D7549">
              <w:rPr>
                <w:rFonts w:ascii="Times New Roman" w:eastAsia="Times New Roman" w:hAnsi="Times New Roman" w:cs="Times New Roman"/>
                <w:i/>
                <w:color w:val="000000" w:themeColor="text1"/>
                <w:sz w:val="24"/>
                <w:szCs w:val="24"/>
              </w:rPr>
              <w:t xml:space="preserve">Asset turnover </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 xml:space="preserve"> 0.27 </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 xml:space="preserve"> 0.12 </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 xml:space="preserve">0.11 </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 xml:space="preserve"> 0.20 </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 xml:space="preserve"> 0.93 </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 xml:space="preserve"> 0.57 </w:t>
            </w:r>
          </w:p>
        </w:tc>
        <w:tc>
          <w:tcPr>
            <w:tcW w:w="968" w:type="dxa"/>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 xml:space="preserve"> 0.32x </w:t>
            </w:r>
          </w:p>
        </w:tc>
        <w:tc>
          <w:tcPr>
            <w:tcW w:w="968" w:type="dxa"/>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 xml:space="preserve"> 0.23x </w:t>
            </w:r>
          </w:p>
        </w:tc>
      </w:tr>
      <w:tr w:rsidR="006D7549" w:rsidRPr="006D7549" w:rsidTr="006D7549">
        <w:trPr>
          <w:trHeight w:val="235"/>
          <w:jc w:val="center"/>
        </w:trPr>
        <w:tc>
          <w:tcPr>
            <w:tcW w:w="0" w:type="auto"/>
            <w:hideMark/>
          </w:tcPr>
          <w:p w:rsidR="006D7549" w:rsidRPr="006D7549" w:rsidRDefault="006D7549" w:rsidP="00AF4EC0">
            <w:pPr>
              <w:spacing w:line="360" w:lineRule="auto"/>
              <w:rPr>
                <w:rFonts w:ascii="Times New Roman" w:eastAsia="Times New Roman" w:hAnsi="Times New Roman" w:cs="Times New Roman"/>
                <w:i/>
                <w:color w:val="000000" w:themeColor="text1"/>
                <w:sz w:val="24"/>
                <w:szCs w:val="24"/>
              </w:rPr>
            </w:pPr>
            <w:r w:rsidRPr="006D7549">
              <w:rPr>
                <w:rFonts w:ascii="Times New Roman" w:eastAsia="Times New Roman" w:hAnsi="Times New Roman" w:cs="Times New Roman"/>
                <w:i/>
                <w:color w:val="000000" w:themeColor="text1"/>
                <w:sz w:val="24"/>
                <w:szCs w:val="24"/>
              </w:rPr>
              <w:t>ROE (Due Point 2 factor)</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14.27%</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-16.80%</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3.34%</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2.58%</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25.52%</w:t>
            </w:r>
          </w:p>
        </w:tc>
        <w:tc>
          <w:tcPr>
            <w:tcW w:w="0" w:type="auto"/>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17.45%</w:t>
            </w:r>
          </w:p>
        </w:tc>
        <w:tc>
          <w:tcPr>
            <w:tcW w:w="968" w:type="dxa"/>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5.78%</w:t>
            </w:r>
          </w:p>
        </w:tc>
        <w:tc>
          <w:tcPr>
            <w:tcW w:w="968" w:type="dxa"/>
            <w:noWrap/>
            <w:hideMark/>
          </w:tcPr>
          <w:p w:rsidR="006D7549" w:rsidRPr="006D7549" w:rsidRDefault="006D7549" w:rsidP="00AF4EC0">
            <w:pPr>
              <w:spacing w:line="360" w:lineRule="auto"/>
              <w:rPr>
                <w:rFonts w:ascii="Times New Roman" w:eastAsia="Times New Roman" w:hAnsi="Times New Roman" w:cs="Times New Roman"/>
                <w:color w:val="000000" w:themeColor="text1"/>
                <w:sz w:val="24"/>
                <w:szCs w:val="24"/>
              </w:rPr>
            </w:pPr>
            <w:r w:rsidRPr="006D7549">
              <w:rPr>
                <w:rFonts w:ascii="Times New Roman" w:eastAsia="Times New Roman" w:hAnsi="Times New Roman" w:cs="Times New Roman"/>
                <w:color w:val="000000" w:themeColor="text1"/>
                <w:sz w:val="24"/>
                <w:szCs w:val="24"/>
              </w:rPr>
              <w:t>8.80%</w:t>
            </w:r>
          </w:p>
        </w:tc>
      </w:tr>
    </w:tbl>
    <w:p w:rsidR="006D7549" w:rsidRPr="006D7549" w:rsidRDefault="006D7549" w:rsidP="00AF4EC0">
      <w:pPr>
        <w:spacing w:line="360" w:lineRule="auto"/>
        <w:rPr>
          <w:rFonts w:ascii="Times New Roman" w:hAnsi="Times New Roman" w:cs="Times New Roman"/>
          <w:b/>
          <w:sz w:val="24"/>
          <w:szCs w:val="24"/>
        </w:rPr>
      </w:pPr>
    </w:p>
    <w:p w:rsidR="006D7549" w:rsidRPr="006D7549" w:rsidRDefault="006D7549" w:rsidP="00AF4EC0">
      <w:pPr>
        <w:pStyle w:val="Heading2"/>
        <w:spacing w:line="360" w:lineRule="auto"/>
      </w:pPr>
      <w:bookmarkStart w:id="18" w:name="_Toc204788945"/>
      <w:r w:rsidRPr="006D7549">
        <w:lastRenderedPageBreak/>
        <w:t>Market-Related Ratios</w:t>
      </w:r>
      <w:bookmarkEnd w:id="18"/>
    </w:p>
    <w:p w:rsidR="006D7549" w:rsidRPr="006D7549" w:rsidRDefault="006D7549" w:rsidP="00AF4EC0">
      <w:pPr>
        <w:pStyle w:val="whitespace-pre-wrap"/>
        <w:spacing w:line="360" w:lineRule="auto"/>
      </w:pPr>
      <w:r w:rsidRPr="006D7549">
        <w:t>The market-related ratios reveal significant valuation disparities across Nepal's hotel industry:</w:t>
      </w:r>
    </w:p>
    <w:p w:rsidR="006D7549" w:rsidRPr="006D7549" w:rsidRDefault="006D7549" w:rsidP="00AF4EC0">
      <w:pPr>
        <w:spacing w:line="360" w:lineRule="auto"/>
        <w:rPr>
          <w:rFonts w:ascii="Times New Roman" w:hAnsi="Times New Roman" w:cs="Times New Roman"/>
          <w:sz w:val="24"/>
          <w:szCs w:val="24"/>
        </w:rPr>
      </w:pPr>
      <w:r w:rsidRPr="006D7549">
        <w:rPr>
          <w:rFonts w:ascii="Times New Roman" w:hAnsi="Times New Roman" w:cs="Times New Roman"/>
          <w:sz w:val="24"/>
          <w:szCs w:val="24"/>
        </w:rPr>
        <w:t>Market Related Ratios</w:t>
      </w:r>
    </w:p>
    <w:p w:rsidR="006D7549" w:rsidRPr="006D7549" w:rsidRDefault="006D7549" w:rsidP="00AF4EC0">
      <w:pPr>
        <w:pStyle w:val="Heading3"/>
        <w:spacing w:line="360" w:lineRule="auto"/>
      </w:pPr>
      <w:bookmarkStart w:id="19" w:name="_Toc204788946"/>
      <w:r w:rsidRPr="006D7549">
        <w:rPr>
          <w:rStyle w:val="Strong"/>
          <w:b/>
          <w:bCs w:val="0"/>
        </w:rPr>
        <w:t>Valuation Leaders &amp; Laggards:</w:t>
      </w:r>
      <w:bookmarkEnd w:id="19"/>
    </w:p>
    <w:p w:rsidR="006D7549" w:rsidRPr="006D7549" w:rsidRDefault="006D7549" w:rsidP="00AF4EC0">
      <w:pPr>
        <w:numPr>
          <w:ilvl w:val="0"/>
          <w:numId w:val="20"/>
        </w:numPr>
        <w:spacing w:before="100" w:beforeAutospacing="1" w:after="100" w:afterAutospacing="1" w:line="360" w:lineRule="auto"/>
        <w:rPr>
          <w:rFonts w:ascii="Times New Roman" w:hAnsi="Times New Roman" w:cs="Times New Roman"/>
          <w:sz w:val="24"/>
          <w:szCs w:val="24"/>
        </w:rPr>
      </w:pPr>
      <w:r w:rsidRPr="006D7549">
        <w:rPr>
          <w:rStyle w:val="Strong"/>
          <w:rFonts w:ascii="Times New Roman" w:hAnsi="Times New Roman" w:cs="Times New Roman"/>
          <w:sz w:val="24"/>
          <w:szCs w:val="24"/>
        </w:rPr>
        <w:t>TRH - Premium Value Opportunity:</w:t>
      </w:r>
      <w:r w:rsidRPr="006D7549">
        <w:rPr>
          <w:rFonts w:ascii="Times New Roman" w:hAnsi="Times New Roman" w:cs="Times New Roman"/>
          <w:sz w:val="24"/>
          <w:szCs w:val="24"/>
        </w:rPr>
        <w:t xml:space="preserve"> Trading at 35.5x P/E with highest earnings yield (2.82%), representing 52% discount to industry median (73.8x P/E). Market cap of NPR 18.56 billion appears undervalued given solid operational fundamentals.</w:t>
      </w:r>
    </w:p>
    <w:p w:rsidR="006D7549" w:rsidRPr="006D7549" w:rsidRDefault="006D7549" w:rsidP="00AF4EC0">
      <w:pPr>
        <w:numPr>
          <w:ilvl w:val="0"/>
          <w:numId w:val="20"/>
        </w:numPr>
        <w:spacing w:before="100" w:beforeAutospacing="1" w:after="100" w:afterAutospacing="1" w:line="360" w:lineRule="auto"/>
        <w:rPr>
          <w:rFonts w:ascii="Times New Roman" w:hAnsi="Times New Roman" w:cs="Times New Roman"/>
          <w:sz w:val="24"/>
          <w:szCs w:val="24"/>
        </w:rPr>
      </w:pPr>
      <w:r w:rsidRPr="006D7549">
        <w:rPr>
          <w:rStyle w:val="Strong"/>
          <w:rFonts w:ascii="Times New Roman" w:hAnsi="Times New Roman" w:cs="Times New Roman"/>
          <w:sz w:val="24"/>
          <w:szCs w:val="24"/>
        </w:rPr>
        <w:t>KDL - Extreme Overvaluation:</w:t>
      </w:r>
      <w:r w:rsidRPr="006D7549">
        <w:rPr>
          <w:rFonts w:ascii="Times New Roman" w:hAnsi="Times New Roman" w:cs="Times New Roman"/>
          <w:sz w:val="24"/>
          <w:szCs w:val="24"/>
        </w:rPr>
        <w:t xml:space="preserve"> 332x P/E ratio completely disconnected from 3.34% ROE performance. Speculative premium unsustainable at current levels.</w:t>
      </w:r>
    </w:p>
    <w:p w:rsidR="006D7549" w:rsidRPr="006D7549" w:rsidRDefault="006D7549" w:rsidP="00AF4EC0">
      <w:pPr>
        <w:numPr>
          <w:ilvl w:val="0"/>
          <w:numId w:val="20"/>
        </w:numPr>
        <w:spacing w:before="100" w:beforeAutospacing="1" w:after="100" w:afterAutospacing="1" w:line="360" w:lineRule="auto"/>
        <w:rPr>
          <w:rFonts w:ascii="Times New Roman" w:hAnsi="Times New Roman" w:cs="Times New Roman"/>
          <w:sz w:val="24"/>
          <w:szCs w:val="24"/>
        </w:rPr>
      </w:pPr>
      <w:r w:rsidRPr="006D7549">
        <w:rPr>
          <w:rStyle w:val="Strong"/>
          <w:rFonts w:ascii="Times New Roman" w:hAnsi="Times New Roman" w:cs="Times New Roman"/>
          <w:sz w:val="24"/>
          <w:szCs w:val="24"/>
        </w:rPr>
        <w:t>SHL - Quality Premium Justified:</w:t>
      </w:r>
      <w:r w:rsidRPr="006D7549">
        <w:rPr>
          <w:rFonts w:ascii="Times New Roman" w:hAnsi="Times New Roman" w:cs="Times New Roman"/>
          <w:sz w:val="24"/>
          <w:szCs w:val="24"/>
        </w:rPr>
        <w:t xml:space="preserve"> 87.7x P/E supported by superior returns (27.1% ROE). Largest market cap (NPR 57.55 billion) reflects market recognition of operational excellence.</w:t>
      </w:r>
    </w:p>
    <w:p w:rsidR="006D7549" w:rsidRPr="006D7549" w:rsidRDefault="006D7549" w:rsidP="00AF4EC0">
      <w:pPr>
        <w:numPr>
          <w:ilvl w:val="0"/>
          <w:numId w:val="20"/>
        </w:numPr>
        <w:spacing w:before="100" w:beforeAutospacing="1" w:after="100" w:afterAutospacing="1" w:line="360" w:lineRule="auto"/>
        <w:rPr>
          <w:rFonts w:ascii="Times New Roman" w:hAnsi="Times New Roman" w:cs="Times New Roman"/>
          <w:sz w:val="24"/>
          <w:szCs w:val="24"/>
        </w:rPr>
      </w:pPr>
      <w:r w:rsidRPr="006D7549">
        <w:rPr>
          <w:rStyle w:val="Strong"/>
          <w:rFonts w:ascii="Times New Roman" w:hAnsi="Times New Roman" w:cs="Times New Roman"/>
          <w:sz w:val="24"/>
          <w:szCs w:val="24"/>
        </w:rPr>
        <w:t>CITY - Distressed Valuation:</w:t>
      </w:r>
      <w:r w:rsidRPr="006D7549">
        <w:rPr>
          <w:rFonts w:ascii="Times New Roman" w:hAnsi="Times New Roman" w:cs="Times New Roman"/>
          <w:sz w:val="24"/>
          <w:szCs w:val="24"/>
        </w:rPr>
        <w:t xml:space="preserve"> Negative earnings yield (-1.58%) reflects operational losses. High P/B (10.64x) suggests asset impairment risk.</w:t>
      </w:r>
    </w:p>
    <w:p w:rsidR="006D7549" w:rsidRPr="006D7549" w:rsidRDefault="006D7549" w:rsidP="00AF4EC0">
      <w:pPr>
        <w:spacing w:before="100" w:beforeAutospacing="1" w:after="100" w:afterAutospacing="1" w:line="360" w:lineRule="auto"/>
        <w:rPr>
          <w:rFonts w:ascii="Times New Roman" w:hAnsi="Times New Roman" w:cs="Times New Roman"/>
          <w:sz w:val="24"/>
          <w:szCs w:val="24"/>
        </w:rPr>
      </w:pPr>
      <w:r w:rsidRPr="006D7549">
        <w:rPr>
          <w:rFonts w:ascii="Times New Roman" w:hAnsi="Times New Roman" w:cs="Times New Roman"/>
          <w:noProof/>
          <w:sz w:val="24"/>
          <w:szCs w:val="24"/>
        </w:rPr>
        <w:drawing>
          <wp:inline distT="0" distB="0" distL="0" distR="0" wp14:anchorId="7C7E84C4" wp14:editId="1CB85368">
            <wp:extent cx="5626100" cy="3859571"/>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3"/>
                    <a:stretch>
                      <a:fillRect/>
                    </a:stretch>
                  </pic:blipFill>
                  <pic:spPr>
                    <a:xfrm>
                      <a:off x="0" y="0"/>
                      <a:ext cx="5633916" cy="3864933"/>
                    </a:xfrm>
                    <a:prstGeom prst="rect">
                      <a:avLst/>
                    </a:prstGeom>
                  </pic:spPr>
                </pic:pic>
              </a:graphicData>
            </a:graphic>
          </wp:inline>
        </w:drawing>
      </w:r>
    </w:p>
    <w:p w:rsidR="006D7549" w:rsidRPr="006D7549" w:rsidRDefault="006D7549" w:rsidP="00AF4EC0">
      <w:pPr>
        <w:pStyle w:val="NormalWeb"/>
        <w:spacing w:line="360" w:lineRule="auto"/>
      </w:pPr>
      <w:r w:rsidRPr="006D7549">
        <w:rPr>
          <w:rStyle w:val="Strong"/>
        </w:rPr>
        <w:lastRenderedPageBreak/>
        <w:t>Beta Analysis - Defensive Characteristics:</w:t>
      </w:r>
      <w:r w:rsidRPr="006D7549">
        <w:t xml:space="preserve"> Most stocks exhibit low systematic risk (0.86-1.17 beta range), making the sector attractive for defensive allocation. SHL shows lowest volatility (0.86 beta) while maintaining growth characteristics.</w:t>
      </w:r>
    </w:p>
    <w:p w:rsidR="006D7549" w:rsidRPr="006D7549" w:rsidRDefault="006D7549" w:rsidP="00AF4EC0">
      <w:pPr>
        <w:pStyle w:val="Heading2"/>
        <w:spacing w:line="360" w:lineRule="auto"/>
      </w:pPr>
      <w:bookmarkStart w:id="20" w:name="_Toc204788947"/>
      <w:r w:rsidRPr="006D7549">
        <w:t>Solvency Ratios:</w:t>
      </w:r>
      <w:bookmarkEnd w:id="20"/>
    </w:p>
    <w:p w:rsidR="006D7549" w:rsidRPr="006D7549" w:rsidRDefault="006D7549" w:rsidP="00AF4EC0">
      <w:pPr>
        <w:numPr>
          <w:ilvl w:val="0"/>
          <w:numId w:val="21"/>
        </w:numPr>
        <w:spacing w:before="100" w:beforeAutospacing="1" w:after="100" w:afterAutospacing="1" w:line="360" w:lineRule="auto"/>
        <w:rPr>
          <w:rFonts w:ascii="Times New Roman" w:hAnsi="Times New Roman" w:cs="Times New Roman"/>
          <w:sz w:val="24"/>
          <w:szCs w:val="24"/>
        </w:rPr>
      </w:pPr>
      <w:r w:rsidRPr="006D7549">
        <w:rPr>
          <w:rStyle w:val="Strong"/>
          <w:rFonts w:ascii="Times New Roman" w:hAnsi="Times New Roman" w:cs="Times New Roman"/>
          <w:sz w:val="24"/>
          <w:szCs w:val="24"/>
        </w:rPr>
        <w:t xml:space="preserve">SHL &amp; KDL - </w:t>
      </w:r>
      <w:r w:rsidRPr="006D7549">
        <w:rPr>
          <w:rFonts w:ascii="Times New Roman" w:hAnsi="Times New Roman" w:cs="Times New Roman"/>
          <w:sz w:val="24"/>
          <w:szCs w:val="24"/>
        </w:rPr>
        <w:t>Both maintain 0.08x debt-to-equity with exceptional interest coverage (290x and 4.33x respectively). Provide defensive characteristics during economic downturns.</w:t>
      </w:r>
    </w:p>
    <w:p w:rsidR="006D7549" w:rsidRPr="006D7549" w:rsidRDefault="006D7549" w:rsidP="00AF4EC0">
      <w:pPr>
        <w:numPr>
          <w:ilvl w:val="0"/>
          <w:numId w:val="21"/>
        </w:numPr>
        <w:spacing w:before="100" w:beforeAutospacing="1" w:after="100" w:afterAutospacing="1" w:line="360" w:lineRule="auto"/>
        <w:rPr>
          <w:rFonts w:ascii="Times New Roman" w:hAnsi="Times New Roman" w:cs="Times New Roman"/>
          <w:sz w:val="24"/>
          <w:szCs w:val="24"/>
        </w:rPr>
      </w:pPr>
      <w:r w:rsidRPr="006D7549">
        <w:rPr>
          <w:rStyle w:val="Strong"/>
          <w:rFonts w:ascii="Times New Roman" w:hAnsi="Times New Roman" w:cs="Times New Roman"/>
          <w:sz w:val="24"/>
          <w:szCs w:val="24"/>
        </w:rPr>
        <w:t xml:space="preserve">TRH - </w:t>
      </w:r>
      <w:r w:rsidRPr="006D7549">
        <w:rPr>
          <w:rFonts w:ascii="Times New Roman" w:hAnsi="Times New Roman" w:cs="Times New Roman"/>
          <w:sz w:val="24"/>
          <w:szCs w:val="24"/>
        </w:rPr>
        <w:t>Completely debt-free structure offers maximum financial flexibility but may indicate underutilization of leverage for growth acceleration.</w:t>
      </w:r>
    </w:p>
    <w:p w:rsidR="006D7549" w:rsidRPr="006D7549" w:rsidRDefault="006D7549" w:rsidP="00AF4EC0">
      <w:pPr>
        <w:numPr>
          <w:ilvl w:val="0"/>
          <w:numId w:val="22"/>
        </w:numPr>
        <w:spacing w:before="100" w:beforeAutospacing="1" w:after="100" w:afterAutospacing="1" w:line="360" w:lineRule="auto"/>
        <w:rPr>
          <w:rFonts w:ascii="Times New Roman" w:hAnsi="Times New Roman" w:cs="Times New Roman"/>
          <w:sz w:val="24"/>
          <w:szCs w:val="24"/>
        </w:rPr>
      </w:pPr>
      <w:r w:rsidRPr="006D7549">
        <w:rPr>
          <w:rStyle w:val="Strong"/>
          <w:rFonts w:ascii="Times New Roman" w:hAnsi="Times New Roman" w:cs="Times New Roman"/>
          <w:sz w:val="24"/>
          <w:szCs w:val="24"/>
        </w:rPr>
        <w:t xml:space="preserve">CGH &amp; OHL - </w:t>
      </w:r>
      <w:r w:rsidRPr="006D7549">
        <w:rPr>
          <w:rFonts w:ascii="Times New Roman" w:hAnsi="Times New Roman" w:cs="Times New Roman"/>
          <w:sz w:val="24"/>
          <w:szCs w:val="24"/>
        </w:rPr>
        <w:t>1.13x and 0.40x debt-to-equity respectively with adequate interest coverage (2.97x and 3.59x). Appropriate capital structure for hospitality operations.</w:t>
      </w:r>
    </w:p>
    <w:p w:rsidR="006D7549" w:rsidRPr="006D7549" w:rsidRDefault="006D7549" w:rsidP="00AF4EC0">
      <w:pPr>
        <w:numPr>
          <w:ilvl w:val="0"/>
          <w:numId w:val="23"/>
        </w:numPr>
        <w:spacing w:before="100" w:beforeAutospacing="1" w:after="100" w:afterAutospacing="1" w:line="360" w:lineRule="auto"/>
        <w:rPr>
          <w:rFonts w:ascii="Times New Roman" w:hAnsi="Times New Roman" w:cs="Times New Roman"/>
          <w:sz w:val="24"/>
          <w:szCs w:val="24"/>
        </w:rPr>
      </w:pPr>
      <w:r w:rsidRPr="006D7549">
        <w:rPr>
          <w:rStyle w:val="Strong"/>
          <w:rFonts w:ascii="Times New Roman" w:hAnsi="Times New Roman" w:cs="Times New Roman"/>
          <w:sz w:val="24"/>
          <w:szCs w:val="24"/>
        </w:rPr>
        <w:t>CITY - Critical Leverage Concern:</w:t>
      </w:r>
      <w:r w:rsidRPr="006D7549">
        <w:rPr>
          <w:rFonts w:ascii="Times New Roman" w:hAnsi="Times New Roman" w:cs="Times New Roman"/>
          <w:sz w:val="24"/>
          <w:szCs w:val="24"/>
        </w:rPr>
        <w:t xml:space="preserve"> 2.43x debt-to-equity with inadequate interest coverage (0.56x). High bankruptcy risk given negative operating cash flows and recent operational start.</w:t>
      </w:r>
    </w:p>
    <w:p w:rsidR="006D7549" w:rsidRPr="006D7549" w:rsidRDefault="006D7549" w:rsidP="00AF4EC0">
      <w:pPr>
        <w:pStyle w:val="Heading2"/>
        <w:spacing w:line="360" w:lineRule="auto"/>
      </w:pPr>
      <w:bookmarkStart w:id="21" w:name="_Toc204788948"/>
      <w:r w:rsidRPr="006D7549">
        <w:t>Profit Margins:</w:t>
      </w:r>
      <w:bookmarkEnd w:id="21"/>
    </w:p>
    <w:p w:rsidR="006D7549" w:rsidRPr="006D7549" w:rsidRDefault="006D7549" w:rsidP="00AF4EC0">
      <w:pPr>
        <w:numPr>
          <w:ilvl w:val="0"/>
          <w:numId w:val="24"/>
        </w:numPr>
        <w:spacing w:before="100" w:beforeAutospacing="1" w:after="100" w:afterAutospacing="1" w:line="360" w:lineRule="auto"/>
        <w:rPr>
          <w:rFonts w:ascii="Times New Roman" w:hAnsi="Times New Roman" w:cs="Times New Roman"/>
          <w:sz w:val="24"/>
          <w:szCs w:val="24"/>
        </w:rPr>
      </w:pPr>
      <w:r w:rsidRPr="006D7549">
        <w:rPr>
          <w:rStyle w:val="Strong"/>
          <w:rFonts w:ascii="Times New Roman" w:hAnsi="Times New Roman" w:cs="Times New Roman"/>
          <w:sz w:val="24"/>
          <w:szCs w:val="24"/>
        </w:rPr>
        <w:t>KDL - Margin Leader:</w:t>
      </w:r>
      <w:r w:rsidRPr="006D7549">
        <w:rPr>
          <w:rFonts w:ascii="Times New Roman" w:hAnsi="Times New Roman" w:cs="Times New Roman"/>
          <w:sz w:val="24"/>
          <w:szCs w:val="24"/>
        </w:rPr>
        <w:t xml:space="preserve"> 60.17% gross margin due to cable car model's low variable costs. 27.33% net margin demonstrates pricing power in niche religious tourism.</w:t>
      </w:r>
    </w:p>
    <w:p w:rsidR="006D7549" w:rsidRPr="006D7549" w:rsidRDefault="006D7549" w:rsidP="00AF4EC0">
      <w:pPr>
        <w:numPr>
          <w:ilvl w:val="0"/>
          <w:numId w:val="24"/>
        </w:numPr>
        <w:spacing w:before="100" w:beforeAutospacing="1" w:after="100" w:afterAutospacing="1" w:line="360" w:lineRule="auto"/>
        <w:rPr>
          <w:rFonts w:ascii="Times New Roman" w:hAnsi="Times New Roman" w:cs="Times New Roman"/>
          <w:sz w:val="24"/>
          <w:szCs w:val="24"/>
        </w:rPr>
      </w:pPr>
      <w:r w:rsidRPr="006D7549">
        <w:rPr>
          <w:rStyle w:val="Strong"/>
          <w:rFonts w:ascii="Times New Roman" w:hAnsi="Times New Roman" w:cs="Times New Roman"/>
          <w:sz w:val="24"/>
          <w:szCs w:val="24"/>
        </w:rPr>
        <w:t>SHL - Balanced Profitability:</w:t>
      </w:r>
      <w:r w:rsidRPr="006D7549">
        <w:rPr>
          <w:rFonts w:ascii="Times New Roman" w:hAnsi="Times New Roman" w:cs="Times New Roman"/>
          <w:sz w:val="24"/>
          <w:szCs w:val="24"/>
        </w:rPr>
        <w:t xml:space="preserve"> 36.15% gross, 30.42% operating margins reflect operational efficiency and brand premium. Diversified revenue streams support margin stability.</w:t>
      </w:r>
    </w:p>
    <w:p w:rsidR="006D7549" w:rsidRPr="006D7549" w:rsidRDefault="006D7549" w:rsidP="00AF4EC0">
      <w:pPr>
        <w:numPr>
          <w:ilvl w:val="0"/>
          <w:numId w:val="24"/>
        </w:numPr>
        <w:spacing w:before="100" w:beforeAutospacing="1" w:after="100" w:afterAutospacing="1" w:line="360" w:lineRule="auto"/>
        <w:rPr>
          <w:rFonts w:ascii="Times New Roman" w:hAnsi="Times New Roman" w:cs="Times New Roman"/>
          <w:sz w:val="24"/>
          <w:szCs w:val="24"/>
        </w:rPr>
      </w:pPr>
      <w:r w:rsidRPr="006D7549">
        <w:rPr>
          <w:rStyle w:val="Strong"/>
          <w:rFonts w:ascii="Times New Roman" w:hAnsi="Times New Roman" w:cs="Times New Roman"/>
          <w:sz w:val="24"/>
          <w:szCs w:val="24"/>
        </w:rPr>
        <w:t>TRH - Consistent Performance:</w:t>
      </w:r>
      <w:r w:rsidRPr="006D7549">
        <w:rPr>
          <w:rFonts w:ascii="Times New Roman" w:hAnsi="Times New Roman" w:cs="Times New Roman"/>
          <w:sz w:val="24"/>
          <w:szCs w:val="24"/>
        </w:rPr>
        <w:t xml:space="preserve"> 41.72% gross, 36.68% operating, 28.88% net margins indicate well-managed operations despite ownership disputes.</w:t>
      </w:r>
    </w:p>
    <w:p w:rsidR="006D7549" w:rsidRDefault="006D7549" w:rsidP="00AF4EC0">
      <w:pPr>
        <w:numPr>
          <w:ilvl w:val="0"/>
          <w:numId w:val="26"/>
        </w:numPr>
        <w:spacing w:before="100" w:beforeAutospacing="1" w:after="100" w:afterAutospacing="1" w:line="360" w:lineRule="auto"/>
        <w:rPr>
          <w:rFonts w:ascii="Times New Roman" w:hAnsi="Times New Roman" w:cs="Times New Roman"/>
          <w:sz w:val="24"/>
          <w:szCs w:val="24"/>
        </w:rPr>
      </w:pPr>
      <w:r w:rsidRPr="006D7549">
        <w:rPr>
          <w:rStyle w:val="Strong"/>
          <w:rFonts w:ascii="Times New Roman" w:hAnsi="Times New Roman" w:cs="Times New Roman"/>
          <w:sz w:val="24"/>
          <w:szCs w:val="24"/>
        </w:rPr>
        <w:t>CITY - Severe Margin Destruction:</w:t>
      </w:r>
      <w:r w:rsidRPr="006D7549">
        <w:rPr>
          <w:rFonts w:ascii="Times New Roman" w:hAnsi="Times New Roman" w:cs="Times New Roman"/>
          <w:sz w:val="24"/>
          <w:szCs w:val="24"/>
        </w:rPr>
        <w:t xml:space="preserve"> Negative margins across all levels (-51.20% operating, -41.87% net) indicate fundamental operational problems requiring immediate restructuring.</w:t>
      </w:r>
    </w:p>
    <w:p w:rsidR="006D7549" w:rsidRDefault="006D7549" w:rsidP="00AF4EC0">
      <w:pPr>
        <w:spacing w:before="100" w:beforeAutospacing="1" w:after="100" w:afterAutospacing="1" w:line="360" w:lineRule="auto"/>
        <w:rPr>
          <w:rFonts w:ascii="Times New Roman" w:hAnsi="Times New Roman" w:cs="Times New Roman"/>
          <w:sz w:val="24"/>
          <w:szCs w:val="24"/>
        </w:rPr>
      </w:pPr>
    </w:p>
    <w:p w:rsidR="006D7549" w:rsidRPr="006D7549" w:rsidRDefault="006D7549" w:rsidP="00AF4EC0">
      <w:pPr>
        <w:spacing w:before="100" w:beforeAutospacing="1" w:after="100" w:afterAutospacing="1" w:line="360" w:lineRule="auto"/>
        <w:rPr>
          <w:rFonts w:ascii="Times New Roman" w:hAnsi="Times New Roman" w:cs="Times New Roman"/>
          <w:sz w:val="24"/>
          <w:szCs w:val="24"/>
        </w:rPr>
      </w:pPr>
    </w:p>
    <w:p w:rsidR="006D7549" w:rsidRPr="006D7549" w:rsidRDefault="006D7549" w:rsidP="00AF4EC0">
      <w:pPr>
        <w:pStyle w:val="Heading2"/>
        <w:spacing w:line="360" w:lineRule="auto"/>
      </w:pPr>
      <w:bookmarkStart w:id="22" w:name="_Toc204788949"/>
      <w:r w:rsidRPr="006D7549">
        <w:lastRenderedPageBreak/>
        <w:t>Dividend History</w:t>
      </w:r>
      <w:bookmarkEnd w:id="22"/>
    </w:p>
    <w:p w:rsidR="006D7549" w:rsidRPr="006D7549" w:rsidRDefault="006D7549" w:rsidP="00AF4EC0">
      <w:pPr>
        <w:spacing w:line="360" w:lineRule="auto"/>
        <w:rPr>
          <w:rFonts w:ascii="Times New Roman" w:hAnsi="Times New Roman" w:cs="Times New Roman"/>
          <w:sz w:val="24"/>
          <w:szCs w:val="24"/>
        </w:rPr>
      </w:pPr>
      <w:r w:rsidRPr="006D7549">
        <w:rPr>
          <w:rFonts w:ascii="Times New Roman" w:hAnsi="Times New Roman" w:cs="Times New Roman"/>
          <w:sz w:val="24"/>
          <w:szCs w:val="24"/>
        </w:rPr>
        <w:t>Historical Dividend Data:</w:t>
      </w:r>
    </w:p>
    <w:tbl>
      <w:tblPr>
        <w:tblStyle w:val="TableGridLight"/>
        <w:tblW w:w="10885" w:type="dxa"/>
        <w:jc w:val="center"/>
        <w:tblLook w:val="04A0" w:firstRow="1" w:lastRow="0" w:firstColumn="1" w:lastColumn="0" w:noHBand="0" w:noVBand="1"/>
      </w:tblPr>
      <w:tblGrid>
        <w:gridCol w:w="1279"/>
        <w:gridCol w:w="1056"/>
        <w:gridCol w:w="1170"/>
        <w:gridCol w:w="1350"/>
        <w:gridCol w:w="1260"/>
        <w:gridCol w:w="1350"/>
        <w:gridCol w:w="1260"/>
        <w:gridCol w:w="1080"/>
        <w:gridCol w:w="1080"/>
      </w:tblGrid>
      <w:tr w:rsidR="006D7549" w:rsidRPr="006D7549" w:rsidTr="00AF4EC0">
        <w:trPr>
          <w:jc w:val="center"/>
        </w:trPr>
        <w:tc>
          <w:tcPr>
            <w:tcW w:w="1279" w:type="dxa"/>
          </w:tcPr>
          <w:p w:rsidR="006D7549" w:rsidRPr="006D7549" w:rsidRDefault="006D7549" w:rsidP="00AF4EC0">
            <w:pPr>
              <w:spacing w:before="60" w:after="60" w:line="360" w:lineRule="auto"/>
              <w:jc w:val="center"/>
              <w:rPr>
                <w:rFonts w:ascii="Times New Roman" w:hAnsi="Times New Roman" w:cs="Times New Roman"/>
                <w:b/>
                <w:sz w:val="24"/>
                <w:szCs w:val="24"/>
              </w:rPr>
            </w:pPr>
            <w:r w:rsidRPr="006D7549">
              <w:rPr>
                <w:rFonts w:ascii="Times New Roman" w:hAnsi="Times New Roman" w:cs="Times New Roman"/>
                <w:b/>
                <w:sz w:val="24"/>
                <w:szCs w:val="24"/>
              </w:rPr>
              <w:t>Company Name</w:t>
            </w:r>
          </w:p>
        </w:tc>
        <w:tc>
          <w:tcPr>
            <w:tcW w:w="1056" w:type="dxa"/>
          </w:tcPr>
          <w:p w:rsidR="006D7549" w:rsidRPr="006D7549" w:rsidRDefault="006D7549" w:rsidP="00AF4EC0">
            <w:pPr>
              <w:spacing w:before="60" w:after="60" w:line="360" w:lineRule="auto"/>
              <w:jc w:val="center"/>
              <w:rPr>
                <w:rFonts w:ascii="Times New Roman" w:hAnsi="Times New Roman" w:cs="Times New Roman"/>
                <w:b/>
                <w:sz w:val="24"/>
                <w:szCs w:val="24"/>
              </w:rPr>
            </w:pPr>
            <w:r w:rsidRPr="006D7549">
              <w:rPr>
                <w:rFonts w:ascii="Times New Roman" w:hAnsi="Times New Roman" w:cs="Times New Roman"/>
                <w:b/>
                <w:sz w:val="24"/>
                <w:szCs w:val="24"/>
              </w:rPr>
              <w:t>Bonus (%) 2077-78</w:t>
            </w:r>
          </w:p>
        </w:tc>
        <w:tc>
          <w:tcPr>
            <w:tcW w:w="1170" w:type="dxa"/>
          </w:tcPr>
          <w:p w:rsidR="006D7549" w:rsidRPr="006D7549" w:rsidRDefault="006D7549" w:rsidP="00AF4EC0">
            <w:pPr>
              <w:spacing w:before="60" w:after="60" w:line="360" w:lineRule="auto"/>
              <w:jc w:val="center"/>
              <w:rPr>
                <w:rFonts w:ascii="Times New Roman" w:hAnsi="Times New Roman" w:cs="Times New Roman"/>
                <w:b/>
                <w:sz w:val="24"/>
                <w:szCs w:val="24"/>
              </w:rPr>
            </w:pPr>
            <w:r w:rsidRPr="006D7549">
              <w:rPr>
                <w:rFonts w:ascii="Times New Roman" w:hAnsi="Times New Roman" w:cs="Times New Roman"/>
                <w:b/>
                <w:sz w:val="24"/>
                <w:szCs w:val="24"/>
              </w:rPr>
              <w:t>Cash (%) 2077-78</w:t>
            </w:r>
          </w:p>
        </w:tc>
        <w:tc>
          <w:tcPr>
            <w:tcW w:w="1350" w:type="dxa"/>
          </w:tcPr>
          <w:p w:rsidR="006D7549" w:rsidRPr="006D7549" w:rsidRDefault="006D7549" w:rsidP="00AF4EC0">
            <w:pPr>
              <w:spacing w:before="60" w:after="60" w:line="360" w:lineRule="auto"/>
              <w:jc w:val="center"/>
              <w:rPr>
                <w:rFonts w:ascii="Times New Roman" w:hAnsi="Times New Roman" w:cs="Times New Roman"/>
                <w:b/>
                <w:sz w:val="24"/>
                <w:szCs w:val="24"/>
              </w:rPr>
            </w:pPr>
            <w:r w:rsidRPr="006D7549">
              <w:rPr>
                <w:rFonts w:ascii="Times New Roman" w:hAnsi="Times New Roman" w:cs="Times New Roman"/>
                <w:b/>
                <w:sz w:val="24"/>
                <w:szCs w:val="24"/>
              </w:rPr>
              <w:t>Bonus (%) 2078-79</w:t>
            </w:r>
          </w:p>
        </w:tc>
        <w:tc>
          <w:tcPr>
            <w:tcW w:w="1260" w:type="dxa"/>
          </w:tcPr>
          <w:p w:rsidR="006D7549" w:rsidRPr="006D7549" w:rsidRDefault="006D7549" w:rsidP="00AF4EC0">
            <w:pPr>
              <w:spacing w:before="60" w:after="60" w:line="360" w:lineRule="auto"/>
              <w:jc w:val="center"/>
              <w:rPr>
                <w:rFonts w:ascii="Times New Roman" w:hAnsi="Times New Roman" w:cs="Times New Roman"/>
                <w:b/>
                <w:sz w:val="24"/>
                <w:szCs w:val="24"/>
              </w:rPr>
            </w:pPr>
            <w:r w:rsidRPr="006D7549">
              <w:rPr>
                <w:rFonts w:ascii="Times New Roman" w:hAnsi="Times New Roman" w:cs="Times New Roman"/>
                <w:b/>
                <w:sz w:val="24"/>
                <w:szCs w:val="24"/>
              </w:rPr>
              <w:t>Cash (%) 2078-79</w:t>
            </w:r>
          </w:p>
        </w:tc>
        <w:tc>
          <w:tcPr>
            <w:tcW w:w="1350" w:type="dxa"/>
          </w:tcPr>
          <w:p w:rsidR="006D7549" w:rsidRPr="006D7549" w:rsidRDefault="006D7549" w:rsidP="00AF4EC0">
            <w:pPr>
              <w:spacing w:before="60" w:after="60" w:line="360" w:lineRule="auto"/>
              <w:jc w:val="center"/>
              <w:rPr>
                <w:rFonts w:ascii="Times New Roman" w:hAnsi="Times New Roman" w:cs="Times New Roman"/>
                <w:b/>
                <w:sz w:val="24"/>
                <w:szCs w:val="24"/>
              </w:rPr>
            </w:pPr>
            <w:r w:rsidRPr="006D7549">
              <w:rPr>
                <w:rFonts w:ascii="Times New Roman" w:hAnsi="Times New Roman" w:cs="Times New Roman"/>
                <w:b/>
                <w:sz w:val="24"/>
                <w:szCs w:val="24"/>
              </w:rPr>
              <w:t>Bonus (%) 2079-80</w:t>
            </w:r>
          </w:p>
        </w:tc>
        <w:tc>
          <w:tcPr>
            <w:tcW w:w="1260" w:type="dxa"/>
          </w:tcPr>
          <w:p w:rsidR="006D7549" w:rsidRPr="006D7549" w:rsidRDefault="006D7549" w:rsidP="00AF4EC0">
            <w:pPr>
              <w:spacing w:before="60" w:after="60" w:line="360" w:lineRule="auto"/>
              <w:jc w:val="center"/>
              <w:rPr>
                <w:rFonts w:ascii="Times New Roman" w:hAnsi="Times New Roman" w:cs="Times New Roman"/>
                <w:b/>
                <w:sz w:val="24"/>
                <w:szCs w:val="24"/>
              </w:rPr>
            </w:pPr>
            <w:r w:rsidRPr="006D7549">
              <w:rPr>
                <w:rFonts w:ascii="Times New Roman" w:hAnsi="Times New Roman" w:cs="Times New Roman"/>
                <w:b/>
                <w:sz w:val="24"/>
                <w:szCs w:val="24"/>
              </w:rPr>
              <w:t>Cash (%) 2079-80</w:t>
            </w:r>
          </w:p>
        </w:tc>
        <w:tc>
          <w:tcPr>
            <w:tcW w:w="1080" w:type="dxa"/>
          </w:tcPr>
          <w:p w:rsidR="006D7549" w:rsidRPr="006D7549" w:rsidRDefault="006D7549" w:rsidP="00AF4EC0">
            <w:pPr>
              <w:spacing w:before="60" w:after="60" w:line="360" w:lineRule="auto"/>
              <w:jc w:val="center"/>
              <w:rPr>
                <w:rFonts w:ascii="Times New Roman" w:hAnsi="Times New Roman" w:cs="Times New Roman"/>
                <w:b/>
                <w:sz w:val="24"/>
                <w:szCs w:val="24"/>
              </w:rPr>
            </w:pPr>
            <w:r w:rsidRPr="006D7549">
              <w:rPr>
                <w:rFonts w:ascii="Times New Roman" w:hAnsi="Times New Roman" w:cs="Times New Roman"/>
                <w:b/>
                <w:sz w:val="24"/>
                <w:szCs w:val="24"/>
              </w:rPr>
              <w:t>Bonus (%) 2080-81</w:t>
            </w:r>
          </w:p>
        </w:tc>
        <w:tc>
          <w:tcPr>
            <w:tcW w:w="1080" w:type="dxa"/>
          </w:tcPr>
          <w:p w:rsidR="006D7549" w:rsidRPr="006D7549" w:rsidRDefault="006D7549" w:rsidP="00AF4EC0">
            <w:pPr>
              <w:spacing w:before="60" w:after="60" w:line="360" w:lineRule="auto"/>
              <w:jc w:val="center"/>
              <w:rPr>
                <w:rFonts w:ascii="Times New Roman" w:hAnsi="Times New Roman" w:cs="Times New Roman"/>
                <w:b/>
                <w:sz w:val="24"/>
                <w:szCs w:val="24"/>
              </w:rPr>
            </w:pPr>
            <w:r w:rsidRPr="006D7549">
              <w:rPr>
                <w:rFonts w:ascii="Times New Roman" w:hAnsi="Times New Roman" w:cs="Times New Roman"/>
                <w:b/>
                <w:sz w:val="24"/>
                <w:szCs w:val="24"/>
              </w:rPr>
              <w:t>Cash (%) 2080-81</w:t>
            </w:r>
          </w:p>
        </w:tc>
      </w:tr>
      <w:tr w:rsidR="006D7549" w:rsidRPr="006D7549" w:rsidTr="00AF4EC0">
        <w:trPr>
          <w:jc w:val="center"/>
        </w:trPr>
        <w:tc>
          <w:tcPr>
            <w:tcW w:w="1279" w:type="dxa"/>
          </w:tcPr>
          <w:p w:rsidR="006D7549" w:rsidRPr="006D7549" w:rsidRDefault="006D7549" w:rsidP="00AF4EC0">
            <w:pPr>
              <w:spacing w:before="60" w:after="60" w:line="360" w:lineRule="auto"/>
              <w:rPr>
                <w:rFonts w:ascii="Times New Roman" w:hAnsi="Times New Roman" w:cs="Times New Roman"/>
                <w:b/>
                <w:sz w:val="24"/>
                <w:szCs w:val="24"/>
              </w:rPr>
            </w:pPr>
            <w:r w:rsidRPr="006D7549">
              <w:rPr>
                <w:rFonts w:ascii="Times New Roman" w:hAnsi="Times New Roman" w:cs="Times New Roman"/>
                <w:b/>
                <w:sz w:val="24"/>
                <w:szCs w:val="24"/>
              </w:rPr>
              <w:t>OHL</w:t>
            </w:r>
          </w:p>
        </w:tc>
        <w:tc>
          <w:tcPr>
            <w:tcW w:w="1056" w:type="dxa"/>
          </w:tcPr>
          <w:p w:rsidR="006D7549" w:rsidRPr="006D7549" w:rsidRDefault="006D7549" w:rsidP="00AF4EC0">
            <w:pPr>
              <w:spacing w:before="60" w:after="60" w:line="360" w:lineRule="auto"/>
              <w:jc w:val="right"/>
              <w:rPr>
                <w:rFonts w:ascii="Times New Roman" w:hAnsi="Times New Roman" w:cs="Times New Roman"/>
                <w:sz w:val="24"/>
                <w:szCs w:val="24"/>
              </w:rPr>
            </w:pPr>
          </w:p>
        </w:tc>
        <w:tc>
          <w:tcPr>
            <w:tcW w:w="1170" w:type="dxa"/>
          </w:tcPr>
          <w:p w:rsidR="006D7549" w:rsidRPr="006D7549" w:rsidRDefault="006D7549" w:rsidP="00AF4EC0">
            <w:pPr>
              <w:spacing w:before="60" w:after="60" w:line="360" w:lineRule="auto"/>
              <w:jc w:val="right"/>
              <w:rPr>
                <w:rFonts w:ascii="Times New Roman" w:hAnsi="Times New Roman" w:cs="Times New Roman"/>
                <w:sz w:val="24"/>
                <w:szCs w:val="24"/>
              </w:rPr>
            </w:pPr>
          </w:p>
        </w:tc>
        <w:tc>
          <w:tcPr>
            <w:tcW w:w="1350" w:type="dxa"/>
          </w:tcPr>
          <w:p w:rsidR="006D7549" w:rsidRPr="006D7549" w:rsidRDefault="006D7549" w:rsidP="00AF4EC0">
            <w:pPr>
              <w:spacing w:before="60" w:after="60" w:line="360" w:lineRule="auto"/>
              <w:jc w:val="right"/>
              <w:rPr>
                <w:rFonts w:ascii="Times New Roman" w:hAnsi="Times New Roman" w:cs="Times New Roman"/>
                <w:sz w:val="24"/>
                <w:szCs w:val="24"/>
              </w:rPr>
            </w:pPr>
          </w:p>
        </w:tc>
        <w:tc>
          <w:tcPr>
            <w:tcW w:w="1260" w:type="dxa"/>
          </w:tcPr>
          <w:p w:rsidR="006D7549" w:rsidRPr="006D7549" w:rsidRDefault="006D7549" w:rsidP="00AF4EC0">
            <w:pPr>
              <w:spacing w:before="60" w:after="60" w:line="360" w:lineRule="auto"/>
              <w:jc w:val="right"/>
              <w:rPr>
                <w:rFonts w:ascii="Times New Roman" w:hAnsi="Times New Roman" w:cs="Times New Roman"/>
                <w:sz w:val="24"/>
                <w:szCs w:val="24"/>
              </w:rPr>
            </w:pPr>
          </w:p>
        </w:tc>
        <w:tc>
          <w:tcPr>
            <w:tcW w:w="1350" w:type="dxa"/>
          </w:tcPr>
          <w:p w:rsidR="006D7549" w:rsidRPr="006D7549" w:rsidRDefault="006D7549" w:rsidP="00AF4EC0">
            <w:pPr>
              <w:spacing w:before="60" w:after="60" w:line="360" w:lineRule="auto"/>
              <w:jc w:val="right"/>
              <w:rPr>
                <w:rFonts w:ascii="Times New Roman" w:hAnsi="Times New Roman" w:cs="Times New Roman"/>
                <w:sz w:val="24"/>
                <w:szCs w:val="24"/>
              </w:rPr>
            </w:pPr>
          </w:p>
        </w:tc>
        <w:tc>
          <w:tcPr>
            <w:tcW w:w="1260" w:type="dxa"/>
          </w:tcPr>
          <w:p w:rsidR="006D7549" w:rsidRPr="006D7549" w:rsidRDefault="006D7549" w:rsidP="00AF4EC0">
            <w:pPr>
              <w:spacing w:before="60" w:after="60" w:line="360" w:lineRule="auto"/>
              <w:jc w:val="right"/>
              <w:rPr>
                <w:rFonts w:ascii="Times New Roman" w:hAnsi="Times New Roman" w:cs="Times New Roman"/>
                <w:sz w:val="24"/>
                <w:szCs w:val="24"/>
              </w:rPr>
            </w:pPr>
            <w:r w:rsidRPr="006D7549">
              <w:rPr>
                <w:rFonts w:ascii="Times New Roman" w:hAnsi="Times New Roman" w:cs="Times New Roman"/>
                <w:sz w:val="24"/>
                <w:szCs w:val="24"/>
              </w:rPr>
              <w:t>5.26</w:t>
            </w:r>
          </w:p>
        </w:tc>
        <w:tc>
          <w:tcPr>
            <w:tcW w:w="1080" w:type="dxa"/>
          </w:tcPr>
          <w:p w:rsidR="006D7549" w:rsidRPr="006D7549" w:rsidRDefault="006D7549" w:rsidP="00AF4EC0">
            <w:pPr>
              <w:spacing w:before="60" w:after="60" w:line="360" w:lineRule="auto"/>
              <w:jc w:val="right"/>
              <w:rPr>
                <w:rFonts w:ascii="Times New Roman" w:hAnsi="Times New Roman" w:cs="Times New Roman"/>
                <w:sz w:val="24"/>
                <w:szCs w:val="24"/>
              </w:rPr>
            </w:pPr>
            <w:r w:rsidRPr="006D7549">
              <w:rPr>
                <w:rFonts w:ascii="Times New Roman" w:hAnsi="Times New Roman" w:cs="Times New Roman"/>
                <w:sz w:val="24"/>
                <w:szCs w:val="24"/>
              </w:rPr>
              <w:t>5.00</w:t>
            </w:r>
          </w:p>
        </w:tc>
        <w:tc>
          <w:tcPr>
            <w:tcW w:w="1080" w:type="dxa"/>
          </w:tcPr>
          <w:p w:rsidR="006D7549" w:rsidRPr="006D7549" w:rsidRDefault="006D7549" w:rsidP="00AF4EC0">
            <w:pPr>
              <w:spacing w:before="60" w:after="60" w:line="360" w:lineRule="auto"/>
              <w:jc w:val="right"/>
              <w:rPr>
                <w:rFonts w:ascii="Times New Roman" w:hAnsi="Times New Roman" w:cs="Times New Roman"/>
                <w:sz w:val="24"/>
                <w:szCs w:val="24"/>
              </w:rPr>
            </w:pPr>
            <w:r w:rsidRPr="006D7549">
              <w:rPr>
                <w:rFonts w:ascii="Times New Roman" w:hAnsi="Times New Roman" w:cs="Times New Roman"/>
                <w:sz w:val="24"/>
                <w:szCs w:val="24"/>
              </w:rPr>
              <w:t>0.26</w:t>
            </w:r>
          </w:p>
        </w:tc>
      </w:tr>
      <w:tr w:rsidR="006D7549" w:rsidRPr="006D7549" w:rsidTr="00AF4EC0">
        <w:trPr>
          <w:jc w:val="center"/>
        </w:trPr>
        <w:tc>
          <w:tcPr>
            <w:tcW w:w="1279" w:type="dxa"/>
          </w:tcPr>
          <w:p w:rsidR="006D7549" w:rsidRPr="006D7549" w:rsidRDefault="006D7549" w:rsidP="00AF4EC0">
            <w:pPr>
              <w:spacing w:before="60" w:after="60" w:line="360" w:lineRule="auto"/>
              <w:rPr>
                <w:rFonts w:ascii="Times New Roman" w:hAnsi="Times New Roman" w:cs="Times New Roman"/>
                <w:b/>
                <w:sz w:val="24"/>
                <w:szCs w:val="24"/>
              </w:rPr>
            </w:pPr>
            <w:r w:rsidRPr="006D7549">
              <w:rPr>
                <w:rFonts w:ascii="Times New Roman" w:hAnsi="Times New Roman" w:cs="Times New Roman"/>
                <w:b/>
                <w:sz w:val="24"/>
                <w:szCs w:val="24"/>
              </w:rPr>
              <w:t>SHL</w:t>
            </w:r>
          </w:p>
        </w:tc>
        <w:tc>
          <w:tcPr>
            <w:tcW w:w="1056" w:type="dxa"/>
          </w:tcPr>
          <w:p w:rsidR="006D7549" w:rsidRPr="006D7549" w:rsidRDefault="006D7549" w:rsidP="00AF4EC0">
            <w:pPr>
              <w:spacing w:before="60" w:after="60" w:line="360" w:lineRule="auto"/>
              <w:jc w:val="right"/>
              <w:rPr>
                <w:rFonts w:ascii="Times New Roman" w:hAnsi="Times New Roman" w:cs="Times New Roman"/>
                <w:sz w:val="24"/>
                <w:szCs w:val="24"/>
              </w:rPr>
            </w:pPr>
          </w:p>
        </w:tc>
        <w:tc>
          <w:tcPr>
            <w:tcW w:w="1170" w:type="dxa"/>
          </w:tcPr>
          <w:p w:rsidR="006D7549" w:rsidRPr="006D7549" w:rsidRDefault="006D7549" w:rsidP="00AF4EC0">
            <w:pPr>
              <w:spacing w:before="60" w:after="60" w:line="360" w:lineRule="auto"/>
              <w:jc w:val="right"/>
              <w:rPr>
                <w:rFonts w:ascii="Times New Roman" w:hAnsi="Times New Roman" w:cs="Times New Roman"/>
                <w:sz w:val="24"/>
                <w:szCs w:val="24"/>
              </w:rPr>
            </w:pPr>
          </w:p>
        </w:tc>
        <w:tc>
          <w:tcPr>
            <w:tcW w:w="1350" w:type="dxa"/>
          </w:tcPr>
          <w:p w:rsidR="006D7549" w:rsidRPr="006D7549" w:rsidRDefault="006D7549" w:rsidP="00AF4EC0">
            <w:pPr>
              <w:spacing w:before="60" w:after="60" w:line="360" w:lineRule="auto"/>
              <w:jc w:val="right"/>
              <w:rPr>
                <w:rFonts w:ascii="Times New Roman" w:hAnsi="Times New Roman" w:cs="Times New Roman"/>
                <w:sz w:val="24"/>
                <w:szCs w:val="24"/>
              </w:rPr>
            </w:pPr>
            <w:r w:rsidRPr="006D7549">
              <w:rPr>
                <w:rFonts w:ascii="Times New Roman" w:hAnsi="Times New Roman" w:cs="Times New Roman"/>
                <w:sz w:val="24"/>
                <w:szCs w:val="24"/>
              </w:rPr>
              <w:t>5.00</w:t>
            </w:r>
          </w:p>
        </w:tc>
        <w:tc>
          <w:tcPr>
            <w:tcW w:w="1260" w:type="dxa"/>
          </w:tcPr>
          <w:p w:rsidR="006D7549" w:rsidRPr="006D7549" w:rsidRDefault="006D7549" w:rsidP="00AF4EC0">
            <w:pPr>
              <w:spacing w:before="60" w:after="60" w:line="360" w:lineRule="auto"/>
              <w:jc w:val="right"/>
              <w:rPr>
                <w:rFonts w:ascii="Times New Roman" w:hAnsi="Times New Roman" w:cs="Times New Roman"/>
                <w:sz w:val="24"/>
                <w:szCs w:val="24"/>
              </w:rPr>
            </w:pPr>
            <w:r w:rsidRPr="006D7549">
              <w:rPr>
                <w:rFonts w:ascii="Times New Roman" w:hAnsi="Times New Roman" w:cs="Times New Roman"/>
                <w:sz w:val="24"/>
                <w:szCs w:val="24"/>
              </w:rPr>
              <w:t>21.32</w:t>
            </w:r>
          </w:p>
        </w:tc>
        <w:tc>
          <w:tcPr>
            <w:tcW w:w="1350" w:type="dxa"/>
          </w:tcPr>
          <w:p w:rsidR="006D7549" w:rsidRPr="006D7549" w:rsidRDefault="006D7549" w:rsidP="00AF4EC0">
            <w:pPr>
              <w:spacing w:before="60" w:after="60" w:line="360" w:lineRule="auto"/>
              <w:jc w:val="right"/>
              <w:rPr>
                <w:rFonts w:ascii="Times New Roman" w:hAnsi="Times New Roman" w:cs="Times New Roman"/>
                <w:sz w:val="24"/>
                <w:szCs w:val="24"/>
              </w:rPr>
            </w:pPr>
            <w:r w:rsidRPr="006D7549">
              <w:rPr>
                <w:rFonts w:ascii="Times New Roman" w:hAnsi="Times New Roman" w:cs="Times New Roman"/>
                <w:sz w:val="24"/>
                <w:szCs w:val="24"/>
              </w:rPr>
              <w:t>5.00</w:t>
            </w:r>
          </w:p>
        </w:tc>
        <w:tc>
          <w:tcPr>
            <w:tcW w:w="1260" w:type="dxa"/>
          </w:tcPr>
          <w:p w:rsidR="006D7549" w:rsidRPr="006D7549" w:rsidRDefault="006D7549" w:rsidP="00AF4EC0">
            <w:pPr>
              <w:spacing w:before="60" w:after="60" w:line="360" w:lineRule="auto"/>
              <w:jc w:val="right"/>
              <w:rPr>
                <w:rFonts w:ascii="Times New Roman" w:hAnsi="Times New Roman" w:cs="Times New Roman"/>
                <w:sz w:val="24"/>
                <w:szCs w:val="24"/>
              </w:rPr>
            </w:pPr>
            <w:r w:rsidRPr="006D7549">
              <w:rPr>
                <w:rFonts w:ascii="Times New Roman" w:hAnsi="Times New Roman" w:cs="Times New Roman"/>
                <w:sz w:val="24"/>
                <w:szCs w:val="24"/>
              </w:rPr>
              <w:t>26.58</w:t>
            </w:r>
          </w:p>
        </w:tc>
        <w:tc>
          <w:tcPr>
            <w:tcW w:w="1080" w:type="dxa"/>
          </w:tcPr>
          <w:p w:rsidR="006D7549" w:rsidRPr="006D7549" w:rsidRDefault="006D7549" w:rsidP="00AF4EC0">
            <w:pPr>
              <w:spacing w:before="60" w:after="60" w:line="360" w:lineRule="auto"/>
              <w:jc w:val="right"/>
              <w:rPr>
                <w:rFonts w:ascii="Times New Roman" w:hAnsi="Times New Roman" w:cs="Times New Roman"/>
                <w:sz w:val="24"/>
                <w:szCs w:val="24"/>
              </w:rPr>
            </w:pPr>
            <w:r w:rsidRPr="006D7549">
              <w:rPr>
                <w:rFonts w:ascii="Times New Roman" w:hAnsi="Times New Roman" w:cs="Times New Roman"/>
                <w:sz w:val="24"/>
                <w:szCs w:val="24"/>
              </w:rPr>
              <w:t>10.00</w:t>
            </w:r>
          </w:p>
        </w:tc>
        <w:tc>
          <w:tcPr>
            <w:tcW w:w="1080" w:type="dxa"/>
          </w:tcPr>
          <w:p w:rsidR="006D7549" w:rsidRPr="006D7549" w:rsidRDefault="006D7549" w:rsidP="00AF4EC0">
            <w:pPr>
              <w:spacing w:before="60" w:after="60" w:line="360" w:lineRule="auto"/>
              <w:jc w:val="right"/>
              <w:rPr>
                <w:rFonts w:ascii="Times New Roman" w:hAnsi="Times New Roman" w:cs="Times New Roman"/>
                <w:sz w:val="24"/>
                <w:szCs w:val="24"/>
              </w:rPr>
            </w:pPr>
            <w:r w:rsidRPr="006D7549">
              <w:rPr>
                <w:rFonts w:ascii="Times New Roman" w:hAnsi="Times New Roman" w:cs="Times New Roman"/>
                <w:sz w:val="24"/>
                <w:szCs w:val="24"/>
              </w:rPr>
              <w:t>26.84</w:t>
            </w:r>
          </w:p>
        </w:tc>
      </w:tr>
      <w:tr w:rsidR="006D7549" w:rsidRPr="006D7549" w:rsidTr="00AF4EC0">
        <w:trPr>
          <w:jc w:val="center"/>
        </w:trPr>
        <w:tc>
          <w:tcPr>
            <w:tcW w:w="1279" w:type="dxa"/>
          </w:tcPr>
          <w:p w:rsidR="006D7549" w:rsidRPr="006D7549" w:rsidRDefault="006D7549" w:rsidP="00AF4EC0">
            <w:pPr>
              <w:spacing w:before="60" w:after="60" w:line="360" w:lineRule="auto"/>
              <w:rPr>
                <w:rFonts w:ascii="Times New Roman" w:hAnsi="Times New Roman" w:cs="Times New Roman"/>
                <w:b/>
                <w:sz w:val="24"/>
                <w:szCs w:val="24"/>
              </w:rPr>
            </w:pPr>
            <w:r w:rsidRPr="006D7549">
              <w:rPr>
                <w:rFonts w:ascii="Times New Roman" w:hAnsi="Times New Roman" w:cs="Times New Roman"/>
                <w:b/>
                <w:sz w:val="24"/>
                <w:szCs w:val="24"/>
              </w:rPr>
              <w:t>TRH</w:t>
            </w:r>
          </w:p>
        </w:tc>
        <w:tc>
          <w:tcPr>
            <w:tcW w:w="1056" w:type="dxa"/>
          </w:tcPr>
          <w:p w:rsidR="006D7549" w:rsidRPr="006D7549" w:rsidRDefault="006D7549" w:rsidP="00AF4EC0">
            <w:pPr>
              <w:spacing w:before="60" w:after="60" w:line="360" w:lineRule="auto"/>
              <w:jc w:val="right"/>
              <w:rPr>
                <w:rFonts w:ascii="Times New Roman" w:hAnsi="Times New Roman" w:cs="Times New Roman"/>
                <w:sz w:val="24"/>
                <w:szCs w:val="24"/>
              </w:rPr>
            </w:pPr>
          </w:p>
        </w:tc>
        <w:tc>
          <w:tcPr>
            <w:tcW w:w="1170" w:type="dxa"/>
          </w:tcPr>
          <w:p w:rsidR="006D7549" w:rsidRPr="006D7549" w:rsidRDefault="006D7549" w:rsidP="00AF4EC0">
            <w:pPr>
              <w:spacing w:before="60" w:after="60" w:line="360" w:lineRule="auto"/>
              <w:jc w:val="right"/>
              <w:rPr>
                <w:rFonts w:ascii="Times New Roman" w:hAnsi="Times New Roman" w:cs="Times New Roman"/>
                <w:sz w:val="24"/>
                <w:szCs w:val="24"/>
              </w:rPr>
            </w:pPr>
          </w:p>
        </w:tc>
        <w:tc>
          <w:tcPr>
            <w:tcW w:w="1350" w:type="dxa"/>
          </w:tcPr>
          <w:p w:rsidR="006D7549" w:rsidRPr="006D7549" w:rsidRDefault="006D7549" w:rsidP="00AF4EC0">
            <w:pPr>
              <w:spacing w:before="60" w:after="60" w:line="360" w:lineRule="auto"/>
              <w:jc w:val="right"/>
              <w:rPr>
                <w:rFonts w:ascii="Times New Roman" w:hAnsi="Times New Roman" w:cs="Times New Roman"/>
                <w:sz w:val="24"/>
                <w:szCs w:val="24"/>
              </w:rPr>
            </w:pPr>
            <w:r w:rsidRPr="006D7549">
              <w:rPr>
                <w:rFonts w:ascii="Times New Roman" w:hAnsi="Times New Roman" w:cs="Times New Roman"/>
                <w:sz w:val="24"/>
                <w:szCs w:val="24"/>
              </w:rPr>
              <w:t>-</w:t>
            </w:r>
          </w:p>
        </w:tc>
        <w:tc>
          <w:tcPr>
            <w:tcW w:w="1260" w:type="dxa"/>
          </w:tcPr>
          <w:p w:rsidR="006D7549" w:rsidRPr="006D7549" w:rsidRDefault="006D7549" w:rsidP="00AF4EC0">
            <w:pPr>
              <w:spacing w:before="60" w:after="60" w:line="360" w:lineRule="auto"/>
              <w:jc w:val="right"/>
              <w:rPr>
                <w:rFonts w:ascii="Times New Roman" w:hAnsi="Times New Roman" w:cs="Times New Roman"/>
                <w:sz w:val="24"/>
                <w:szCs w:val="24"/>
              </w:rPr>
            </w:pPr>
            <w:r w:rsidRPr="006D7549">
              <w:rPr>
                <w:rFonts w:ascii="Times New Roman" w:hAnsi="Times New Roman" w:cs="Times New Roman"/>
                <w:sz w:val="24"/>
                <w:szCs w:val="24"/>
              </w:rPr>
              <w:t>8.42</w:t>
            </w:r>
          </w:p>
        </w:tc>
        <w:tc>
          <w:tcPr>
            <w:tcW w:w="1350" w:type="dxa"/>
          </w:tcPr>
          <w:p w:rsidR="006D7549" w:rsidRPr="006D7549" w:rsidRDefault="006D7549" w:rsidP="00AF4EC0">
            <w:pPr>
              <w:spacing w:before="60" w:after="60" w:line="360" w:lineRule="auto"/>
              <w:jc w:val="right"/>
              <w:rPr>
                <w:rFonts w:ascii="Times New Roman" w:hAnsi="Times New Roman" w:cs="Times New Roman"/>
                <w:sz w:val="24"/>
                <w:szCs w:val="24"/>
              </w:rPr>
            </w:pPr>
            <w:r w:rsidRPr="006D7549">
              <w:rPr>
                <w:rFonts w:ascii="Times New Roman" w:hAnsi="Times New Roman" w:cs="Times New Roman"/>
                <w:sz w:val="24"/>
                <w:szCs w:val="24"/>
              </w:rPr>
              <w:t>4.00</w:t>
            </w:r>
          </w:p>
        </w:tc>
        <w:tc>
          <w:tcPr>
            <w:tcW w:w="1260" w:type="dxa"/>
          </w:tcPr>
          <w:p w:rsidR="006D7549" w:rsidRPr="006D7549" w:rsidRDefault="006D7549" w:rsidP="00AF4EC0">
            <w:pPr>
              <w:spacing w:before="60" w:after="60" w:line="360" w:lineRule="auto"/>
              <w:jc w:val="right"/>
              <w:rPr>
                <w:rFonts w:ascii="Times New Roman" w:hAnsi="Times New Roman" w:cs="Times New Roman"/>
                <w:sz w:val="24"/>
                <w:szCs w:val="24"/>
              </w:rPr>
            </w:pPr>
            <w:r w:rsidRPr="006D7549">
              <w:rPr>
                <w:rFonts w:ascii="Times New Roman" w:hAnsi="Times New Roman" w:cs="Times New Roman"/>
                <w:sz w:val="24"/>
                <w:szCs w:val="24"/>
              </w:rPr>
              <w:t>11.00</w:t>
            </w:r>
          </w:p>
        </w:tc>
        <w:tc>
          <w:tcPr>
            <w:tcW w:w="1080" w:type="dxa"/>
          </w:tcPr>
          <w:p w:rsidR="006D7549" w:rsidRPr="006D7549" w:rsidRDefault="006D7549" w:rsidP="00AF4EC0">
            <w:pPr>
              <w:spacing w:before="60" w:after="60" w:line="360" w:lineRule="auto"/>
              <w:jc w:val="right"/>
              <w:rPr>
                <w:rFonts w:ascii="Times New Roman" w:hAnsi="Times New Roman" w:cs="Times New Roman"/>
                <w:sz w:val="24"/>
                <w:szCs w:val="24"/>
              </w:rPr>
            </w:pPr>
            <w:r w:rsidRPr="006D7549">
              <w:rPr>
                <w:rFonts w:ascii="Times New Roman" w:hAnsi="Times New Roman" w:cs="Times New Roman"/>
                <w:sz w:val="24"/>
                <w:szCs w:val="24"/>
              </w:rPr>
              <w:t>-</w:t>
            </w:r>
          </w:p>
        </w:tc>
        <w:tc>
          <w:tcPr>
            <w:tcW w:w="1080" w:type="dxa"/>
          </w:tcPr>
          <w:p w:rsidR="006D7549" w:rsidRPr="006D7549" w:rsidRDefault="006D7549" w:rsidP="00AF4EC0">
            <w:pPr>
              <w:spacing w:before="60" w:after="60" w:line="360" w:lineRule="auto"/>
              <w:jc w:val="right"/>
              <w:rPr>
                <w:rFonts w:ascii="Times New Roman" w:hAnsi="Times New Roman" w:cs="Times New Roman"/>
                <w:sz w:val="24"/>
                <w:szCs w:val="24"/>
              </w:rPr>
            </w:pPr>
            <w:r w:rsidRPr="006D7549">
              <w:rPr>
                <w:rFonts w:ascii="Times New Roman" w:hAnsi="Times New Roman" w:cs="Times New Roman"/>
                <w:sz w:val="24"/>
                <w:szCs w:val="24"/>
              </w:rPr>
              <w:t>11.00</w:t>
            </w:r>
          </w:p>
        </w:tc>
      </w:tr>
    </w:tbl>
    <w:p w:rsidR="006D7549" w:rsidRPr="006D7549" w:rsidRDefault="006D7549" w:rsidP="00AF4EC0">
      <w:pPr>
        <w:spacing w:line="360" w:lineRule="auto"/>
        <w:rPr>
          <w:rFonts w:ascii="Times New Roman" w:hAnsi="Times New Roman" w:cs="Times New Roman"/>
          <w:sz w:val="24"/>
          <w:szCs w:val="24"/>
          <w:highlight w:val="yellow"/>
        </w:rPr>
      </w:pPr>
    </w:p>
    <w:p w:rsidR="006D7549" w:rsidRPr="006D7549" w:rsidRDefault="006D7549" w:rsidP="00AF4EC0">
      <w:pPr>
        <w:pStyle w:val="NormalWeb"/>
        <w:numPr>
          <w:ilvl w:val="0"/>
          <w:numId w:val="4"/>
        </w:numPr>
        <w:spacing w:before="0" w:beforeAutospacing="0" w:after="0" w:afterAutospacing="0" w:line="360" w:lineRule="auto"/>
      </w:pPr>
      <w:r w:rsidRPr="006D7549">
        <w:rPr>
          <w:color w:val="000000"/>
        </w:rPr>
        <w:t>SHL has consistently provided attractive dividends with a mix of bonus and cash distributions, reflecting a shareholder-friendly policy.</w:t>
      </w:r>
    </w:p>
    <w:p w:rsidR="006D7549" w:rsidRPr="006D7549" w:rsidRDefault="006D7549" w:rsidP="00AF4EC0">
      <w:pPr>
        <w:pStyle w:val="NormalWeb"/>
        <w:numPr>
          <w:ilvl w:val="0"/>
          <w:numId w:val="4"/>
        </w:numPr>
        <w:spacing w:before="0" w:beforeAutospacing="0" w:after="0" w:afterAutospacing="0" w:line="360" w:lineRule="auto"/>
      </w:pPr>
      <w:r w:rsidRPr="006D7549">
        <w:rPr>
          <w:color w:val="000000"/>
        </w:rPr>
        <w:t>TRH and OHL also have a history of paying dividends, although more modest compared to SHL.</w:t>
      </w:r>
    </w:p>
    <w:p w:rsidR="006D7549" w:rsidRPr="006D7549" w:rsidRDefault="006D7549" w:rsidP="00AF4EC0">
      <w:pPr>
        <w:spacing w:line="360" w:lineRule="auto"/>
        <w:rPr>
          <w:rFonts w:ascii="Times New Roman" w:hAnsi="Times New Roman" w:cs="Times New Roman"/>
          <w:sz w:val="24"/>
          <w:szCs w:val="24"/>
          <w:highlight w:val="yellow"/>
        </w:rPr>
      </w:pPr>
    </w:p>
    <w:p w:rsidR="006D7549" w:rsidRPr="00AF4EC0" w:rsidRDefault="006D7549" w:rsidP="00AF4EC0">
      <w:pPr>
        <w:pStyle w:val="Heading2"/>
        <w:spacing w:line="360" w:lineRule="auto"/>
        <w:rPr>
          <w:highlight w:val="yellow"/>
        </w:rPr>
      </w:pPr>
      <w:bookmarkStart w:id="23" w:name="_Toc204788950"/>
      <w:r w:rsidRPr="006D7549">
        <w:t>Risk Management Metrics</w:t>
      </w:r>
      <w:bookmarkEnd w:id="23"/>
    </w:p>
    <w:tbl>
      <w:tblPr>
        <w:tblStyle w:val="TableGridLight"/>
        <w:tblW w:w="0" w:type="auto"/>
        <w:tblLook w:val="04A0" w:firstRow="1" w:lastRow="0" w:firstColumn="1" w:lastColumn="0" w:noHBand="0" w:noVBand="1"/>
      </w:tblPr>
      <w:tblGrid>
        <w:gridCol w:w="1609"/>
        <w:gridCol w:w="1570"/>
        <w:gridCol w:w="1492"/>
        <w:gridCol w:w="1553"/>
        <w:gridCol w:w="1563"/>
        <w:gridCol w:w="1563"/>
      </w:tblGrid>
      <w:tr w:rsidR="006D7549" w:rsidRPr="006D7549" w:rsidTr="00610E9D">
        <w:tc>
          <w:tcPr>
            <w:tcW w:w="2160" w:type="dxa"/>
            <w:vAlign w:val="center"/>
          </w:tcPr>
          <w:p w:rsidR="006D7549" w:rsidRPr="006D7549" w:rsidRDefault="006D7549" w:rsidP="00AF4EC0">
            <w:pPr>
              <w:spacing w:line="360" w:lineRule="auto"/>
              <w:jc w:val="center"/>
              <w:rPr>
                <w:rFonts w:ascii="Times New Roman" w:hAnsi="Times New Roman" w:cs="Times New Roman"/>
                <w:b/>
                <w:sz w:val="24"/>
                <w:szCs w:val="24"/>
              </w:rPr>
            </w:pPr>
            <w:r w:rsidRPr="006D7549">
              <w:rPr>
                <w:rFonts w:ascii="Times New Roman" w:hAnsi="Times New Roman" w:cs="Times New Roman"/>
                <w:b/>
                <w:sz w:val="24"/>
                <w:szCs w:val="24"/>
              </w:rPr>
              <w:t>SCRIPS</w:t>
            </w:r>
          </w:p>
        </w:tc>
        <w:tc>
          <w:tcPr>
            <w:tcW w:w="2160" w:type="dxa"/>
            <w:vAlign w:val="center"/>
          </w:tcPr>
          <w:p w:rsidR="006D7549" w:rsidRPr="006D7549" w:rsidRDefault="006D7549" w:rsidP="00AF4EC0">
            <w:pPr>
              <w:spacing w:line="360" w:lineRule="auto"/>
              <w:jc w:val="center"/>
              <w:rPr>
                <w:rFonts w:ascii="Times New Roman" w:hAnsi="Times New Roman" w:cs="Times New Roman"/>
                <w:b/>
                <w:sz w:val="24"/>
                <w:szCs w:val="24"/>
              </w:rPr>
            </w:pPr>
            <w:r w:rsidRPr="006D7549">
              <w:rPr>
                <w:rFonts w:ascii="Times New Roman" w:hAnsi="Times New Roman" w:cs="Times New Roman"/>
                <w:b/>
                <w:sz w:val="24"/>
                <w:szCs w:val="24"/>
              </w:rPr>
              <w:t>Beta Weekly</w:t>
            </w:r>
          </w:p>
        </w:tc>
        <w:tc>
          <w:tcPr>
            <w:tcW w:w="2160" w:type="dxa"/>
            <w:vAlign w:val="center"/>
          </w:tcPr>
          <w:p w:rsidR="006D7549" w:rsidRPr="006D7549" w:rsidRDefault="006D7549" w:rsidP="00AF4EC0">
            <w:pPr>
              <w:spacing w:line="360" w:lineRule="auto"/>
              <w:jc w:val="center"/>
              <w:rPr>
                <w:rFonts w:ascii="Times New Roman" w:hAnsi="Times New Roman" w:cs="Times New Roman"/>
                <w:b/>
                <w:sz w:val="24"/>
                <w:szCs w:val="24"/>
              </w:rPr>
            </w:pPr>
            <w:r w:rsidRPr="006D7549">
              <w:rPr>
                <w:rFonts w:ascii="Times New Roman" w:hAnsi="Times New Roman" w:cs="Times New Roman"/>
                <w:b/>
                <w:sz w:val="24"/>
                <w:szCs w:val="24"/>
              </w:rPr>
              <w:t>VaR 1 Week @5%</w:t>
            </w:r>
          </w:p>
        </w:tc>
        <w:tc>
          <w:tcPr>
            <w:tcW w:w="2160" w:type="dxa"/>
            <w:vAlign w:val="center"/>
          </w:tcPr>
          <w:p w:rsidR="006D7549" w:rsidRPr="006D7549" w:rsidRDefault="006D7549" w:rsidP="00AF4EC0">
            <w:pPr>
              <w:spacing w:line="360" w:lineRule="auto"/>
              <w:jc w:val="center"/>
              <w:rPr>
                <w:rFonts w:ascii="Times New Roman" w:hAnsi="Times New Roman" w:cs="Times New Roman"/>
                <w:b/>
                <w:sz w:val="24"/>
                <w:szCs w:val="24"/>
              </w:rPr>
            </w:pPr>
            <w:r w:rsidRPr="006D7549">
              <w:rPr>
                <w:rFonts w:ascii="Times New Roman" w:hAnsi="Times New Roman" w:cs="Times New Roman"/>
                <w:b/>
                <w:sz w:val="24"/>
                <w:szCs w:val="24"/>
              </w:rPr>
              <w:t>VaR 1 Month @5%</w:t>
            </w:r>
          </w:p>
        </w:tc>
        <w:tc>
          <w:tcPr>
            <w:tcW w:w="2160" w:type="dxa"/>
            <w:vAlign w:val="center"/>
          </w:tcPr>
          <w:p w:rsidR="006D7549" w:rsidRPr="006D7549" w:rsidRDefault="006D7549" w:rsidP="00AF4EC0">
            <w:pPr>
              <w:spacing w:line="360" w:lineRule="auto"/>
              <w:jc w:val="center"/>
              <w:rPr>
                <w:rFonts w:ascii="Times New Roman" w:hAnsi="Times New Roman" w:cs="Times New Roman"/>
                <w:b/>
                <w:sz w:val="24"/>
                <w:szCs w:val="24"/>
              </w:rPr>
            </w:pPr>
            <w:r w:rsidRPr="006D7549">
              <w:rPr>
                <w:rFonts w:ascii="Times New Roman" w:hAnsi="Times New Roman" w:cs="Times New Roman"/>
                <w:b/>
                <w:sz w:val="24"/>
                <w:szCs w:val="24"/>
              </w:rPr>
              <w:t>S.D. of returns [w,1</w:t>
            </w:r>
            <w:r w:rsidR="00AF4EC0" w:rsidRPr="006D7549">
              <w:rPr>
                <w:rFonts w:ascii="Times New Roman" w:hAnsi="Times New Roman" w:cs="Times New Roman"/>
                <w:b/>
                <w:sz w:val="24"/>
                <w:szCs w:val="24"/>
              </w:rPr>
              <w:t>Y] %</w:t>
            </w:r>
          </w:p>
        </w:tc>
        <w:tc>
          <w:tcPr>
            <w:tcW w:w="2160" w:type="dxa"/>
            <w:vAlign w:val="center"/>
          </w:tcPr>
          <w:p w:rsidR="006D7549" w:rsidRPr="006D7549" w:rsidRDefault="006D7549" w:rsidP="00AF4EC0">
            <w:pPr>
              <w:spacing w:line="360" w:lineRule="auto"/>
              <w:jc w:val="center"/>
              <w:rPr>
                <w:rFonts w:ascii="Times New Roman" w:hAnsi="Times New Roman" w:cs="Times New Roman"/>
                <w:b/>
                <w:sz w:val="24"/>
                <w:szCs w:val="24"/>
              </w:rPr>
            </w:pPr>
            <w:r w:rsidRPr="006D7549">
              <w:rPr>
                <w:rFonts w:ascii="Times New Roman" w:hAnsi="Times New Roman" w:cs="Times New Roman"/>
                <w:b/>
                <w:sz w:val="24"/>
                <w:szCs w:val="24"/>
              </w:rPr>
              <w:t>Mean returns [w,1</w:t>
            </w:r>
            <w:r w:rsidR="00AF4EC0" w:rsidRPr="006D7549">
              <w:rPr>
                <w:rFonts w:ascii="Times New Roman" w:hAnsi="Times New Roman" w:cs="Times New Roman"/>
                <w:b/>
                <w:sz w:val="24"/>
                <w:szCs w:val="24"/>
              </w:rPr>
              <w:t>Y] %</w:t>
            </w:r>
          </w:p>
        </w:tc>
      </w:tr>
      <w:tr w:rsidR="006D7549" w:rsidRPr="006D7549" w:rsidTr="00610E9D">
        <w:tc>
          <w:tcPr>
            <w:tcW w:w="2160" w:type="dxa"/>
            <w:vAlign w:val="center"/>
          </w:tcPr>
          <w:p w:rsidR="006D7549" w:rsidRPr="006D7549" w:rsidRDefault="006D7549" w:rsidP="00AF4EC0">
            <w:pPr>
              <w:spacing w:line="360" w:lineRule="auto"/>
              <w:jc w:val="center"/>
              <w:rPr>
                <w:rFonts w:ascii="Times New Roman" w:hAnsi="Times New Roman" w:cs="Times New Roman"/>
                <w:b/>
                <w:sz w:val="24"/>
                <w:szCs w:val="24"/>
              </w:rPr>
            </w:pPr>
            <w:r w:rsidRPr="006D7549">
              <w:rPr>
                <w:rFonts w:ascii="Times New Roman" w:hAnsi="Times New Roman" w:cs="Times New Roman"/>
                <w:b/>
                <w:sz w:val="24"/>
                <w:szCs w:val="24"/>
              </w:rPr>
              <w:t>SHL</w:t>
            </w:r>
          </w:p>
        </w:tc>
        <w:tc>
          <w:tcPr>
            <w:tcW w:w="2160" w:type="dxa"/>
            <w:vAlign w:val="center"/>
          </w:tcPr>
          <w:p w:rsidR="006D7549" w:rsidRPr="006D7549" w:rsidRDefault="006D7549" w:rsidP="00AF4EC0">
            <w:pPr>
              <w:spacing w:line="360" w:lineRule="auto"/>
              <w:jc w:val="center"/>
              <w:rPr>
                <w:rFonts w:ascii="Times New Roman" w:hAnsi="Times New Roman" w:cs="Times New Roman"/>
                <w:sz w:val="24"/>
                <w:szCs w:val="24"/>
              </w:rPr>
            </w:pPr>
            <w:r w:rsidRPr="006D7549">
              <w:rPr>
                <w:rFonts w:ascii="Times New Roman" w:hAnsi="Times New Roman" w:cs="Times New Roman"/>
                <w:sz w:val="24"/>
                <w:szCs w:val="24"/>
              </w:rPr>
              <w:t>0.86</w:t>
            </w:r>
          </w:p>
        </w:tc>
        <w:tc>
          <w:tcPr>
            <w:tcW w:w="2160" w:type="dxa"/>
            <w:vAlign w:val="center"/>
          </w:tcPr>
          <w:p w:rsidR="006D7549" w:rsidRPr="006D7549" w:rsidRDefault="006D7549" w:rsidP="00AF4EC0">
            <w:pPr>
              <w:spacing w:line="360" w:lineRule="auto"/>
              <w:jc w:val="center"/>
              <w:rPr>
                <w:rFonts w:ascii="Times New Roman" w:hAnsi="Times New Roman" w:cs="Times New Roman"/>
                <w:sz w:val="24"/>
                <w:szCs w:val="24"/>
              </w:rPr>
            </w:pPr>
            <w:r w:rsidRPr="006D7549">
              <w:rPr>
                <w:rFonts w:ascii="Times New Roman" w:hAnsi="Times New Roman" w:cs="Times New Roman"/>
                <w:sz w:val="24"/>
                <w:szCs w:val="24"/>
              </w:rPr>
              <w:t>-1.85%</w:t>
            </w:r>
          </w:p>
        </w:tc>
        <w:tc>
          <w:tcPr>
            <w:tcW w:w="2160" w:type="dxa"/>
            <w:vAlign w:val="center"/>
          </w:tcPr>
          <w:p w:rsidR="006D7549" w:rsidRPr="006D7549" w:rsidRDefault="006D7549" w:rsidP="00AF4EC0">
            <w:pPr>
              <w:spacing w:line="360" w:lineRule="auto"/>
              <w:jc w:val="center"/>
              <w:rPr>
                <w:rFonts w:ascii="Times New Roman" w:hAnsi="Times New Roman" w:cs="Times New Roman"/>
                <w:sz w:val="24"/>
                <w:szCs w:val="24"/>
              </w:rPr>
            </w:pPr>
            <w:r w:rsidRPr="006D7549">
              <w:rPr>
                <w:rFonts w:ascii="Times New Roman" w:hAnsi="Times New Roman" w:cs="Times New Roman"/>
                <w:sz w:val="24"/>
                <w:szCs w:val="24"/>
              </w:rPr>
              <w:t>-13.11%</w:t>
            </w:r>
          </w:p>
        </w:tc>
        <w:tc>
          <w:tcPr>
            <w:tcW w:w="2160" w:type="dxa"/>
            <w:vAlign w:val="center"/>
          </w:tcPr>
          <w:p w:rsidR="006D7549" w:rsidRPr="006D7549" w:rsidRDefault="006D7549" w:rsidP="00AF4EC0">
            <w:pPr>
              <w:spacing w:line="360" w:lineRule="auto"/>
              <w:jc w:val="center"/>
              <w:rPr>
                <w:rFonts w:ascii="Times New Roman" w:hAnsi="Times New Roman" w:cs="Times New Roman"/>
                <w:sz w:val="24"/>
                <w:szCs w:val="24"/>
              </w:rPr>
            </w:pPr>
            <w:r w:rsidRPr="006D7549">
              <w:rPr>
                <w:rFonts w:ascii="Times New Roman" w:hAnsi="Times New Roman" w:cs="Times New Roman"/>
                <w:sz w:val="24"/>
                <w:szCs w:val="24"/>
              </w:rPr>
              <w:t>4.02%</w:t>
            </w:r>
          </w:p>
        </w:tc>
        <w:tc>
          <w:tcPr>
            <w:tcW w:w="2160" w:type="dxa"/>
            <w:vAlign w:val="center"/>
          </w:tcPr>
          <w:p w:rsidR="006D7549" w:rsidRPr="006D7549" w:rsidRDefault="006D7549" w:rsidP="00AF4EC0">
            <w:pPr>
              <w:spacing w:line="360" w:lineRule="auto"/>
              <w:jc w:val="center"/>
              <w:rPr>
                <w:rFonts w:ascii="Times New Roman" w:hAnsi="Times New Roman" w:cs="Times New Roman"/>
                <w:sz w:val="24"/>
                <w:szCs w:val="24"/>
              </w:rPr>
            </w:pPr>
            <w:r w:rsidRPr="006D7549">
              <w:rPr>
                <w:rFonts w:ascii="Times New Roman" w:hAnsi="Times New Roman" w:cs="Times New Roman"/>
                <w:sz w:val="24"/>
                <w:szCs w:val="24"/>
              </w:rPr>
              <w:t>0.60%</w:t>
            </w:r>
          </w:p>
        </w:tc>
      </w:tr>
      <w:tr w:rsidR="006D7549" w:rsidRPr="006D7549" w:rsidTr="00610E9D">
        <w:tc>
          <w:tcPr>
            <w:tcW w:w="2160" w:type="dxa"/>
            <w:vAlign w:val="center"/>
          </w:tcPr>
          <w:p w:rsidR="006D7549" w:rsidRPr="006D7549" w:rsidRDefault="006D7549" w:rsidP="00AF4EC0">
            <w:pPr>
              <w:spacing w:line="360" w:lineRule="auto"/>
              <w:jc w:val="center"/>
              <w:rPr>
                <w:rFonts w:ascii="Times New Roman" w:hAnsi="Times New Roman" w:cs="Times New Roman"/>
                <w:b/>
                <w:sz w:val="24"/>
                <w:szCs w:val="24"/>
              </w:rPr>
            </w:pPr>
            <w:r w:rsidRPr="006D7549">
              <w:rPr>
                <w:rFonts w:ascii="Times New Roman" w:hAnsi="Times New Roman" w:cs="Times New Roman"/>
                <w:b/>
                <w:sz w:val="24"/>
                <w:szCs w:val="24"/>
              </w:rPr>
              <w:t>TRH</w:t>
            </w:r>
          </w:p>
        </w:tc>
        <w:tc>
          <w:tcPr>
            <w:tcW w:w="2160" w:type="dxa"/>
            <w:vAlign w:val="center"/>
          </w:tcPr>
          <w:p w:rsidR="006D7549" w:rsidRPr="006D7549" w:rsidRDefault="006D7549" w:rsidP="00AF4EC0">
            <w:pPr>
              <w:spacing w:line="360" w:lineRule="auto"/>
              <w:jc w:val="center"/>
              <w:rPr>
                <w:rFonts w:ascii="Times New Roman" w:hAnsi="Times New Roman" w:cs="Times New Roman"/>
                <w:sz w:val="24"/>
                <w:szCs w:val="24"/>
              </w:rPr>
            </w:pPr>
            <w:r w:rsidRPr="006D7549">
              <w:rPr>
                <w:rFonts w:ascii="Times New Roman" w:hAnsi="Times New Roman" w:cs="Times New Roman"/>
                <w:sz w:val="24"/>
                <w:szCs w:val="24"/>
              </w:rPr>
              <w:t>0.95</w:t>
            </w:r>
          </w:p>
        </w:tc>
        <w:tc>
          <w:tcPr>
            <w:tcW w:w="2160" w:type="dxa"/>
            <w:vAlign w:val="center"/>
          </w:tcPr>
          <w:p w:rsidR="006D7549" w:rsidRPr="006D7549" w:rsidRDefault="006D7549" w:rsidP="00AF4EC0">
            <w:pPr>
              <w:spacing w:line="360" w:lineRule="auto"/>
              <w:jc w:val="center"/>
              <w:rPr>
                <w:rFonts w:ascii="Times New Roman" w:hAnsi="Times New Roman" w:cs="Times New Roman"/>
                <w:sz w:val="24"/>
                <w:szCs w:val="24"/>
              </w:rPr>
            </w:pPr>
            <w:r w:rsidRPr="006D7549">
              <w:rPr>
                <w:rFonts w:ascii="Times New Roman" w:hAnsi="Times New Roman" w:cs="Times New Roman"/>
                <w:sz w:val="24"/>
                <w:szCs w:val="24"/>
              </w:rPr>
              <w:t>-2.26%</w:t>
            </w:r>
          </w:p>
        </w:tc>
        <w:tc>
          <w:tcPr>
            <w:tcW w:w="2160" w:type="dxa"/>
            <w:vAlign w:val="center"/>
          </w:tcPr>
          <w:p w:rsidR="006D7549" w:rsidRPr="006D7549" w:rsidRDefault="006D7549" w:rsidP="00AF4EC0">
            <w:pPr>
              <w:spacing w:line="360" w:lineRule="auto"/>
              <w:jc w:val="center"/>
              <w:rPr>
                <w:rFonts w:ascii="Times New Roman" w:hAnsi="Times New Roman" w:cs="Times New Roman"/>
                <w:sz w:val="24"/>
                <w:szCs w:val="24"/>
              </w:rPr>
            </w:pPr>
            <w:r w:rsidRPr="006D7549">
              <w:rPr>
                <w:rFonts w:ascii="Times New Roman" w:hAnsi="Times New Roman" w:cs="Times New Roman"/>
                <w:sz w:val="24"/>
                <w:szCs w:val="24"/>
              </w:rPr>
              <w:t>-12.73%</w:t>
            </w:r>
          </w:p>
        </w:tc>
        <w:tc>
          <w:tcPr>
            <w:tcW w:w="2160" w:type="dxa"/>
            <w:vAlign w:val="center"/>
          </w:tcPr>
          <w:p w:rsidR="006D7549" w:rsidRPr="006D7549" w:rsidRDefault="006D7549" w:rsidP="00AF4EC0">
            <w:pPr>
              <w:spacing w:line="360" w:lineRule="auto"/>
              <w:jc w:val="center"/>
              <w:rPr>
                <w:rFonts w:ascii="Times New Roman" w:hAnsi="Times New Roman" w:cs="Times New Roman"/>
                <w:sz w:val="24"/>
                <w:szCs w:val="24"/>
              </w:rPr>
            </w:pPr>
            <w:r w:rsidRPr="006D7549">
              <w:rPr>
                <w:rFonts w:ascii="Times New Roman" w:hAnsi="Times New Roman" w:cs="Times New Roman"/>
                <w:sz w:val="24"/>
                <w:szCs w:val="24"/>
              </w:rPr>
              <w:t>5.27%</w:t>
            </w:r>
          </w:p>
        </w:tc>
        <w:tc>
          <w:tcPr>
            <w:tcW w:w="2160" w:type="dxa"/>
            <w:vAlign w:val="center"/>
          </w:tcPr>
          <w:p w:rsidR="006D7549" w:rsidRPr="006D7549" w:rsidRDefault="006D7549" w:rsidP="00AF4EC0">
            <w:pPr>
              <w:spacing w:line="360" w:lineRule="auto"/>
              <w:jc w:val="center"/>
              <w:rPr>
                <w:rFonts w:ascii="Times New Roman" w:hAnsi="Times New Roman" w:cs="Times New Roman"/>
                <w:sz w:val="24"/>
                <w:szCs w:val="24"/>
              </w:rPr>
            </w:pPr>
            <w:r w:rsidRPr="006D7549">
              <w:rPr>
                <w:rFonts w:ascii="Times New Roman" w:hAnsi="Times New Roman" w:cs="Times New Roman"/>
                <w:sz w:val="24"/>
                <w:szCs w:val="24"/>
              </w:rPr>
              <w:t>0.42%</w:t>
            </w:r>
          </w:p>
        </w:tc>
      </w:tr>
      <w:tr w:rsidR="006D7549" w:rsidRPr="006D7549" w:rsidTr="00610E9D">
        <w:tc>
          <w:tcPr>
            <w:tcW w:w="2160" w:type="dxa"/>
            <w:vAlign w:val="center"/>
          </w:tcPr>
          <w:p w:rsidR="006D7549" w:rsidRPr="006D7549" w:rsidRDefault="006D7549" w:rsidP="00AF4EC0">
            <w:pPr>
              <w:spacing w:line="360" w:lineRule="auto"/>
              <w:jc w:val="center"/>
              <w:rPr>
                <w:rFonts w:ascii="Times New Roman" w:hAnsi="Times New Roman" w:cs="Times New Roman"/>
                <w:b/>
                <w:sz w:val="24"/>
                <w:szCs w:val="24"/>
              </w:rPr>
            </w:pPr>
            <w:r w:rsidRPr="006D7549">
              <w:rPr>
                <w:rFonts w:ascii="Times New Roman" w:hAnsi="Times New Roman" w:cs="Times New Roman"/>
                <w:b/>
                <w:sz w:val="24"/>
                <w:szCs w:val="24"/>
              </w:rPr>
              <w:t>OHL</w:t>
            </w:r>
          </w:p>
        </w:tc>
        <w:tc>
          <w:tcPr>
            <w:tcW w:w="2160" w:type="dxa"/>
            <w:vAlign w:val="center"/>
          </w:tcPr>
          <w:p w:rsidR="006D7549" w:rsidRPr="006D7549" w:rsidRDefault="006D7549" w:rsidP="00AF4EC0">
            <w:pPr>
              <w:spacing w:line="360" w:lineRule="auto"/>
              <w:jc w:val="center"/>
              <w:rPr>
                <w:rFonts w:ascii="Times New Roman" w:hAnsi="Times New Roman" w:cs="Times New Roman"/>
                <w:sz w:val="24"/>
                <w:szCs w:val="24"/>
              </w:rPr>
            </w:pPr>
            <w:r w:rsidRPr="006D7549">
              <w:rPr>
                <w:rFonts w:ascii="Times New Roman" w:hAnsi="Times New Roman" w:cs="Times New Roman"/>
                <w:sz w:val="24"/>
                <w:szCs w:val="24"/>
              </w:rPr>
              <w:t>0.98</w:t>
            </w:r>
          </w:p>
        </w:tc>
        <w:tc>
          <w:tcPr>
            <w:tcW w:w="2160" w:type="dxa"/>
            <w:vAlign w:val="center"/>
          </w:tcPr>
          <w:p w:rsidR="006D7549" w:rsidRPr="006D7549" w:rsidRDefault="006D7549" w:rsidP="00AF4EC0">
            <w:pPr>
              <w:spacing w:line="360" w:lineRule="auto"/>
              <w:jc w:val="center"/>
              <w:rPr>
                <w:rFonts w:ascii="Times New Roman" w:hAnsi="Times New Roman" w:cs="Times New Roman"/>
                <w:sz w:val="24"/>
                <w:szCs w:val="24"/>
              </w:rPr>
            </w:pPr>
            <w:r w:rsidRPr="006D7549">
              <w:rPr>
                <w:rFonts w:ascii="Times New Roman" w:hAnsi="Times New Roman" w:cs="Times New Roman"/>
                <w:sz w:val="24"/>
                <w:szCs w:val="24"/>
              </w:rPr>
              <w:t>-2.11%</w:t>
            </w:r>
          </w:p>
        </w:tc>
        <w:tc>
          <w:tcPr>
            <w:tcW w:w="2160" w:type="dxa"/>
            <w:vAlign w:val="center"/>
          </w:tcPr>
          <w:p w:rsidR="006D7549" w:rsidRPr="006D7549" w:rsidRDefault="006D7549" w:rsidP="00AF4EC0">
            <w:pPr>
              <w:spacing w:line="360" w:lineRule="auto"/>
              <w:jc w:val="center"/>
              <w:rPr>
                <w:rFonts w:ascii="Times New Roman" w:hAnsi="Times New Roman" w:cs="Times New Roman"/>
                <w:sz w:val="24"/>
                <w:szCs w:val="24"/>
              </w:rPr>
            </w:pPr>
            <w:r w:rsidRPr="006D7549">
              <w:rPr>
                <w:rFonts w:ascii="Times New Roman" w:hAnsi="Times New Roman" w:cs="Times New Roman"/>
                <w:sz w:val="24"/>
                <w:szCs w:val="24"/>
              </w:rPr>
              <w:t>-12.12%</w:t>
            </w:r>
          </w:p>
        </w:tc>
        <w:tc>
          <w:tcPr>
            <w:tcW w:w="2160" w:type="dxa"/>
            <w:vAlign w:val="center"/>
          </w:tcPr>
          <w:p w:rsidR="006D7549" w:rsidRPr="006D7549" w:rsidRDefault="006D7549" w:rsidP="00AF4EC0">
            <w:pPr>
              <w:spacing w:line="360" w:lineRule="auto"/>
              <w:jc w:val="center"/>
              <w:rPr>
                <w:rFonts w:ascii="Times New Roman" w:hAnsi="Times New Roman" w:cs="Times New Roman"/>
                <w:sz w:val="24"/>
                <w:szCs w:val="24"/>
              </w:rPr>
            </w:pPr>
            <w:r w:rsidRPr="006D7549">
              <w:rPr>
                <w:rFonts w:ascii="Times New Roman" w:hAnsi="Times New Roman" w:cs="Times New Roman"/>
                <w:sz w:val="24"/>
                <w:szCs w:val="24"/>
              </w:rPr>
              <w:t>4.88%</w:t>
            </w:r>
          </w:p>
        </w:tc>
        <w:tc>
          <w:tcPr>
            <w:tcW w:w="2160" w:type="dxa"/>
            <w:vAlign w:val="center"/>
          </w:tcPr>
          <w:p w:rsidR="006D7549" w:rsidRPr="006D7549" w:rsidRDefault="006D7549" w:rsidP="00AF4EC0">
            <w:pPr>
              <w:spacing w:line="360" w:lineRule="auto"/>
              <w:jc w:val="center"/>
              <w:rPr>
                <w:rFonts w:ascii="Times New Roman" w:hAnsi="Times New Roman" w:cs="Times New Roman"/>
                <w:sz w:val="24"/>
                <w:szCs w:val="24"/>
              </w:rPr>
            </w:pPr>
            <w:r w:rsidRPr="006D7549">
              <w:rPr>
                <w:rFonts w:ascii="Times New Roman" w:hAnsi="Times New Roman" w:cs="Times New Roman"/>
                <w:sz w:val="24"/>
                <w:szCs w:val="24"/>
              </w:rPr>
              <w:t>0.41%</w:t>
            </w:r>
          </w:p>
        </w:tc>
      </w:tr>
      <w:tr w:rsidR="006D7549" w:rsidRPr="006D7549" w:rsidTr="00610E9D">
        <w:tc>
          <w:tcPr>
            <w:tcW w:w="2160" w:type="dxa"/>
            <w:vAlign w:val="center"/>
          </w:tcPr>
          <w:p w:rsidR="006D7549" w:rsidRPr="006D7549" w:rsidRDefault="006D7549" w:rsidP="00AF4EC0">
            <w:pPr>
              <w:spacing w:line="360" w:lineRule="auto"/>
              <w:jc w:val="center"/>
              <w:rPr>
                <w:rFonts w:ascii="Times New Roman" w:hAnsi="Times New Roman" w:cs="Times New Roman"/>
                <w:b/>
                <w:sz w:val="24"/>
                <w:szCs w:val="24"/>
              </w:rPr>
            </w:pPr>
            <w:r w:rsidRPr="006D7549">
              <w:rPr>
                <w:rFonts w:ascii="Times New Roman" w:hAnsi="Times New Roman" w:cs="Times New Roman"/>
                <w:b/>
                <w:sz w:val="24"/>
                <w:szCs w:val="24"/>
              </w:rPr>
              <w:t>CGH</w:t>
            </w:r>
          </w:p>
        </w:tc>
        <w:tc>
          <w:tcPr>
            <w:tcW w:w="2160" w:type="dxa"/>
            <w:vAlign w:val="center"/>
          </w:tcPr>
          <w:p w:rsidR="006D7549" w:rsidRPr="006D7549" w:rsidRDefault="006D7549" w:rsidP="00AF4EC0">
            <w:pPr>
              <w:spacing w:line="360" w:lineRule="auto"/>
              <w:jc w:val="center"/>
              <w:rPr>
                <w:rFonts w:ascii="Times New Roman" w:hAnsi="Times New Roman" w:cs="Times New Roman"/>
                <w:sz w:val="24"/>
                <w:szCs w:val="24"/>
              </w:rPr>
            </w:pPr>
            <w:r w:rsidRPr="006D7549">
              <w:rPr>
                <w:rFonts w:ascii="Times New Roman" w:hAnsi="Times New Roman" w:cs="Times New Roman"/>
                <w:sz w:val="24"/>
                <w:szCs w:val="24"/>
              </w:rPr>
              <w:t>1.10</w:t>
            </w:r>
          </w:p>
        </w:tc>
        <w:tc>
          <w:tcPr>
            <w:tcW w:w="2160" w:type="dxa"/>
            <w:vAlign w:val="center"/>
          </w:tcPr>
          <w:p w:rsidR="006D7549" w:rsidRPr="006D7549" w:rsidRDefault="006D7549" w:rsidP="00AF4EC0">
            <w:pPr>
              <w:spacing w:line="360" w:lineRule="auto"/>
              <w:jc w:val="center"/>
              <w:rPr>
                <w:rFonts w:ascii="Times New Roman" w:hAnsi="Times New Roman" w:cs="Times New Roman"/>
                <w:sz w:val="24"/>
                <w:szCs w:val="24"/>
              </w:rPr>
            </w:pPr>
            <w:r w:rsidRPr="006D7549">
              <w:rPr>
                <w:rFonts w:ascii="Times New Roman" w:hAnsi="Times New Roman" w:cs="Times New Roman"/>
                <w:sz w:val="24"/>
                <w:szCs w:val="24"/>
              </w:rPr>
              <w:t>-2.53%</w:t>
            </w:r>
          </w:p>
        </w:tc>
        <w:tc>
          <w:tcPr>
            <w:tcW w:w="2160" w:type="dxa"/>
            <w:vAlign w:val="center"/>
          </w:tcPr>
          <w:p w:rsidR="006D7549" w:rsidRPr="006D7549" w:rsidRDefault="006D7549" w:rsidP="00AF4EC0">
            <w:pPr>
              <w:spacing w:line="360" w:lineRule="auto"/>
              <w:jc w:val="center"/>
              <w:rPr>
                <w:rFonts w:ascii="Times New Roman" w:hAnsi="Times New Roman" w:cs="Times New Roman"/>
                <w:sz w:val="24"/>
                <w:szCs w:val="24"/>
              </w:rPr>
            </w:pPr>
            <w:r w:rsidRPr="006D7549">
              <w:rPr>
                <w:rFonts w:ascii="Times New Roman" w:hAnsi="Times New Roman" w:cs="Times New Roman"/>
                <w:sz w:val="24"/>
                <w:szCs w:val="24"/>
              </w:rPr>
              <w:t>-73.24%</w:t>
            </w:r>
          </w:p>
        </w:tc>
        <w:tc>
          <w:tcPr>
            <w:tcW w:w="2160" w:type="dxa"/>
            <w:vAlign w:val="center"/>
          </w:tcPr>
          <w:p w:rsidR="006D7549" w:rsidRPr="006D7549" w:rsidRDefault="006D7549" w:rsidP="00AF4EC0">
            <w:pPr>
              <w:spacing w:line="360" w:lineRule="auto"/>
              <w:jc w:val="center"/>
              <w:rPr>
                <w:rFonts w:ascii="Times New Roman" w:hAnsi="Times New Roman" w:cs="Times New Roman"/>
                <w:sz w:val="24"/>
                <w:szCs w:val="24"/>
              </w:rPr>
            </w:pPr>
            <w:r w:rsidRPr="006D7549">
              <w:rPr>
                <w:rFonts w:ascii="Times New Roman" w:hAnsi="Times New Roman" w:cs="Times New Roman"/>
                <w:sz w:val="24"/>
                <w:szCs w:val="24"/>
              </w:rPr>
              <w:t>4.67%</w:t>
            </w:r>
          </w:p>
        </w:tc>
        <w:tc>
          <w:tcPr>
            <w:tcW w:w="2160" w:type="dxa"/>
            <w:vAlign w:val="center"/>
          </w:tcPr>
          <w:p w:rsidR="006D7549" w:rsidRPr="006D7549" w:rsidRDefault="006D7549" w:rsidP="00AF4EC0">
            <w:pPr>
              <w:spacing w:line="360" w:lineRule="auto"/>
              <w:jc w:val="center"/>
              <w:rPr>
                <w:rFonts w:ascii="Times New Roman" w:hAnsi="Times New Roman" w:cs="Times New Roman"/>
                <w:sz w:val="24"/>
                <w:szCs w:val="24"/>
              </w:rPr>
            </w:pPr>
            <w:r w:rsidRPr="006D7549">
              <w:rPr>
                <w:rFonts w:ascii="Times New Roman" w:hAnsi="Times New Roman" w:cs="Times New Roman"/>
                <w:sz w:val="24"/>
                <w:szCs w:val="24"/>
              </w:rPr>
              <w:t>0.00%</w:t>
            </w:r>
          </w:p>
        </w:tc>
      </w:tr>
      <w:tr w:rsidR="006D7549" w:rsidRPr="006D7549" w:rsidTr="00610E9D">
        <w:tc>
          <w:tcPr>
            <w:tcW w:w="2160" w:type="dxa"/>
            <w:vAlign w:val="center"/>
          </w:tcPr>
          <w:p w:rsidR="006D7549" w:rsidRPr="006D7549" w:rsidRDefault="006D7549" w:rsidP="00AF4EC0">
            <w:pPr>
              <w:spacing w:line="360" w:lineRule="auto"/>
              <w:jc w:val="center"/>
              <w:rPr>
                <w:rFonts w:ascii="Times New Roman" w:hAnsi="Times New Roman" w:cs="Times New Roman"/>
                <w:b/>
                <w:sz w:val="24"/>
                <w:szCs w:val="24"/>
              </w:rPr>
            </w:pPr>
            <w:r w:rsidRPr="006D7549">
              <w:rPr>
                <w:rFonts w:ascii="Times New Roman" w:hAnsi="Times New Roman" w:cs="Times New Roman"/>
                <w:b/>
                <w:sz w:val="24"/>
                <w:szCs w:val="24"/>
              </w:rPr>
              <w:t>KDL</w:t>
            </w:r>
          </w:p>
        </w:tc>
        <w:tc>
          <w:tcPr>
            <w:tcW w:w="2160" w:type="dxa"/>
            <w:vAlign w:val="center"/>
          </w:tcPr>
          <w:p w:rsidR="006D7549" w:rsidRPr="006D7549" w:rsidRDefault="006D7549" w:rsidP="00AF4EC0">
            <w:pPr>
              <w:spacing w:line="360" w:lineRule="auto"/>
              <w:jc w:val="center"/>
              <w:rPr>
                <w:rFonts w:ascii="Times New Roman" w:hAnsi="Times New Roman" w:cs="Times New Roman"/>
                <w:sz w:val="24"/>
                <w:szCs w:val="24"/>
              </w:rPr>
            </w:pPr>
            <w:r w:rsidRPr="006D7549">
              <w:rPr>
                <w:rFonts w:ascii="Times New Roman" w:hAnsi="Times New Roman" w:cs="Times New Roman"/>
                <w:sz w:val="24"/>
                <w:szCs w:val="24"/>
              </w:rPr>
              <w:t>1.04</w:t>
            </w:r>
          </w:p>
        </w:tc>
        <w:tc>
          <w:tcPr>
            <w:tcW w:w="2160" w:type="dxa"/>
            <w:vAlign w:val="center"/>
          </w:tcPr>
          <w:p w:rsidR="006D7549" w:rsidRPr="006D7549" w:rsidRDefault="006D7549" w:rsidP="00AF4EC0">
            <w:pPr>
              <w:spacing w:line="360" w:lineRule="auto"/>
              <w:jc w:val="center"/>
              <w:rPr>
                <w:rFonts w:ascii="Times New Roman" w:hAnsi="Times New Roman" w:cs="Times New Roman"/>
                <w:sz w:val="24"/>
                <w:szCs w:val="24"/>
              </w:rPr>
            </w:pPr>
            <w:r w:rsidRPr="006D7549">
              <w:rPr>
                <w:rFonts w:ascii="Times New Roman" w:hAnsi="Times New Roman" w:cs="Times New Roman"/>
                <w:sz w:val="24"/>
                <w:szCs w:val="24"/>
              </w:rPr>
              <w:t>-2.67%</w:t>
            </w:r>
          </w:p>
        </w:tc>
        <w:tc>
          <w:tcPr>
            <w:tcW w:w="2160" w:type="dxa"/>
            <w:vAlign w:val="center"/>
          </w:tcPr>
          <w:p w:rsidR="006D7549" w:rsidRPr="006D7549" w:rsidRDefault="006D7549" w:rsidP="00AF4EC0">
            <w:pPr>
              <w:spacing w:line="360" w:lineRule="auto"/>
              <w:jc w:val="center"/>
              <w:rPr>
                <w:rFonts w:ascii="Times New Roman" w:hAnsi="Times New Roman" w:cs="Times New Roman"/>
                <w:sz w:val="24"/>
                <w:szCs w:val="24"/>
              </w:rPr>
            </w:pPr>
            <w:r w:rsidRPr="006D7549">
              <w:rPr>
                <w:rFonts w:ascii="Times New Roman" w:hAnsi="Times New Roman" w:cs="Times New Roman"/>
                <w:sz w:val="24"/>
                <w:szCs w:val="24"/>
              </w:rPr>
              <w:t>-58.82%</w:t>
            </w:r>
          </w:p>
        </w:tc>
        <w:tc>
          <w:tcPr>
            <w:tcW w:w="2160" w:type="dxa"/>
            <w:vAlign w:val="center"/>
          </w:tcPr>
          <w:p w:rsidR="006D7549" w:rsidRPr="006D7549" w:rsidRDefault="006D7549" w:rsidP="00AF4EC0">
            <w:pPr>
              <w:spacing w:line="360" w:lineRule="auto"/>
              <w:jc w:val="center"/>
              <w:rPr>
                <w:rFonts w:ascii="Times New Roman" w:hAnsi="Times New Roman" w:cs="Times New Roman"/>
                <w:sz w:val="24"/>
                <w:szCs w:val="24"/>
              </w:rPr>
            </w:pPr>
            <w:r w:rsidRPr="006D7549">
              <w:rPr>
                <w:rFonts w:ascii="Times New Roman" w:hAnsi="Times New Roman" w:cs="Times New Roman"/>
                <w:sz w:val="24"/>
                <w:szCs w:val="24"/>
              </w:rPr>
              <w:t>5.01%</w:t>
            </w:r>
          </w:p>
        </w:tc>
        <w:tc>
          <w:tcPr>
            <w:tcW w:w="2160" w:type="dxa"/>
            <w:vAlign w:val="center"/>
          </w:tcPr>
          <w:p w:rsidR="006D7549" w:rsidRPr="006D7549" w:rsidRDefault="006D7549" w:rsidP="00AF4EC0">
            <w:pPr>
              <w:spacing w:line="360" w:lineRule="auto"/>
              <w:jc w:val="center"/>
              <w:rPr>
                <w:rFonts w:ascii="Times New Roman" w:hAnsi="Times New Roman" w:cs="Times New Roman"/>
                <w:sz w:val="24"/>
                <w:szCs w:val="24"/>
              </w:rPr>
            </w:pPr>
            <w:r w:rsidRPr="006D7549">
              <w:rPr>
                <w:rFonts w:ascii="Times New Roman" w:hAnsi="Times New Roman" w:cs="Times New Roman"/>
                <w:sz w:val="24"/>
                <w:szCs w:val="24"/>
              </w:rPr>
              <w:t>0.22%</w:t>
            </w:r>
          </w:p>
        </w:tc>
      </w:tr>
      <w:tr w:rsidR="006D7549" w:rsidRPr="006D7549" w:rsidTr="00610E9D">
        <w:tc>
          <w:tcPr>
            <w:tcW w:w="2160" w:type="dxa"/>
            <w:vAlign w:val="center"/>
          </w:tcPr>
          <w:p w:rsidR="006D7549" w:rsidRPr="006D7549" w:rsidRDefault="006D7549" w:rsidP="00AF4EC0">
            <w:pPr>
              <w:spacing w:line="360" w:lineRule="auto"/>
              <w:jc w:val="center"/>
              <w:rPr>
                <w:rFonts w:ascii="Times New Roman" w:hAnsi="Times New Roman" w:cs="Times New Roman"/>
                <w:b/>
                <w:sz w:val="24"/>
                <w:szCs w:val="24"/>
              </w:rPr>
            </w:pPr>
            <w:r w:rsidRPr="006D7549">
              <w:rPr>
                <w:rFonts w:ascii="Times New Roman" w:hAnsi="Times New Roman" w:cs="Times New Roman"/>
                <w:b/>
                <w:sz w:val="24"/>
                <w:szCs w:val="24"/>
              </w:rPr>
              <w:t>CITY</w:t>
            </w:r>
          </w:p>
        </w:tc>
        <w:tc>
          <w:tcPr>
            <w:tcW w:w="2160" w:type="dxa"/>
            <w:vAlign w:val="center"/>
          </w:tcPr>
          <w:p w:rsidR="006D7549" w:rsidRPr="006D7549" w:rsidRDefault="006D7549" w:rsidP="00AF4EC0">
            <w:pPr>
              <w:spacing w:line="360" w:lineRule="auto"/>
              <w:jc w:val="center"/>
              <w:rPr>
                <w:rFonts w:ascii="Times New Roman" w:hAnsi="Times New Roman" w:cs="Times New Roman"/>
                <w:sz w:val="24"/>
                <w:szCs w:val="24"/>
              </w:rPr>
            </w:pPr>
            <w:r w:rsidRPr="006D7549">
              <w:rPr>
                <w:rFonts w:ascii="Times New Roman" w:hAnsi="Times New Roman" w:cs="Times New Roman"/>
                <w:sz w:val="24"/>
                <w:szCs w:val="24"/>
              </w:rPr>
              <w:t>1.17</w:t>
            </w:r>
          </w:p>
        </w:tc>
        <w:tc>
          <w:tcPr>
            <w:tcW w:w="2160" w:type="dxa"/>
            <w:vAlign w:val="center"/>
          </w:tcPr>
          <w:p w:rsidR="006D7549" w:rsidRPr="006D7549" w:rsidRDefault="006D7549" w:rsidP="00AF4EC0">
            <w:pPr>
              <w:spacing w:line="360" w:lineRule="auto"/>
              <w:jc w:val="center"/>
              <w:rPr>
                <w:rFonts w:ascii="Times New Roman" w:hAnsi="Times New Roman" w:cs="Times New Roman"/>
                <w:sz w:val="24"/>
                <w:szCs w:val="24"/>
              </w:rPr>
            </w:pPr>
            <w:r w:rsidRPr="006D7549">
              <w:rPr>
                <w:rFonts w:ascii="Times New Roman" w:hAnsi="Times New Roman" w:cs="Times New Roman"/>
                <w:sz w:val="24"/>
                <w:szCs w:val="24"/>
              </w:rPr>
              <w:t>-2.73%</w:t>
            </w:r>
          </w:p>
        </w:tc>
        <w:tc>
          <w:tcPr>
            <w:tcW w:w="2160" w:type="dxa"/>
            <w:vAlign w:val="center"/>
          </w:tcPr>
          <w:p w:rsidR="006D7549" w:rsidRPr="006D7549" w:rsidRDefault="006D7549" w:rsidP="00AF4EC0">
            <w:pPr>
              <w:spacing w:line="360" w:lineRule="auto"/>
              <w:jc w:val="center"/>
              <w:rPr>
                <w:rFonts w:ascii="Times New Roman" w:hAnsi="Times New Roman" w:cs="Times New Roman"/>
                <w:sz w:val="24"/>
                <w:szCs w:val="24"/>
              </w:rPr>
            </w:pPr>
            <w:r w:rsidRPr="006D7549">
              <w:rPr>
                <w:rFonts w:ascii="Times New Roman" w:hAnsi="Times New Roman" w:cs="Times New Roman"/>
                <w:sz w:val="24"/>
                <w:szCs w:val="24"/>
              </w:rPr>
              <w:t>-56.32%</w:t>
            </w:r>
          </w:p>
        </w:tc>
        <w:tc>
          <w:tcPr>
            <w:tcW w:w="2160" w:type="dxa"/>
            <w:vAlign w:val="center"/>
          </w:tcPr>
          <w:p w:rsidR="006D7549" w:rsidRPr="006D7549" w:rsidRDefault="006D7549" w:rsidP="00AF4EC0">
            <w:pPr>
              <w:spacing w:line="360" w:lineRule="auto"/>
              <w:jc w:val="center"/>
              <w:rPr>
                <w:rFonts w:ascii="Times New Roman" w:hAnsi="Times New Roman" w:cs="Times New Roman"/>
                <w:sz w:val="24"/>
                <w:szCs w:val="24"/>
              </w:rPr>
            </w:pPr>
            <w:r w:rsidRPr="006D7549">
              <w:rPr>
                <w:rFonts w:ascii="Times New Roman" w:hAnsi="Times New Roman" w:cs="Times New Roman"/>
                <w:sz w:val="24"/>
                <w:szCs w:val="24"/>
              </w:rPr>
              <w:t>5.60%</w:t>
            </w:r>
          </w:p>
        </w:tc>
        <w:tc>
          <w:tcPr>
            <w:tcW w:w="2160" w:type="dxa"/>
            <w:vAlign w:val="center"/>
          </w:tcPr>
          <w:p w:rsidR="006D7549" w:rsidRPr="006D7549" w:rsidRDefault="006D7549" w:rsidP="00AF4EC0">
            <w:pPr>
              <w:spacing w:line="360" w:lineRule="auto"/>
              <w:jc w:val="center"/>
              <w:rPr>
                <w:rFonts w:ascii="Times New Roman" w:hAnsi="Times New Roman" w:cs="Times New Roman"/>
                <w:sz w:val="24"/>
                <w:szCs w:val="24"/>
              </w:rPr>
            </w:pPr>
            <w:r w:rsidRPr="006D7549">
              <w:rPr>
                <w:rFonts w:ascii="Times New Roman" w:hAnsi="Times New Roman" w:cs="Times New Roman"/>
                <w:sz w:val="24"/>
                <w:szCs w:val="24"/>
              </w:rPr>
              <w:t>0.46%</w:t>
            </w:r>
          </w:p>
        </w:tc>
      </w:tr>
    </w:tbl>
    <w:p w:rsidR="006D7549" w:rsidRDefault="006D7549" w:rsidP="00AF4EC0">
      <w:pPr>
        <w:spacing w:line="360" w:lineRule="auto"/>
        <w:rPr>
          <w:rFonts w:ascii="Times New Roman" w:hAnsi="Times New Roman" w:cs="Times New Roman"/>
          <w:sz w:val="24"/>
          <w:szCs w:val="24"/>
          <w:highlight w:val="yellow"/>
        </w:rPr>
      </w:pPr>
    </w:p>
    <w:p w:rsidR="00AF4EC0" w:rsidRDefault="00AF4EC0" w:rsidP="00AF4EC0">
      <w:pPr>
        <w:spacing w:line="360" w:lineRule="auto"/>
        <w:rPr>
          <w:rFonts w:ascii="Times New Roman" w:hAnsi="Times New Roman" w:cs="Times New Roman"/>
          <w:sz w:val="24"/>
          <w:szCs w:val="24"/>
          <w:highlight w:val="yellow"/>
        </w:rPr>
      </w:pPr>
    </w:p>
    <w:p w:rsidR="00AF4EC0" w:rsidRDefault="00AF4EC0" w:rsidP="00AF4EC0">
      <w:pPr>
        <w:spacing w:line="360" w:lineRule="auto"/>
        <w:rPr>
          <w:rFonts w:ascii="Times New Roman" w:hAnsi="Times New Roman" w:cs="Times New Roman"/>
          <w:sz w:val="24"/>
          <w:szCs w:val="24"/>
          <w:highlight w:val="yellow"/>
        </w:rPr>
      </w:pPr>
    </w:p>
    <w:p w:rsidR="00AF4EC0" w:rsidRDefault="00AF4EC0" w:rsidP="00AF4EC0">
      <w:pPr>
        <w:spacing w:line="360" w:lineRule="auto"/>
        <w:rPr>
          <w:rFonts w:ascii="Times New Roman" w:hAnsi="Times New Roman" w:cs="Times New Roman"/>
          <w:sz w:val="24"/>
          <w:szCs w:val="24"/>
          <w:highlight w:val="yellow"/>
        </w:rPr>
      </w:pPr>
    </w:p>
    <w:p w:rsidR="00AF4EC0" w:rsidRPr="006D7549" w:rsidRDefault="00AF4EC0" w:rsidP="00AF4EC0">
      <w:pPr>
        <w:spacing w:line="360" w:lineRule="auto"/>
        <w:rPr>
          <w:rFonts w:ascii="Times New Roman" w:hAnsi="Times New Roman" w:cs="Times New Roman"/>
          <w:sz w:val="24"/>
          <w:szCs w:val="24"/>
          <w:highlight w:val="yellow"/>
        </w:rPr>
      </w:pPr>
    </w:p>
    <w:p w:rsidR="006D7549" w:rsidRPr="006D7549" w:rsidRDefault="006D7549" w:rsidP="00AF4EC0">
      <w:pPr>
        <w:pStyle w:val="Heading2"/>
        <w:spacing w:line="360" w:lineRule="auto"/>
      </w:pPr>
      <w:bookmarkStart w:id="24" w:name="_Toc204788951"/>
      <w:r w:rsidRPr="006D7549">
        <w:lastRenderedPageBreak/>
        <w:t>Risk Management Analysis of Nepal's Hospitality Sector</w:t>
      </w:r>
      <w:bookmarkEnd w:id="24"/>
    </w:p>
    <w:p w:rsidR="00AF4EC0" w:rsidRDefault="00AF4EC0" w:rsidP="00AF4EC0">
      <w:pPr>
        <w:spacing w:line="360" w:lineRule="auto"/>
        <w:rPr>
          <w:rFonts w:ascii="Times New Roman" w:hAnsi="Times New Roman" w:cs="Times New Roman"/>
          <w:b/>
          <w:sz w:val="24"/>
          <w:szCs w:val="24"/>
        </w:rPr>
      </w:pPr>
    </w:p>
    <w:p w:rsidR="006D7549" w:rsidRPr="006D7549" w:rsidRDefault="006D7549" w:rsidP="00AF4EC0">
      <w:pPr>
        <w:pStyle w:val="Heading3"/>
        <w:spacing w:line="360" w:lineRule="auto"/>
      </w:pPr>
      <w:bookmarkStart w:id="25" w:name="_Toc204788952"/>
      <w:r w:rsidRPr="006D7549">
        <w:t>Overview of Risk Metrics</w:t>
      </w:r>
      <w:bookmarkEnd w:id="25"/>
    </w:p>
    <w:p w:rsidR="006D7549" w:rsidRPr="006D7549" w:rsidRDefault="006D7549" w:rsidP="00AF4EC0">
      <w:pPr>
        <w:pStyle w:val="whitespace-pre-wrap"/>
        <w:spacing w:line="360" w:lineRule="auto"/>
      </w:pPr>
      <w:r w:rsidRPr="006D7549">
        <w:t>The risk management metrics provide critical insights into the volatility, potential losses, and risk characteristics of the six major hotel companies in Nepal's hospitality sector. These metrics help investors understand the risk-return profiles and potential downside scenarios for each investment option.</w:t>
      </w:r>
    </w:p>
    <w:p w:rsidR="006D7549" w:rsidRPr="006D7549" w:rsidRDefault="006D7549" w:rsidP="00AF4EC0">
      <w:pPr>
        <w:pStyle w:val="Heading3"/>
        <w:spacing w:line="360" w:lineRule="auto"/>
      </w:pPr>
      <w:bookmarkStart w:id="26" w:name="_Toc204788953"/>
      <w:r w:rsidRPr="006D7549">
        <w:t>Beta &amp; Systematic Risk Profile</w:t>
      </w:r>
      <w:bookmarkEnd w:id="26"/>
    </w:p>
    <w:p w:rsidR="006D7549" w:rsidRPr="006D7549" w:rsidRDefault="006D7549" w:rsidP="00AF4EC0">
      <w:pPr>
        <w:pStyle w:val="whitespace-pre-wrap"/>
        <w:spacing w:line="360" w:lineRule="auto"/>
        <w:rPr>
          <w:highlight w:val="yellow"/>
        </w:rPr>
      </w:pPr>
      <w:r w:rsidRPr="006D7549">
        <w:t>SHL demonstrates the lowest systematic risk (0.86 beta) while delivering superior returns, making it ideal for risk-adjusted portfolio allocation. TRH and OHL maintain near-market volatility (0.95-0.98 beta) with moderate risk profiles suitable for core holdings. However, CGH, KDL, and CITY show elevated systematic risk (1.04-1.17 beta), with CITY displaying the highest volatility (1.17 beta) compounding its operational distress concerns.</w:t>
      </w:r>
    </w:p>
    <w:p w:rsidR="006D7549" w:rsidRPr="006D7549" w:rsidRDefault="006D7549" w:rsidP="00AF4EC0">
      <w:pPr>
        <w:spacing w:line="360" w:lineRule="auto"/>
        <w:rPr>
          <w:rFonts w:ascii="Times New Roman" w:eastAsia="Times New Roman" w:hAnsi="Times New Roman" w:cs="Times New Roman"/>
          <w:b/>
          <w:color w:val="000000"/>
          <w:sz w:val="24"/>
          <w:szCs w:val="24"/>
          <w:highlight w:val="yellow"/>
        </w:rPr>
      </w:pPr>
      <w:r w:rsidRPr="006D7549">
        <w:rPr>
          <w:rFonts w:ascii="Times New Roman" w:eastAsia="Times New Roman" w:hAnsi="Times New Roman" w:cs="Times New Roman"/>
          <w:b/>
          <w:color w:val="000000"/>
          <w:sz w:val="24"/>
          <w:szCs w:val="24"/>
          <w:highlight w:val="yellow"/>
        </w:rPr>
        <w:br w:type="page"/>
      </w:r>
    </w:p>
    <w:p w:rsidR="006D7549" w:rsidRPr="006D7549" w:rsidRDefault="006D7549" w:rsidP="00AF4EC0">
      <w:pPr>
        <w:pStyle w:val="Heading1"/>
        <w:spacing w:line="360" w:lineRule="auto"/>
        <w:rPr>
          <w:rFonts w:eastAsia="Times New Roman"/>
        </w:rPr>
      </w:pPr>
      <w:bookmarkStart w:id="27" w:name="_Toc204788954"/>
      <w:r w:rsidRPr="006D7549">
        <w:rPr>
          <w:rFonts w:eastAsia="Times New Roman"/>
        </w:rPr>
        <w:lastRenderedPageBreak/>
        <w:t>Conclusion</w:t>
      </w:r>
      <w:bookmarkEnd w:id="27"/>
      <w:r w:rsidRPr="006D7549">
        <w:rPr>
          <w:rFonts w:eastAsia="Times New Roman"/>
        </w:rPr>
        <w:t xml:space="preserve"> </w:t>
      </w:r>
    </w:p>
    <w:p w:rsidR="006D7549" w:rsidRPr="006D7549" w:rsidRDefault="006D7549" w:rsidP="00AF4EC0">
      <w:pPr>
        <w:spacing w:after="120" w:line="360" w:lineRule="auto"/>
        <w:jc w:val="both"/>
        <w:rPr>
          <w:rFonts w:ascii="Times New Roman" w:hAnsi="Times New Roman" w:cs="Times New Roman"/>
          <w:sz w:val="24"/>
          <w:szCs w:val="24"/>
        </w:rPr>
      </w:pPr>
      <w:r w:rsidRPr="006D7549">
        <w:rPr>
          <w:rFonts w:ascii="Times New Roman" w:hAnsi="Times New Roman" w:cs="Times New Roman"/>
          <w:sz w:val="24"/>
          <w:szCs w:val="24"/>
        </w:rPr>
        <w:t xml:space="preserve">The analysis of listed hotel companies in Nepal reveals a wide spectrum of performance, risk, and return profiles. </w:t>
      </w:r>
      <w:r w:rsidRPr="006D7549">
        <w:rPr>
          <w:rFonts w:ascii="Times New Roman" w:hAnsi="Times New Roman" w:cs="Times New Roman"/>
          <w:color w:val="000000"/>
          <w:sz w:val="24"/>
          <w:szCs w:val="24"/>
        </w:rPr>
        <w:t xml:space="preserve"> Established players like SHL, TRH, and OHL have accumulated reserves over decades. </w:t>
      </w:r>
      <w:r w:rsidRPr="006D7549">
        <w:rPr>
          <w:rFonts w:ascii="Times New Roman" w:hAnsi="Times New Roman" w:cs="Times New Roman"/>
          <w:sz w:val="24"/>
          <w:szCs w:val="24"/>
        </w:rPr>
        <w:t xml:space="preserve">SHL (Soaltee Hotel) emerges as a market leader, characterized by strong profitability metrics, consistent returns, and low-risk indicators such as a low beta, low VaR, and stable standard deviation. TRH (Taragaon Regency) follows closely, offering a favorable balance of risk and return with competitive profitability margins and moderate market volatility. </w:t>
      </w:r>
    </w:p>
    <w:p w:rsidR="006D7549" w:rsidRPr="006D7549" w:rsidRDefault="006D7549" w:rsidP="00AF4EC0">
      <w:pPr>
        <w:spacing w:after="120" w:line="360" w:lineRule="auto"/>
        <w:jc w:val="both"/>
        <w:rPr>
          <w:rFonts w:ascii="Times New Roman" w:hAnsi="Times New Roman" w:cs="Times New Roman"/>
          <w:color w:val="000000"/>
          <w:sz w:val="24"/>
          <w:szCs w:val="24"/>
        </w:rPr>
      </w:pPr>
      <w:r w:rsidRPr="006D7549">
        <w:rPr>
          <w:rFonts w:ascii="Times New Roman" w:hAnsi="Times New Roman" w:cs="Times New Roman"/>
          <w:color w:val="000000"/>
          <w:sz w:val="24"/>
          <w:szCs w:val="24"/>
        </w:rPr>
        <w:t>Avoid stock like CITY, KDL due to bad performance.</w:t>
      </w:r>
    </w:p>
    <w:p w:rsidR="006D7549" w:rsidRPr="006D7549" w:rsidRDefault="006D7549" w:rsidP="00AF4EC0">
      <w:pPr>
        <w:spacing w:after="120" w:line="360" w:lineRule="auto"/>
        <w:jc w:val="both"/>
        <w:rPr>
          <w:rFonts w:ascii="Times New Roman" w:hAnsi="Times New Roman" w:cs="Times New Roman"/>
          <w:sz w:val="24"/>
          <w:szCs w:val="24"/>
        </w:rPr>
      </w:pPr>
      <w:r w:rsidRPr="006D7549">
        <w:rPr>
          <w:rFonts w:ascii="Times New Roman" w:hAnsi="Times New Roman" w:cs="Times New Roman"/>
          <w:sz w:val="24"/>
          <w:szCs w:val="24"/>
        </w:rPr>
        <w:t>Hence recommended to prioritize accumulation of SHL and TRH during market weakness</w:t>
      </w:r>
    </w:p>
    <w:p w:rsidR="006D7549" w:rsidRDefault="006D7549" w:rsidP="00AF4EC0">
      <w:pPr>
        <w:spacing w:after="120" w:line="360" w:lineRule="auto"/>
        <w:jc w:val="both"/>
        <w:rPr>
          <w:rFonts w:ascii="Times New Roman" w:hAnsi="Times New Roman" w:cs="Times New Roman"/>
          <w:sz w:val="24"/>
          <w:szCs w:val="24"/>
        </w:rPr>
      </w:pPr>
    </w:p>
    <w:p w:rsidR="00944817" w:rsidRDefault="00944817" w:rsidP="00AF4EC0">
      <w:pPr>
        <w:spacing w:after="120" w:line="360" w:lineRule="auto"/>
        <w:jc w:val="both"/>
        <w:rPr>
          <w:rFonts w:ascii="Times New Roman" w:hAnsi="Times New Roman" w:cs="Times New Roman"/>
          <w:sz w:val="24"/>
          <w:szCs w:val="24"/>
        </w:rPr>
      </w:pPr>
    </w:p>
    <w:p w:rsidR="00944817" w:rsidRDefault="00944817" w:rsidP="00AF4EC0">
      <w:pPr>
        <w:spacing w:after="120" w:line="360" w:lineRule="auto"/>
        <w:jc w:val="both"/>
        <w:rPr>
          <w:rFonts w:ascii="Times New Roman" w:hAnsi="Times New Roman" w:cs="Times New Roman"/>
          <w:sz w:val="24"/>
          <w:szCs w:val="24"/>
        </w:rPr>
      </w:pPr>
    </w:p>
    <w:p w:rsidR="00944817" w:rsidRDefault="00944817" w:rsidP="00AF4EC0">
      <w:pPr>
        <w:spacing w:after="120" w:line="360" w:lineRule="auto"/>
        <w:jc w:val="both"/>
        <w:rPr>
          <w:rFonts w:ascii="Times New Roman" w:hAnsi="Times New Roman" w:cs="Times New Roman"/>
          <w:sz w:val="24"/>
          <w:szCs w:val="24"/>
        </w:rPr>
      </w:pPr>
    </w:p>
    <w:p w:rsidR="00944817" w:rsidRDefault="00944817" w:rsidP="00AF4EC0">
      <w:pPr>
        <w:spacing w:after="120" w:line="360" w:lineRule="auto"/>
        <w:jc w:val="both"/>
        <w:rPr>
          <w:rFonts w:ascii="Times New Roman" w:hAnsi="Times New Roman" w:cs="Times New Roman"/>
          <w:sz w:val="24"/>
          <w:szCs w:val="24"/>
        </w:rPr>
      </w:pPr>
    </w:p>
    <w:p w:rsidR="00944817" w:rsidRDefault="00944817" w:rsidP="00AF4EC0">
      <w:pPr>
        <w:spacing w:after="120" w:line="360" w:lineRule="auto"/>
        <w:jc w:val="both"/>
        <w:rPr>
          <w:rFonts w:ascii="Times New Roman" w:hAnsi="Times New Roman" w:cs="Times New Roman"/>
          <w:sz w:val="24"/>
          <w:szCs w:val="24"/>
        </w:rPr>
      </w:pPr>
    </w:p>
    <w:p w:rsidR="00944817" w:rsidRDefault="00944817" w:rsidP="00AF4EC0">
      <w:pPr>
        <w:spacing w:after="120" w:line="360" w:lineRule="auto"/>
        <w:jc w:val="both"/>
        <w:rPr>
          <w:rFonts w:ascii="Times New Roman" w:hAnsi="Times New Roman" w:cs="Times New Roman"/>
          <w:sz w:val="24"/>
          <w:szCs w:val="24"/>
        </w:rPr>
      </w:pPr>
    </w:p>
    <w:p w:rsidR="00944817" w:rsidRDefault="00944817" w:rsidP="00AF4EC0">
      <w:pPr>
        <w:spacing w:after="120" w:line="360" w:lineRule="auto"/>
        <w:jc w:val="both"/>
        <w:rPr>
          <w:rFonts w:ascii="Times New Roman" w:hAnsi="Times New Roman" w:cs="Times New Roman"/>
          <w:sz w:val="24"/>
          <w:szCs w:val="24"/>
        </w:rPr>
      </w:pPr>
    </w:p>
    <w:p w:rsidR="00944817" w:rsidRDefault="00944817" w:rsidP="00AF4EC0">
      <w:pPr>
        <w:spacing w:after="120" w:line="360" w:lineRule="auto"/>
        <w:jc w:val="both"/>
        <w:rPr>
          <w:rFonts w:ascii="Times New Roman" w:hAnsi="Times New Roman" w:cs="Times New Roman"/>
          <w:sz w:val="24"/>
          <w:szCs w:val="24"/>
        </w:rPr>
      </w:pPr>
    </w:p>
    <w:p w:rsidR="00944817" w:rsidRPr="006D7549" w:rsidRDefault="00944817" w:rsidP="00AF4EC0">
      <w:pPr>
        <w:spacing w:after="120" w:line="360" w:lineRule="auto"/>
        <w:jc w:val="both"/>
        <w:rPr>
          <w:rFonts w:ascii="Times New Roman" w:hAnsi="Times New Roman" w:cs="Times New Roman"/>
          <w:sz w:val="24"/>
          <w:szCs w:val="24"/>
        </w:rPr>
      </w:pPr>
      <w:bookmarkStart w:id="28" w:name="_GoBack"/>
      <w:bookmarkEnd w:id="28"/>
    </w:p>
    <w:p w:rsidR="006D7549" w:rsidRPr="006D7549" w:rsidRDefault="006D7549" w:rsidP="00AF4EC0">
      <w:pPr>
        <w:spacing w:line="360" w:lineRule="auto"/>
        <w:rPr>
          <w:rFonts w:ascii="Times New Roman" w:hAnsi="Times New Roman" w:cs="Times New Roman"/>
          <w:sz w:val="24"/>
          <w:szCs w:val="24"/>
          <w:highlight w:val="yellow"/>
        </w:rPr>
      </w:pPr>
    </w:p>
    <w:p w:rsidR="003509E7" w:rsidRPr="006D7549" w:rsidRDefault="003509E7" w:rsidP="00AF4EC0">
      <w:pPr>
        <w:spacing w:after="120" w:line="360" w:lineRule="auto"/>
        <w:jc w:val="both"/>
        <w:rPr>
          <w:rFonts w:ascii="Times New Roman" w:hAnsi="Times New Roman" w:cs="Times New Roman"/>
          <w:b/>
          <w:sz w:val="24"/>
          <w:szCs w:val="24"/>
        </w:rPr>
      </w:pPr>
    </w:p>
    <w:p w:rsidR="000914B3" w:rsidRPr="006D7549" w:rsidRDefault="000914B3" w:rsidP="00AF4EC0">
      <w:pPr>
        <w:pStyle w:val="Heading1"/>
        <w:spacing w:line="360" w:lineRule="auto"/>
      </w:pPr>
      <w:bookmarkStart w:id="29" w:name="_Toc204788955"/>
      <w:r w:rsidRPr="006D7549">
        <w:t>Disclaimer:</w:t>
      </w:r>
      <w:bookmarkEnd w:id="29"/>
    </w:p>
    <w:p w:rsidR="00365C46" w:rsidRPr="006D7549" w:rsidRDefault="000914B3" w:rsidP="00AF4EC0">
      <w:pPr>
        <w:pStyle w:val="ListParagraph"/>
        <w:numPr>
          <w:ilvl w:val="0"/>
          <w:numId w:val="1"/>
        </w:numPr>
        <w:spacing w:before="240" w:after="120" w:line="360" w:lineRule="auto"/>
        <w:ind w:left="360"/>
        <w:jc w:val="both"/>
        <w:rPr>
          <w:rFonts w:ascii="Times New Roman" w:hAnsi="Times New Roman" w:cs="Times New Roman"/>
          <w:sz w:val="24"/>
          <w:szCs w:val="24"/>
        </w:rPr>
      </w:pPr>
      <w:r w:rsidRPr="006D7549">
        <w:rPr>
          <w:rFonts w:ascii="Times New Roman" w:hAnsi="Times New Roman" w:cs="Times New Roman"/>
          <w:i/>
          <w:sz w:val="24"/>
          <w:szCs w:val="24"/>
          <w:u w:val="single"/>
        </w:rPr>
        <w:t>This report is based on publicly available published data and is intended for informational purposes only. Any decision made based on this report are solely at the viewer discretion.</w:t>
      </w:r>
    </w:p>
    <w:p w:rsidR="00365C46" w:rsidRPr="006D7549" w:rsidRDefault="00365C46" w:rsidP="00AF4EC0">
      <w:pPr>
        <w:spacing w:after="120" w:line="360" w:lineRule="auto"/>
        <w:jc w:val="both"/>
        <w:rPr>
          <w:rFonts w:ascii="Times New Roman" w:hAnsi="Times New Roman" w:cs="Times New Roman"/>
          <w:sz w:val="24"/>
          <w:szCs w:val="24"/>
        </w:rPr>
      </w:pPr>
    </w:p>
    <w:sectPr w:rsidR="00365C46" w:rsidRPr="006D7549" w:rsidSect="000C1521">
      <w:headerReference w:type="default" r:id="rId14"/>
      <w:footerReference w:type="even" r:id="rId15"/>
      <w:footerReference w:type="default" r:id="rId16"/>
      <w:type w:val="continuous"/>
      <w:pgSz w:w="12240" w:h="15840"/>
      <w:pgMar w:top="1080" w:right="1440" w:bottom="720" w:left="1440" w:header="720" w:footer="331"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2D89" w:rsidRDefault="00082D89" w:rsidP="00863DD8">
      <w:pPr>
        <w:spacing w:after="0" w:line="240" w:lineRule="auto"/>
      </w:pPr>
      <w:r>
        <w:separator/>
      </w:r>
    </w:p>
  </w:endnote>
  <w:endnote w:type="continuationSeparator" w:id="0">
    <w:p w:rsidR="00082D89" w:rsidRDefault="00082D89" w:rsidP="00863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00022FF" w:usb1="C000205B" w:usb2="0000000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2D89" w:rsidRDefault="00082D89">
    <w:pPr>
      <w:pStyle w:val="Footer"/>
    </w:pPr>
  </w:p>
  <w:p w:rsidR="00082D89" w:rsidRDefault="00082D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1864433"/>
      <w:docPartObj>
        <w:docPartGallery w:val="Page Numbers (Bottom of Page)"/>
        <w:docPartUnique/>
      </w:docPartObj>
    </w:sdtPr>
    <w:sdtEndPr>
      <w:rPr>
        <w:color w:val="7F7F7F" w:themeColor="background1" w:themeShade="7F"/>
        <w:spacing w:val="60"/>
      </w:rPr>
    </w:sdtEndPr>
    <w:sdtContent>
      <w:p w:rsidR="00082D89" w:rsidRDefault="00082D8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082D89" w:rsidRDefault="00082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2D89" w:rsidRDefault="00082D89" w:rsidP="00863DD8">
      <w:pPr>
        <w:spacing w:after="0" w:line="240" w:lineRule="auto"/>
      </w:pPr>
      <w:r>
        <w:separator/>
      </w:r>
    </w:p>
  </w:footnote>
  <w:footnote w:type="continuationSeparator" w:id="0">
    <w:p w:rsidR="00082D89" w:rsidRDefault="00082D89" w:rsidP="00863D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2D89" w:rsidRDefault="00082D89">
    <w:pPr>
      <w:pStyle w:val="Header"/>
    </w:pPr>
    <w:r>
      <w:rPr>
        <w:noProof/>
      </w:rPr>
      <w:drawing>
        <wp:anchor distT="0" distB="0" distL="114300" distR="114300" simplePos="0" relativeHeight="251659264" behindDoc="0" locked="0" layoutInCell="1" allowOverlap="1" wp14:anchorId="3700F0C2" wp14:editId="3A2102FE">
          <wp:simplePos x="0" y="0"/>
          <wp:positionH relativeFrom="column">
            <wp:posOffset>4281463</wp:posOffset>
          </wp:positionH>
          <wp:positionV relativeFrom="paragraph">
            <wp:posOffset>-281012</wp:posOffset>
          </wp:positionV>
          <wp:extent cx="2297619" cy="494754"/>
          <wp:effectExtent l="0" t="0" r="762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ima capital high resolution final - Copy.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7619" cy="49475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F1F55"/>
    <w:multiLevelType w:val="multilevel"/>
    <w:tmpl w:val="5DA2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76CF6"/>
    <w:multiLevelType w:val="multilevel"/>
    <w:tmpl w:val="C9C2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13779"/>
    <w:multiLevelType w:val="multilevel"/>
    <w:tmpl w:val="AEC2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F0108"/>
    <w:multiLevelType w:val="hybridMultilevel"/>
    <w:tmpl w:val="5AB8A08C"/>
    <w:lvl w:ilvl="0" w:tplc="81669A1E">
      <w:start w:val="1"/>
      <w:numFmt w:val="decimal"/>
      <w:lvlText w:val="%1."/>
      <w:lvlJc w:val="left"/>
      <w:pPr>
        <w:ind w:left="720" w:hanging="360"/>
      </w:pPr>
      <w:rPr>
        <w:rFonts w:ascii="Times New Roman" w:hAnsi="Times New Roman" w:cs="Times New Roman" w:hint="default"/>
        <w:b/>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AF02AA"/>
    <w:multiLevelType w:val="multilevel"/>
    <w:tmpl w:val="D60E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DB497A"/>
    <w:multiLevelType w:val="multilevel"/>
    <w:tmpl w:val="351E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CE523F"/>
    <w:multiLevelType w:val="hybridMultilevel"/>
    <w:tmpl w:val="22BE5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B01C51"/>
    <w:multiLevelType w:val="multilevel"/>
    <w:tmpl w:val="0B0C3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1A58B9"/>
    <w:multiLevelType w:val="multilevel"/>
    <w:tmpl w:val="03AC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A914C3"/>
    <w:multiLevelType w:val="multilevel"/>
    <w:tmpl w:val="5E0E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E805A8"/>
    <w:multiLevelType w:val="multilevel"/>
    <w:tmpl w:val="DE6A2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AF4FF5"/>
    <w:multiLevelType w:val="multilevel"/>
    <w:tmpl w:val="4B9A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8A1C9E"/>
    <w:multiLevelType w:val="multilevel"/>
    <w:tmpl w:val="3754E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B3483A"/>
    <w:multiLevelType w:val="multilevel"/>
    <w:tmpl w:val="2AECF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9555B8"/>
    <w:multiLevelType w:val="multilevel"/>
    <w:tmpl w:val="6B4E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E76D5A"/>
    <w:multiLevelType w:val="multilevel"/>
    <w:tmpl w:val="C7D84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266E70"/>
    <w:multiLevelType w:val="multilevel"/>
    <w:tmpl w:val="08F4C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B56522"/>
    <w:multiLevelType w:val="multilevel"/>
    <w:tmpl w:val="1166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076382"/>
    <w:multiLevelType w:val="multilevel"/>
    <w:tmpl w:val="8876B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9928F3"/>
    <w:multiLevelType w:val="multilevel"/>
    <w:tmpl w:val="5690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432653"/>
    <w:multiLevelType w:val="multilevel"/>
    <w:tmpl w:val="F2681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8C380F"/>
    <w:multiLevelType w:val="multilevel"/>
    <w:tmpl w:val="C1A46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084EFC"/>
    <w:multiLevelType w:val="multilevel"/>
    <w:tmpl w:val="DE92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8E55C4"/>
    <w:multiLevelType w:val="multilevel"/>
    <w:tmpl w:val="1CD4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F658C1"/>
    <w:multiLevelType w:val="multilevel"/>
    <w:tmpl w:val="3BD8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A7336F"/>
    <w:multiLevelType w:val="multilevel"/>
    <w:tmpl w:val="DA045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0"/>
  </w:num>
  <w:num w:numId="3">
    <w:abstractNumId w:val="3"/>
  </w:num>
  <w:num w:numId="4">
    <w:abstractNumId w:val="10"/>
  </w:num>
  <w:num w:numId="5">
    <w:abstractNumId w:val="14"/>
  </w:num>
  <w:num w:numId="6">
    <w:abstractNumId w:val="11"/>
  </w:num>
  <w:num w:numId="7">
    <w:abstractNumId w:val="22"/>
  </w:num>
  <w:num w:numId="8">
    <w:abstractNumId w:val="17"/>
  </w:num>
  <w:num w:numId="9">
    <w:abstractNumId w:val="12"/>
  </w:num>
  <w:num w:numId="10">
    <w:abstractNumId w:val="19"/>
  </w:num>
  <w:num w:numId="11">
    <w:abstractNumId w:val="2"/>
  </w:num>
  <w:num w:numId="12">
    <w:abstractNumId w:val="4"/>
  </w:num>
  <w:num w:numId="13">
    <w:abstractNumId w:val="24"/>
  </w:num>
  <w:num w:numId="14">
    <w:abstractNumId w:val="8"/>
  </w:num>
  <w:num w:numId="15">
    <w:abstractNumId w:val="5"/>
  </w:num>
  <w:num w:numId="16">
    <w:abstractNumId w:val="13"/>
  </w:num>
  <w:num w:numId="17">
    <w:abstractNumId w:val="21"/>
  </w:num>
  <w:num w:numId="18">
    <w:abstractNumId w:val="15"/>
  </w:num>
  <w:num w:numId="19">
    <w:abstractNumId w:val="16"/>
  </w:num>
  <w:num w:numId="20">
    <w:abstractNumId w:val="0"/>
  </w:num>
  <w:num w:numId="21">
    <w:abstractNumId w:val="7"/>
  </w:num>
  <w:num w:numId="22">
    <w:abstractNumId w:val="9"/>
  </w:num>
  <w:num w:numId="23">
    <w:abstractNumId w:val="1"/>
  </w:num>
  <w:num w:numId="24">
    <w:abstractNumId w:val="23"/>
  </w:num>
  <w:num w:numId="25">
    <w:abstractNumId w:val="18"/>
  </w:num>
  <w:num w:numId="26">
    <w:abstractNumId w:val="2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825"/>
    <w:rsid w:val="000075BC"/>
    <w:rsid w:val="000215BF"/>
    <w:rsid w:val="00062678"/>
    <w:rsid w:val="00067FF5"/>
    <w:rsid w:val="00082D89"/>
    <w:rsid w:val="000914B3"/>
    <w:rsid w:val="000C1521"/>
    <w:rsid w:val="000D03A7"/>
    <w:rsid w:val="000E27B3"/>
    <w:rsid w:val="000F25B2"/>
    <w:rsid w:val="00116710"/>
    <w:rsid w:val="001250B0"/>
    <w:rsid w:val="00125882"/>
    <w:rsid w:val="00131496"/>
    <w:rsid w:val="00170782"/>
    <w:rsid w:val="001E5150"/>
    <w:rsid w:val="00205D57"/>
    <w:rsid w:val="002242CE"/>
    <w:rsid w:val="00226531"/>
    <w:rsid w:val="0025300D"/>
    <w:rsid w:val="00284327"/>
    <w:rsid w:val="002B0F4C"/>
    <w:rsid w:val="002B1B2E"/>
    <w:rsid w:val="002B1CD2"/>
    <w:rsid w:val="002D00CA"/>
    <w:rsid w:val="002D0788"/>
    <w:rsid w:val="002E3507"/>
    <w:rsid w:val="00307701"/>
    <w:rsid w:val="00316942"/>
    <w:rsid w:val="00317C1B"/>
    <w:rsid w:val="0034105D"/>
    <w:rsid w:val="00343630"/>
    <w:rsid w:val="003509E7"/>
    <w:rsid w:val="003615D0"/>
    <w:rsid w:val="00365C46"/>
    <w:rsid w:val="003A50D7"/>
    <w:rsid w:val="003B7E5B"/>
    <w:rsid w:val="003E4F4D"/>
    <w:rsid w:val="003E53FD"/>
    <w:rsid w:val="003F3701"/>
    <w:rsid w:val="00402961"/>
    <w:rsid w:val="004144E5"/>
    <w:rsid w:val="00423CD8"/>
    <w:rsid w:val="00436CE6"/>
    <w:rsid w:val="00472B34"/>
    <w:rsid w:val="00481C62"/>
    <w:rsid w:val="00485818"/>
    <w:rsid w:val="004962DC"/>
    <w:rsid w:val="004B3AB2"/>
    <w:rsid w:val="004F5E83"/>
    <w:rsid w:val="004F6270"/>
    <w:rsid w:val="00512551"/>
    <w:rsid w:val="00524665"/>
    <w:rsid w:val="005374CF"/>
    <w:rsid w:val="005416AD"/>
    <w:rsid w:val="00581280"/>
    <w:rsid w:val="00597F3B"/>
    <w:rsid w:val="005A298E"/>
    <w:rsid w:val="005A3873"/>
    <w:rsid w:val="005A7A23"/>
    <w:rsid w:val="005F0E78"/>
    <w:rsid w:val="005F5618"/>
    <w:rsid w:val="006071AD"/>
    <w:rsid w:val="00616F6C"/>
    <w:rsid w:val="006263E4"/>
    <w:rsid w:val="006431C4"/>
    <w:rsid w:val="006518FE"/>
    <w:rsid w:val="0065551C"/>
    <w:rsid w:val="00660980"/>
    <w:rsid w:val="006856AF"/>
    <w:rsid w:val="006B6176"/>
    <w:rsid w:val="006C016E"/>
    <w:rsid w:val="006D7549"/>
    <w:rsid w:val="006E4174"/>
    <w:rsid w:val="006E5BA1"/>
    <w:rsid w:val="006F14BA"/>
    <w:rsid w:val="00700D9A"/>
    <w:rsid w:val="00710AEE"/>
    <w:rsid w:val="00715C46"/>
    <w:rsid w:val="00727E53"/>
    <w:rsid w:val="00744A9D"/>
    <w:rsid w:val="0074577C"/>
    <w:rsid w:val="00775E4F"/>
    <w:rsid w:val="007C5FD1"/>
    <w:rsid w:val="007C69E0"/>
    <w:rsid w:val="007D415A"/>
    <w:rsid w:val="007F18E6"/>
    <w:rsid w:val="0082255E"/>
    <w:rsid w:val="0084786A"/>
    <w:rsid w:val="00857E09"/>
    <w:rsid w:val="00861E7D"/>
    <w:rsid w:val="00863DD8"/>
    <w:rsid w:val="00877D1A"/>
    <w:rsid w:val="00887281"/>
    <w:rsid w:val="008A2194"/>
    <w:rsid w:val="008B0B6E"/>
    <w:rsid w:val="008B53F0"/>
    <w:rsid w:val="008C2238"/>
    <w:rsid w:val="008C54D0"/>
    <w:rsid w:val="008C75E1"/>
    <w:rsid w:val="008D3D43"/>
    <w:rsid w:val="008E222C"/>
    <w:rsid w:val="008F08C2"/>
    <w:rsid w:val="009024FD"/>
    <w:rsid w:val="009077CD"/>
    <w:rsid w:val="0091098D"/>
    <w:rsid w:val="00912BC6"/>
    <w:rsid w:val="00944817"/>
    <w:rsid w:val="00944D5F"/>
    <w:rsid w:val="009A26F0"/>
    <w:rsid w:val="009A2B31"/>
    <w:rsid w:val="009B4D63"/>
    <w:rsid w:val="009B5966"/>
    <w:rsid w:val="009D3105"/>
    <w:rsid w:val="009E3329"/>
    <w:rsid w:val="009E489B"/>
    <w:rsid w:val="00A021B0"/>
    <w:rsid w:val="00A1095F"/>
    <w:rsid w:val="00A22C53"/>
    <w:rsid w:val="00A34A4F"/>
    <w:rsid w:val="00A64CDA"/>
    <w:rsid w:val="00A81AE1"/>
    <w:rsid w:val="00A86567"/>
    <w:rsid w:val="00AA09C9"/>
    <w:rsid w:val="00AD51F4"/>
    <w:rsid w:val="00AE4B7F"/>
    <w:rsid w:val="00AF4EC0"/>
    <w:rsid w:val="00B01671"/>
    <w:rsid w:val="00B130AC"/>
    <w:rsid w:val="00B242FF"/>
    <w:rsid w:val="00B8574E"/>
    <w:rsid w:val="00BA4ACA"/>
    <w:rsid w:val="00BD30C9"/>
    <w:rsid w:val="00BE16B5"/>
    <w:rsid w:val="00C0336C"/>
    <w:rsid w:val="00C26506"/>
    <w:rsid w:val="00C340EB"/>
    <w:rsid w:val="00C3673D"/>
    <w:rsid w:val="00C427C3"/>
    <w:rsid w:val="00C45918"/>
    <w:rsid w:val="00C74392"/>
    <w:rsid w:val="00C86D51"/>
    <w:rsid w:val="00CA5767"/>
    <w:rsid w:val="00CB226C"/>
    <w:rsid w:val="00CD0EDC"/>
    <w:rsid w:val="00D215BE"/>
    <w:rsid w:val="00D46A8C"/>
    <w:rsid w:val="00D64F47"/>
    <w:rsid w:val="00D720EB"/>
    <w:rsid w:val="00D80489"/>
    <w:rsid w:val="00DA21BC"/>
    <w:rsid w:val="00DB3198"/>
    <w:rsid w:val="00DB56F9"/>
    <w:rsid w:val="00DD5825"/>
    <w:rsid w:val="00DD6C88"/>
    <w:rsid w:val="00DE3F40"/>
    <w:rsid w:val="00DF3F6C"/>
    <w:rsid w:val="00DF5288"/>
    <w:rsid w:val="00E31105"/>
    <w:rsid w:val="00E60B35"/>
    <w:rsid w:val="00E707E9"/>
    <w:rsid w:val="00E74053"/>
    <w:rsid w:val="00EA2831"/>
    <w:rsid w:val="00EB57FE"/>
    <w:rsid w:val="00EE1AF7"/>
    <w:rsid w:val="00EF1245"/>
    <w:rsid w:val="00EF3C9A"/>
    <w:rsid w:val="00F05D2C"/>
    <w:rsid w:val="00F146C5"/>
    <w:rsid w:val="00F1635F"/>
    <w:rsid w:val="00F2544B"/>
    <w:rsid w:val="00F40859"/>
    <w:rsid w:val="00F4291D"/>
    <w:rsid w:val="00F7223C"/>
    <w:rsid w:val="00F916A3"/>
    <w:rsid w:val="00FE1823"/>
    <w:rsid w:val="00FE4167"/>
    <w:rsid w:val="00FE7CD6"/>
    <w:rsid w:val="00FE7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4CA4B9F6"/>
  <w15:chartTrackingRefBased/>
  <w15:docId w15:val="{EB587161-ED1C-487E-B2B7-5F3BE53EF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549"/>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6D7549"/>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6D7549"/>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link w:val="Heading4Char"/>
    <w:uiPriority w:val="9"/>
    <w:qFormat/>
    <w:rsid w:val="006518F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518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18FE"/>
    <w:rPr>
      <w:b/>
      <w:bCs/>
    </w:rPr>
  </w:style>
  <w:style w:type="character" w:customStyle="1" w:styleId="Heading4Char">
    <w:name w:val="Heading 4 Char"/>
    <w:basedOn w:val="DefaultParagraphFont"/>
    <w:link w:val="Heading4"/>
    <w:uiPriority w:val="9"/>
    <w:rsid w:val="006518FE"/>
    <w:rPr>
      <w:rFonts w:ascii="Times New Roman" w:eastAsia="Times New Roman" w:hAnsi="Times New Roman" w:cs="Times New Roman"/>
      <w:b/>
      <w:bCs/>
      <w:sz w:val="24"/>
      <w:szCs w:val="24"/>
    </w:rPr>
  </w:style>
  <w:style w:type="table" w:styleId="TableGridLight">
    <w:name w:val="Grid Table Light"/>
    <w:basedOn w:val="TableNormal"/>
    <w:uiPriority w:val="40"/>
    <w:rsid w:val="005374C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99"/>
    <w:rsid w:val="00C4591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863D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3DD8"/>
  </w:style>
  <w:style w:type="paragraph" w:styleId="Footer">
    <w:name w:val="footer"/>
    <w:basedOn w:val="Normal"/>
    <w:link w:val="FooterChar"/>
    <w:uiPriority w:val="99"/>
    <w:unhideWhenUsed/>
    <w:rsid w:val="00863D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3DD8"/>
  </w:style>
  <w:style w:type="character" w:styleId="Hyperlink">
    <w:name w:val="Hyperlink"/>
    <w:basedOn w:val="DefaultParagraphFont"/>
    <w:uiPriority w:val="99"/>
    <w:unhideWhenUsed/>
    <w:rsid w:val="00A22C53"/>
    <w:rPr>
      <w:color w:val="0563C1"/>
      <w:u w:val="single"/>
    </w:rPr>
  </w:style>
  <w:style w:type="table" w:styleId="TableGrid">
    <w:name w:val="Table Grid"/>
    <w:basedOn w:val="TableNormal"/>
    <w:uiPriority w:val="39"/>
    <w:rsid w:val="00A22C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22C5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
    <w:name w:val="Grid Table 4"/>
    <w:basedOn w:val="TableNormal"/>
    <w:uiPriority w:val="49"/>
    <w:rsid w:val="00A81AE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A81AE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A81AE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6">
    <w:name w:val="Grid Table 1 Light Accent 6"/>
    <w:basedOn w:val="TableNormal"/>
    <w:uiPriority w:val="46"/>
    <w:rsid w:val="00317C1B"/>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3-Accent2">
    <w:name w:val="Grid Table 3 Accent 2"/>
    <w:basedOn w:val="TableNormal"/>
    <w:uiPriority w:val="48"/>
    <w:rsid w:val="00317C1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
    <w:name w:val="Grid Table 3"/>
    <w:basedOn w:val="TableNormal"/>
    <w:uiPriority w:val="48"/>
    <w:rsid w:val="00317C1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ListParagraph">
    <w:name w:val="List Paragraph"/>
    <w:basedOn w:val="Normal"/>
    <w:uiPriority w:val="34"/>
    <w:qFormat/>
    <w:rsid w:val="003E4F4D"/>
    <w:pPr>
      <w:ind w:left="720"/>
      <w:contextualSpacing/>
    </w:pPr>
  </w:style>
  <w:style w:type="paragraph" w:styleId="BalloonText">
    <w:name w:val="Balloon Text"/>
    <w:basedOn w:val="Normal"/>
    <w:link w:val="BalloonTextChar"/>
    <w:uiPriority w:val="99"/>
    <w:semiHidden/>
    <w:unhideWhenUsed/>
    <w:rsid w:val="005416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16AD"/>
    <w:rPr>
      <w:rFonts w:ascii="Segoe UI" w:hAnsi="Segoe UI" w:cs="Segoe UI"/>
      <w:sz w:val="18"/>
      <w:szCs w:val="18"/>
    </w:rPr>
  </w:style>
  <w:style w:type="character" w:styleId="LineNumber">
    <w:name w:val="line number"/>
    <w:basedOn w:val="DefaultParagraphFont"/>
    <w:uiPriority w:val="99"/>
    <w:semiHidden/>
    <w:unhideWhenUsed/>
    <w:rsid w:val="00F4291D"/>
  </w:style>
  <w:style w:type="paragraph" w:styleId="NoSpacing">
    <w:name w:val="No Spacing"/>
    <w:link w:val="NoSpacingChar"/>
    <w:uiPriority w:val="1"/>
    <w:qFormat/>
    <w:rsid w:val="000C1521"/>
    <w:pPr>
      <w:spacing w:after="0" w:line="240" w:lineRule="auto"/>
    </w:pPr>
    <w:rPr>
      <w:rFonts w:eastAsiaTheme="minorEastAsia"/>
    </w:rPr>
  </w:style>
  <w:style w:type="character" w:customStyle="1" w:styleId="NoSpacingChar">
    <w:name w:val="No Spacing Char"/>
    <w:basedOn w:val="DefaultParagraphFont"/>
    <w:link w:val="NoSpacing"/>
    <w:uiPriority w:val="1"/>
    <w:rsid w:val="000C1521"/>
    <w:rPr>
      <w:rFonts w:eastAsiaTheme="minorEastAsia"/>
    </w:rPr>
  </w:style>
  <w:style w:type="character" w:styleId="PlaceholderText">
    <w:name w:val="Placeholder Text"/>
    <w:basedOn w:val="DefaultParagraphFont"/>
    <w:uiPriority w:val="99"/>
    <w:semiHidden/>
    <w:rsid w:val="00F146C5"/>
    <w:rPr>
      <w:color w:val="808080"/>
    </w:rPr>
  </w:style>
  <w:style w:type="character" w:customStyle="1" w:styleId="Heading1Char">
    <w:name w:val="Heading 1 Char"/>
    <w:basedOn w:val="DefaultParagraphFont"/>
    <w:link w:val="Heading1"/>
    <w:uiPriority w:val="9"/>
    <w:rsid w:val="006D7549"/>
    <w:rPr>
      <w:rFonts w:asciiTheme="majorHAnsi" w:eastAsiaTheme="majorEastAsia" w:hAnsiTheme="majorHAnsi" w:cstheme="majorBidi"/>
      <w:b/>
      <w:color w:val="2F5496" w:themeColor="accent1" w:themeShade="BF"/>
      <w:sz w:val="36"/>
      <w:szCs w:val="32"/>
    </w:rPr>
  </w:style>
  <w:style w:type="table" w:styleId="LightGrid-Accent1">
    <w:name w:val="Light Grid Accent 1"/>
    <w:basedOn w:val="TableNormal"/>
    <w:uiPriority w:val="62"/>
    <w:rsid w:val="00E707E9"/>
    <w:pPr>
      <w:spacing w:after="0" w:line="240" w:lineRule="auto"/>
    </w:pPr>
    <w:rPr>
      <w:rFonts w:eastAsiaTheme="minorEastAsia"/>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character" w:customStyle="1" w:styleId="Heading3Char">
    <w:name w:val="Heading 3 Char"/>
    <w:basedOn w:val="DefaultParagraphFont"/>
    <w:link w:val="Heading3"/>
    <w:uiPriority w:val="9"/>
    <w:rsid w:val="006D7549"/>
    <w:rPr>
      <w:rFonts w:asciiTheme="majorHAnsi" w:eastAsiaTheme="majorEastAsia" w:hAnsiTheme="majorHAnsi" w:cstheme="majorBidi"/>
      <w:b/>
      <w:sz w:val="24"/>
      <w:szCs w:val="24"/>
    </w:rPr>
  </w:style>
  <w:style w:type="character" w:customStyle="1" w:styleId="Heading2Char">
    <w:name w:val="Heading 2 Char"/>
    <w:basedOn w:val="DefaultParagraphFont"/>
    <w:link w:val="Heading2"/>
    <w:uiPriority w:val="9"/>
    <w:rsid w:val="006D7549"/>
    <w:rPr>
      <w:rFonts w:ascii="Times New Roman" w:eastAsiaTheme="majorEastAsia" w:hAnsi="Times New Roman" w:cstheme="majorBidi"/>
      <w:b/>
      <w:color w:val="000000" w:themeColor="text1"/>
      <w:sz w:val="28"/>
      <w:szCs w:val="26"/>
    </w:rPr>
  </w:style>
  <w:style w:type="paragraph" w:customStyle="1" w:styleId="whitespace-pre-wrap">
    <w:name w:val="whitespace-pre-wrap"/>
    <w:basedOn w:val="Normal"/>
    <w:rsid w:val="005A29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hitespace-normal">
    <w:name w:val="whitespace-normal"/>
    <w:basedOn w:val="Normal"/>
    <w:rsid w:val="005A298E"/>
    <w:pPr>
      <w:spacing w:before="100" w:beforeAutospacing="1" w:after="100" w:afterAutospacing="1" w:line="240" w:lineRule="auto"/>
    </w:pPr>
    <w:rPr>
      <w:rFonts w:ascii="Times New Roman" w:eastAsia="Times New Roman" w:hAnsi="Times New Roman" w:cs="Times New Roman"/>
      <w:sz w:val="24"/>
      <w:szCs w:val="24"/>
    </w:rPr>
  </w:style>
  <w:style w:type="table" w:styleId="PlainTable2">
    <w:name w:val="Plain Table 2"/>
    <w:basedOn w:val="TableNormal"/>
    <w:uiPriority w:val="42"/>
    <w:rsid w:val="00205D5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AF4EC0"/>
    <w:pPr>
      <w:outlineLvl w:val="9"/>
    </w:pPr>
    <w:rPr>
      <w:b w:val="0"/>
      <w:sz w:val="32"/>
    </w:rPr>
  </w:style>
  <w:style w:type="paragraph" w:styleId="TOC1">
    <w:name w:val="toc 1"/>
    <w:basedOn w:val="Normal"/>
    <w:next w:val="Normal"/>
    <w:autoRedefine/>
    <w:uiPriority w:val="39"/>
    <w:unhideWhenUsed/>
    <w:rsid w:val="00AF4EC0"/>
    <w:pPr>
      <w:spacing w:after="100"/>
    </w:pPr>
  </w:style>
  <w:style w:type="paragraph" w:styleId="TOC2">
    <w:name w:val="toc 2"/>
    <w:basedOn w:val="Normal"/>
    <w:next w:val="Normal"/>
    <w:autoRedefine/>
    <w:uiPriority w:val="39"/>
    <w:unhideWhenUsed/>
    <w:rsid w:val="00AF4EC0"/>
    <w:pPr>
      <w:spacing w:after="100"/>
      <w:ind w:left="220"/>
    </w:pPr>
  </w:style>
  <w:style w:type="paragraph" w:styleId="TOC3">
    <w:name w:val="toc 3"/>
    <w:basedOn w:val="Normal"/>
    <w:next w:val="Normal"/>
    <w:autoRedefine/>
    <w:uiPriority w:val="39"/>
    <w:unhideWhenUsed/>
    <w:rsid w:val="00AF4EC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403">
      <w:bodyDiv w:val="1"/>
      <w:marLeft w:val="0"/>
      <w:marRight w:val="0"/>
      <w:marTop w:val="0"/>
      <w:marBottom w:val="0"/>
      <w:divBdr>
        <w:top w:val="none" w:sz="0" w:space="0" w:color="auto"/>
        <w:left w:val="none" w:sz="0" w:space="0" w:color="auto"/>
        <w:bottom w:val="none" w:sz="0" w:space="0" w:color="auto"/>
        <w:right w:val="none" w:sz="0" w:space="0" w:color="auto"/>
      </w:divBdr>
    </w:div>
    <w:div w:id="83842031">
      <w:bodyDiv w:val="1"/>
      <w:marLeft w:val="0"/>
      <w:marRight w:val="0"/>
      <w:marTop w:val="0"/>
      <w:marBottom w:val="0"/>
      <w:divBdr>
        <w:top w:val="none" w:sz="0" w:space="0" w:color="auto"/>
        <w:left w:val="none" w:sz="0" w:space="0" w:color="auto"/>
        <w:bottom w:val="none" w:sz="0" w:space="0" w:color="auto"/>
        <w:right w:val="none" w:sz="0" w:space="0" w:color="auto"/>
      </w:divBdr>
    </w:div>
    <w:div w:id="84376097">
      <w:bodyDiv w:val="1"/>
      <w:marLeft w:val="0"/>
      <w:marRight w:val="0"/>
      <w:marTop w:val="0"/>
      <w:marBottom w:val="0"/>
      <w:divBdr>
        <w:top w:val="none" w:sz="0" w:space="0" w:color="auto"/>
        <w:left w:val="none" w:sz="0" w:space="0" w:color="auto"/>
        <w:bottom w:val="none" w:sz="0" w:space="0" w:color="auto"/>
        <w:right w:val="none" w:sz="0" w:space="0" w:color="auto"/>
      </w:divBdr>
    </w:div>
    <w:div w:id="105583544">
      <w:bodyDiv w:val="1"/>
      <w:marLeft w:val="0"/>
      <w:marRight w:val="0"/>
      <w:marTop w:val="0"/>
      <w:marBottom w:val="0"/>
      <w:divBdr>
        <w:top w:val="none" w:sz="0" w:space="0" w:color="auto"/>
        <w:left w:val="none" w:sz="0" w:space="0" w:color="auto"/>
        <w:bottom w:val="none" w:sz="0" w:space="0" w:color="auto"/>
        <w:right w:val="none" w:sz="0" w:space="0" w:color="auto"/>
      </w:divBdr>
    </w:div>
    <w:div w:id="223563232">
      <w:bodyDiv w:val="1"/>
      <w:marLeft w:val="0"/>
      <w:marRight w:val="0"/>
      <w:marTop w:val="0"/>
      <w:marBottom w:val="0"/>
      <w:divBdr>
        <w:top w:val="none" w:sz="0" w:space="0" w:color="auto"/>
        <w:left w:val="none" w:sz="0" w:space="0" w:color="auto"/>
        <w:bottom w:val="none" w:sz="0" w:space="0" w:color="auto"/>
        <w:right w:val="none" w:sz="0" w:space="0" w:color="auto"/>
      </w:divBdr>
    </w:div>
    <w:div w:id="307365394">
      <w:bodyDiv w:val="1"/>
      <w:marLeft w:val="0"/>
      <w:marRight w:val="0"/>
      <w:marTop w:val="0"/>
      <w:marBottom w:val="0"/>
      <w:divBdr>
        <w:top w:val="none" w:sz="0" w:space="0" w:color="auto"/>
        <w:left w:val="none" w:sz="0" w:space="0" w:color="auto"/>
        <w:bottom w:val="none" w:sz="0" w:space="0" w:color="auto"/>
        <w:right w:val="none" w:sz="0" w:space="0" w:color="auto"/>
      </w:divBdr>
    </w:div>
    <w:div w:id="346564273">
      <w:bodyDiv w:val="1"/>
      <w:marLeft w:val="0"/>
      <w:marRight w:val="0"/>
      <w:marTop w:val="0"/>
      <w:marBottom w:val="0"/>
      <w:divBdr>
        <w:top w:val="none" w:sz="0" w:space="0" w:color="auto"/>
        <w:left w:val="none" w:sz="0" w:space="0" w:color="auto"/>
        <w:bottom w:val="none" w:sz="0" w:space="0" w:color="auto"/>
        <w:right w:val="none" w:sz="0" w:space="0" w:color="auto"/>
      </w:divBdr>
    </w:div>
    <w:div w:id="395785802">
      <w:bodyDiv w:val="1"/>
      <w:marLeft w:val="0"/>
      <w:marRight w:val="0"/>
      <w:marTop w:val="0"/>
      <w:marBottom w:val="0"/>
      <w:divBdr>
        <w:top w:val="none" w:sz="0" w:space="0" w:color="auto"/>
        <w:left w:val="none" w:sz="0" w:space="0" w:color="auto"/>
        <w:bottom w:val="none" w:sz="0" w:space="0" w:color="auto"/>
        <w:right w:val="none" w:sz="0" w:space="0" w:color="auto"/>
      </w:divBdr>
    </w:div>
    <w:div w:id="404454305">
      <w:bodyDiv w:val="1"/>
      <w:marLeft w:val="0"/>
      <w:marRight w:val="0"/>
      <w:marTop w:val="0"/>
      <w:marBottom w:val="0"/>
      <w:divBdr>
        <w:top w:val="none" w:sz="0" w:space="0" w:color="auto"/>
        <w:left w:val="none" w:sz="0" w:space="0" w:color="auto"/>
        <w:bottom w:val="none" w:sz="0" w:space="0" w:color="auto"/>
        <w:right w:val="none" w:sz="0" w:space="0" w:color="auto"/>
      </w:divBdr>
    </w:div>
    <w:div w:id="454831476">
      <w:bodyDiv w:val="1"/>
      <w:marLeft w:val="0"/>
      <w:marRight w:val="0"/>
      <w:marTop w:val="0"/>
      <w:marBottom w:val="0"/>
      <w:divBdr>
        <w:top w:val="none" w:sz="0" w:space="0" w:color="auto"/>
        <w:left w:val="none" w:sz="0" w:space="0" w:color="auto"/>
        <w:bottom w:val="none" w:sz="0" w:space="0" w:color="auto"/>
        <w:right w:val="none" w:sz="0" w:space="0" w:color="auto"/>
      </w:divBdr>
    </w:div>
    <w:div w:id="454904983">
      <w:bodyDiv w:val="1"/>
      <w:marLeft w:val="0"/>
      <w:marRight w:val="0"/>
      <w:marTop w:val="0"/>
      <w:marBottom w:val="0"/>
      <w:divBdr>
        <w:top w:val="none" w:sz="0" w:space="0" w:color="auto"/>
        <w:left w:val="none" w:sz="0" w:space="0" w:color="auto"/>
        <w:bottom w:val="none" w:sz="0" w:space="0" w:color="auto"/>
        <w:right w:val="none" w:sz="0" w:space="0" w:color="auto"/>
      </w:divBdr>
    </w:div>
    <w:div w:id="507673566">
      <w:bodyDiv w:val="1"/>
      <w:marLeft w:val="0"/>
      <w:marRight w:val="0"/>
      <w:marTop w:val="0"/>
      <w:marBottom w:val="0"/>
      <w:divBdr>
        <w:top w:val="none" w:sz="0" w:space="0" w:color="auto"/>
        <w:left w:val="none" w:sz="0" w:space="0" w:color="auto"/>
        <w:bottom w:val="none" w:sz="0" w:space="0" w:color="auto"/>
        <w:right w:val="none" w:sz="0" w:space="0" w:color="auto"/>
      </w:divBdr>
    </w:div>
    <w:div w:id="526917194">
      <w:bodyDiv w:val="1"/>
      <w:marLeft w:val="0"/>
      <w:marRight w:val="0"/>
      <w:marTop w:val="0"/>
      <w:marBottom w:val="0"/>
      <w:divBdr>
        <w:top w:val="none" w:sz="0" w:space="0" w:color="auto"/>
        <w:left w:val="none" w:sz="0" w:space="0" w:color="auto"/>
        <w:bottom w:val="none" w:sz="0" w:space="0" w:color="auto"/>
        <w:right w:val="none" w:sz="0" w:space="0" w:color="auto"/>
      </w:divBdr>
    </w:div>
    <w:div w:id="655033565">
      <w:bodyDiv w:val="1"/>
      <w:marLeft w:val="0"/>
      <w:marRight w:val="0"/>
      <w:marTop w:val="0"/>
      <w:marBottom w:val="0"/>
      <w:divBdr>
        <w:top w:val="none" w:sz="0" w:space="0" w:color="auto"/>
        <w:left w:val="none" w:sz="0" w:space="0" w:color="auto"/>
        <w:bottom w:val="none" w:sz="0" w:space="0" w:color="auto"/>
        <w:right w:val="none" w:sz="0" w:space="0" w:color="auto"/>
      </w:divBdr>
    </w:div>
    <w:div w:id="665325633">
      <w:bodyDiv w:val="1"/>
      <w:marLeft w:val="0"/>
      <w:marRight w:val="0"/>
      <w:marTop w:val="0"/>
      <w:marBottom w:val="0"/>
      <w:divBdr>
        <w:top w:val="none" w:sz="0" w:space="0" w:color="auto"/>
        <w:left w:val="none" w:sz="0" w:space="0" w:color="auto"/>
        <w:bottom w:val="none" w:sz="0" w:space="0" w:color="auto"/>
        <w:right w:val="none" w:sz="0" w:space="0" w:color="auto"/>
      </w:divBdr>
    </w:div>
    <w:div w:id="669991324">
      <w:bodyDiv w:val="1"/>
      <w:marLeft w:val="0"/>
      <w:marRight w:val="0"/>
      <w:marTop w:val="0"/>
      <w:marBottom w:val="0"/>
      <w:divBdr>
        <w:top w:val="none" w:sz="0" w:space="0" w:color="auto"/>
        <w:left w:val="none" w:sz="0" w:space="0" w:color="auto"/>
        <w:bottom w:val="none" w:sz="0" w:space="0" w:color="auto"/>
        <w:right w:val="none" w:sz="0" w:space="0" w:color="auto"/>
      </w:divBdr>
    </w:div>
    <w:div w:id="803236304">
      <w:bodyDiv w:val="1"/>
      <w:marLeft w:val="0"/>
      <w:marRight w:val="0"/>
      <w:marTop w:val="0"/>
      <w:marBottom w:val="0"/>
      <w:divBdr>
        <w:top w:val="none" w:sz="0" w:space="0" w:color="auto"/>
        <w:left w:val="none" w:sz="0" w:space="0" w:color="auto"/>
        <w:bottom w:val="none" w:sz="0" w:space="0" w:color="auto"/>
        <w:right w:val="none" w:sz="0" w:space="0" w:color="auto"/>
      </w:divBdr>
    </w:div>
    <w:div w:id="885684620">
      <w:bodyDiv w:val="1"/>
      <w:marLeft w:val="0"/>
      <w:marRight w:val="0"/>
      <w:marTop w:val="0"/>
      <w:marBottom w:val="0"/>
      <w:divBdr>
        <w:top w:val="none" w:sz="0" w:space="0" w:color="auto"/>
        <w:left w:val="none" w:sz="0" w:space="0" w:color="auto"/>
        <w:bottom w:val="none" w:sz="0" w:space="0" w:color="auto"/>
        <w:right w:val="none" w:sz="0" w:space="0" w:color="auto"/>
      </w:divBdr>
    </w:div>
    <w:div w:id="899704952">
      <w:bodyDiv w:val="1"/>
      <w:marLeft w:val="0"/>
      <w:marRight w:val="0"/>
      <w:marTop w:val="0"/>
      <w:marBottom w:val="0"/>
      <w:divBdr>
        <w:top w:val="none" w:sz="0" w:space="0" w:color="auto"/>
        <w:left w:val="none" w:sz="0" w:space="0" w:color="auto"/>
        <w:bottom w:val="none" w:sz="0" w:space="0" w:color="auto"/>
        <w:right w:val="none" w:sz="0" w:space="0" w:color="auto"/>
      </w:divBdr>
    </w:div>
    <w:div w:id="934168074">
      <w:bodyDiv w:val="1"/>
      <w:marLeft w:val="0"/>
      <w:marRight w:val="0"/>
      <w:marTop w:val="0"/>
      <w:marBottom w:val="0"/>
      <w:divBdr>
        <w:top w:val="none" w:sz="0" w:space="0" w:color="auto"/>
        <w:left w:val="none" w:sz="0" w:space="0" w:color="auto"/>
        <w:bottom w:val="none" w:sz="0" w:space="0" w:color="auto"/>
        <w:right w:val="none" w:sz="0" w:space="0" w:color="auto"/>
      </w:divBdr>
    </w:div>
    <w:div w:id="1114128312">
      <w:bodyDiv w:val="1"/>
      <w:marLeft w:val="0"/>
      <w:marRight w:val="0"/>
      <w:marTop w:val="0"/>
      <w:marBottom w:val="0"/>
      <w:divBdr>
        <w:top w:val="none" w:sz="0" w:space="0" w:color="auto"/>
        <w:left w:val="none" w:sz="0" w:space="0" w:color="auto"/>
        <w:bottom w:val="none" w:sz="0" w:space="0" w:color="auto"/>
        <w:right w:val="none" w:sz="0" w:space="0" w:color="auto"/>
      </w:divBdr>
    </w:div>
    <w:div w:id="1225022463">
      <w:bodyDiv w:val="1"/>
      <w:marLeft w:val="0"/>
      <w:marRight w:val="0"/>
      <w:marTop w:val="0"/>
      <w:marBottom w:val="0"/>
      <w:divBdr>
        <w:top w:val="none" w:sz="0" w:space="0" w:color="auto"/>
        <w:left w:val="none" w:sz="0" w:space="0" w:color="auto"/>
        <w:bottom w:val="none" w:sz="0" w:space="0" w:color="auto"/>
        <w:right w:val="none" w:sz="0" w:space="0" w:color="auto"/>
      </w:divBdr>
    </w:div>
    <w:div w:id="1249653456">
      <w:bodyDiv w:val="1"/>
      <w:marLeft w:val="0"/>
      <w:marRight w:val="0"/>
      <w:marTop w:val="0"/>
      <w:marBottom w:val="0"/>
      <w:divBdr>
        <w:top w:val="none" w:sz="0" w:space="0" w:color="auto"/>
        <w:left w:val="none" w:sz="0" w:space="0" w:color="auto"/>
        <w:bottom w:val="none" w:sz="0" w:space="0" w:color="auto"/>
        <w:right w:val="none" w:sz="0" w:space="0" w:color="auto"/>
      </w:divBdr>
    </w:div>
    <w:div w:id="1281911120">
      <w:bodyDiv w:val="1"/>
      <w:marLeft w:val="0"/>
      <w:marRight w:val="0"/>
      <w:marTop w:val="0"/>
      <w:marBottom w:val="0"/>
      <w:divBdr>
        <w:top w:val="none" w:sz="0" w:space="0" w:color="auto"/>
        <w:left w:val="none" w:sz="0" w:space="0" w:color="auto"/>
        <w:bottom w:val="none" w:sz="0" w:space="0" w:color="auto"/>
        <w:right w:val="none" w:sz="0" w:space="0" w:color="auto"/>
      </w:divBdr>
    </w:div>
    <w:div w:id="1358236381">
      <w:bodyDiv w:val="1"/>
      <w:marLeft w:val="0"/>
      <w:marRight w:val="0"/>
      <w:marTop w:val="0"/>
      <w:marBottom w:val="0"/>
      <w:divBdr>
        <w:top w:val="none" w:sz="0" w:space="0" w:color="auto"/>
        <w:left w:val="none" w:sz="0" w:space="0" w:color="auto"/>
        <w:bottom w:val="none" w:sz="0" w:space="0" w:color="auto"/>
        <w:right w:val="none" w:sz="0" w:space="0" w:color="auto"/>
      </w:divBdr>
    </w:div>
    <w:div w:id="1399012329">
      <w:bodyDiv w:val="1"/>
      <w:marLeft w:val="0"/>
      <w:marRight w:val="0"/>
      <w:marTop w:val="0"/>
      <w:marBottom w:val="0"/>
      <w:divBdr>
        <w:top w:val="none" w:sz="0" w:space="0" w:color="auto"/>
        <w:left w:val="none" w:sz="0" w:space="0" w:color="auto"/>
        <w:bottom w:val="none" w:sz="0" w:space="0" w:color="auto"/>
        <w:right w:val="none" w:sz="0" w:space="0" w:color="auto"/>
      </w:divBdr>
    </w:div>
    <w:div w:id="1403334745">
      <w:bodyDiv w:val="1"/>
      <w:marLeft w:val="0"/>
      <w:marRight w:val="0"/>
      <w:marTop w:val="0"/>
      <w:marBottom w:val="0"/>
      <w:divBdr>
        <w:top w:val="none" w:sz="0" w:space="0" w:color="auto"/>
        <w:left w:val="none" w:sz="0" w:space="0" w:color="auto"/>
        <w:bottom w:val="none" w:sz="0" w:space="0" w:color="auto"/>
        <w:right w:val="none" w:sz="0" w:space="0" w:color="auto"/>
      </w:divBdr>
    </w:div>
    <w:div w:id="1424376593">
      <w:bodyDiv w:val="1"/>
      <w:marLeft w:val="0"/>
      <w:marRight w:val="0"/>
      <w:marTop w:val="0"/>
      <w:marBottom w:val="0"/>
      <w:divBdr>
        <w:top w:val="none" w:sz="0" w:space="0" w:color="auto"/>
        <w:left w:val="none" w:sz="0" w:space="0" w:color="auto"/>
        <w:bottom w:val="none" w:sz="0" w:space="0" w:color="auto"/>
        <w:right w:val="none" w:sz="0" w:space="0" w:color="auto"/>
      </w:divBdr>
    </w:div>
    <w:div w:id="1476531931">
      <w:bodyDiv w:val="1"/>
      <w:marLeft w:val="0"/>
      <w:marRight w:val="0"/>
      <w:marTop w:val="0"/>
      <w:marBottom w:val="0"/>
      <w:divBdr>
        <w:top w:val="none" w:sz="0" w:space="0" w:color="auto"/>
        <w:left w:val="none" w:sz="0" w:space="0" w:color="auto"/>
        <w:bottom w:val="none" w:sz="0" w:space="0" w:color="auto"/>
        <w:right w:val="none" w:sz="0" w:space="0" w:color="auto"/>
      </w:divBdr>
    </w:div>
    <w:div w:id="1545946320">
      <w:bodyDiv w:val="1"/>
      <w:marLeft w:val="0"/>
      <w:marRight w:val="0"/>
      <w:marTop w:val="0"/>
      <w:marBottom w:val="0"/>
      <w:divBdr>
        <w:top w:val="none" w:sz="0" w:space="0" w:color="auto"/>
        <w:left w:val="none" w:sz="0" w:space="0" w:color="auto"/>
        <w:bottom w:val="none" w:sz="0" w:space="0" w:color="auto"/>
        <w:right w:val="none" w:sz="0" w:space="0" w:color="auto"/>
      </w:divBdr>
    </w:div>
    <w:div w:id="1571768849">
      <w:bodyDiv w:val="1"/>
      <w:marLeft w:val="0"/>
      <w:marRight w:val="0"/>
      <w:marTop w:val="0"/>
      <w:marBottom w:val="0"/>
      <w:divBdr>
        <w:top w:val="none" w:sz="0" w:space="0" w:color="auto"/>
        <w:left w:val="none" w:sz="0" w:space="0" w:color="auto"/>
        <w:bottom w:val="none" w:sz="0" w:space="0" w:color="auto"/>
        <w:right w:val="none" w:sz="0" w:space="0" w:color="auto"/>
      </w:divBdr>
    </w:div>
    <w:div w:id="1596088018">
      <w:bodyDiv w:val="1"/>
      <w:marLeft w:val="0"/>
      <w:marRight w:val="0"/>
      <w:marTop w:val="0"/>
      <w:marBottom w:val="0"/>
      <w:divBdr>
        <w:top w:val="none" w:sz="0" w:space="0" w:color="auto"/>
        <w:left w:val="none" w:sz="0" w:space="0" w:color="auto"/>
        <w:bottom w:val="none" w:sz="0" w:space="0" w:color="auto"/>
        <w:right w:val="none" w:sz="0" w:space="0" w:color="auto"/>
      </w:divBdr>
    </w:div>
    <w:div w:id="1651593510">
      <w:bodyDiv w:val="1"/>
      <w:marLeft w:val="0"/>
      <w:marRight w:val="0"/>
      <w:marTop w:val="0"/>
      <w:marBottom w:val="0"/>
      <w:divBdr>
        <w:top w:val="none" w:sz="0" w:space="0" w:color="auto"/>
        <w:left w:val="none" w:sz="0" w:space="0" w:color="auto"/>
        <w:bottom w:val="none" w:sz="0" w:space="0" w:color="auto"/>
        <w:right w:val="none" w:sz="0" w:space="0" w:color="auto"/>
      </w:divBdr>
    </w:div>
    <w:div w:id="1773818509">
      <w:bodyDiv w:val="1"/>
      <w:marLeft w:val="0"/>
      <w:marRight w:val="0"/>
      <w:marTop w:val="0"/>
      <w:marBottom w:val="0"/>
      <w:divBdr>
        <w:top w:val="none" w:sz="0" w:space="0" w:color="auto"/>
        <w:left w:val="none" w:sz="0" w:space="0" w:color="auto"/>
        <w:bottom w:val="none" w:sz="0" w:space="0" w:color="auto"/>
        <w:right w:val="none" w:sz="0" w:space="0" w:color="auto"/>
      </w:divBdr>
    </w:div>
    <w:div w:id="1911302190">
      <w:bodyDiv w:val="1"/>
      <w:marLeft w:val="0"/>
      <w:marRight w:val="0"/>
      <w:marTop w:val="0"/>
      <w:marBottom w:val="0"/>
      <w:divBdr>
        <w:top w:val="none" w:sz="0" w:space="0" w:color="auto"/>
        <w:left w:val="none" w:sz="0" w:space="0" w:color="auto"/>
        <w:bottom w:val="none" w:sz="0" w:space="0" w:color="auto"/>
        <w:right w:val="none" w:sz="0" w:space="0" w:color="auto"/>
      </w:divBdr>
    </w:div>
    <w:div w:id="1919171167">
      <w:bodyDiv w:val="1"/>
      <w:marLeft w:val="0"/>
      <w:marRight w:val="0"/>
      <w:marTop w:val="0"/>
      <w:marBottom w:val="0"/>
      <w:divBdr>
        <w:top w:val="none" w:sz="0" w:space="0" w:color="auto"/>
        <w:left w:val="none" w:sz="0" w:space="0" w:color="auto"/>
        <w:bottom w:val="none" w:sz="0" w:space="0" w:color="auto"/>
        <w:right w:val="none" w:sz="0" w:space="0" w:color="auto"/>
      </w:divBdr>
    </w:div>
    <w:div w:id="1923488949">
      <w:bodyDiv w:val="1"/>
      <w:marLeft w:val="0"/>
      <w:marRight w:val="0"/>
      <w:marTop w:val="0"/>
      <w:marBottom w:val="0"/>
      <w:divBdr>
        <w:top w:val="none" w:sz="0" w:space="0" w:color="auto"/>
        <w:left w:val="none" w:sz="0" w:space="0" w:color="auto"/>
        <w:bottom w:val="none" w:sz="0" w:space="0" w:color="auto"/>
        <w:right w:val="none" w:sz="0" w:space="0" w:color="auto"/>
      </w:divBdr>
    </w:div>
    <w:div w:id="2025546943">
      <w:bodyDiv w:val="1"/>
      <w:marLeft w:val="0"/>
      <w:marRight w:val="0"/>
      <w:marTop w:val="0"/>
      <w:marBottom w:val="0"/>
      <w:divBdr>
        <w:top w:val="none" w:sz="0" w:space="0" w:color="auto"/>
        <w:left w:val="none" w:sz="0" w:space="0" w:color="auto"/>
        <w:bottom w:val="none" w:sz="0" w:space="0" w:color="auto"/>
        <w:right w:val="none" w:sz="0" w:space="0" w:color="auto"/>
      </w:divBdr>
    </w:div>
    <w:div w:id="2057392395">
      <w:bodyDiv w:val="1"/>
      <w:marLeft w:val="0"/>
      <w:marRight w:val="0"/>
      <w:marTop w:val="0"/>
      <w:marBottom w:val="0"/>
      <w:divBdr>
        <w:top w:val="none" w:sz="0" w:space="0" w:color="auto"/>
        <w:left w:val="none" w:sz="0" w:space="0" w:color="auto"/>
        <w:bottom w:val="none" w:sz="0" w:space="0" w:color="auto"/>
        <w:right w:val="none" w:sz="0" w:space="0" w:color="auto"/>
      </w:divBdr>
    </w:div>
    <w:div w:id="210364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192.168.0.88\SanimaCapital\1.%20Research\reports\9.%20Q3%20reports%202024-25\2024-25%20Analysis%20Hotels%20Q3%20c.xlsm"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khilesh\common%20file\ANALYST%20Common%20files\eco%20data\Updated%20Economics%20Data%204.xlsm"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baseline="0">
                <a:solidFill>
                  <a:schemeClr val="tx1">
                    <a:lumMod val="65000"/>
                    <a:lumOff val="35000"/>
                  </a:schemeClr>
                </a:solidFill>
                <a:latin typeface="+mn-lt"/>
                <a:ea typeface="+mn-ea"/>
                <a:cs typeface="+mn-cs"/>
              </a:defRPr>
            </a:pPr>
            <a:r>
              <a:rPr lang="en-US"/>
              <a:t>PB vs NEPSE Vs Hotels</a:t>
            </a:r>
            <a:r>
              <a:rPr lang="en-US" baseline="0"/>
              <a:t> and tourism Index</a:t>
            </a:r>
            <a:endParaRPr lang="en-US"/>
          </a:p>
        </c:rich>
      </c:tx>
      <c:overlay val="0"/>
      <c:spPr>
        <a:noFill/>
        <a:ln>
          <a:noFill/>
        </a:ln>
        <a:effectLst/>
      </c:spPr>
      <c:txPr>
        <a:bodyPr rot="0" spcFirstLastPara="1" vertOverflow="ellipsis" vert="horz" wrap="square" anchor="ctr" anchorCtr="1"/>
        <a:lstStyle/>
        <a:p>
          <a:pPr>
            <a:defRPr sz="1400" b="0" i="0" u="none" strike="noStrike"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4.9870586071239967E-2"/>
          <c:y val="8.7528007334586239E-2"/>
          <c:w val="0.8854201947439313"/>
          <c:h val="0.79282989936498749"/>
        </c:manualLayout>
      </c:layout>
      <c:lineChart>
        <c:grouping val="standard"/>
        <c:varyColors val="0"/>
        <c:ser>
          <c:idx val="1"/>
          <c:order val="1"/>
          <c:tx>
            <c:strRef>
              <c:f>'Industry PE'!$B$4</c:f>
              <c:strCache>
                <c:ptCount val="1"/>
                <c:pt idx="0">
                  <c:v>NEPSE</c:v>
                </c:pt>
              </c:strCache>
            </c:strRef>
          </c:tx>
          <c:spPr>
            <a:ln w="28575" cap="rnd">
              <a:solidFill>
                <a:schemeClr val="accent2"/>
              </a:solidFill>
              <a:round/>
            </a:ln>
            <a:effectLst/>
          </c:spPr>
          <c:marker>
            <c:symbol val="none"/>
          </c:marker>
          <c:cat>
            <c:strRef>
              <c:f>'Industry PE'!$C$1:$AS$1</c:f>
              <c:strCache>
                <c:ptCount val="43"/>
                <c:pt idx="0">
                  <c:v>2014/15 Q1</c:v>
                </c:pt>
                <c:pt idx="1">
                  <c:v>2014/15 Q2</c:v>
                </c:pt>
                <c:pt idx="2">
                  <c:v>2014/15 Q3</c:v>
                </c:pt>
                <c:pt idx="3">
                  <c:v>2014/15 Q4</c:v>
                </c:pt>
                <c:pt idx="4">
                  <c:v>2015/16 Q1</c:v>
                </c:pt>
                <c:pt idx="5">
                  <c:v>2015/16 Q2</c:v>
                </c:pt>
                <c:pt idx="6">
                  <c:v>2015/16 Q3</c:v>
                </c:pt>
                <c:pt idx="7">
                  <c:v>2015/16 Q4</c:v>
                </c:pt>
                <c:pt idx="8">
                  <c:v>2016/17 Q1</c:v>
                </c:pt>
                <c:pt idx="9">
                  <c:v>2016/17 Q2</c:v>
                </c:pt>
                <c:pt idx="10">
                  <c:v>2016/17 Q3</c:v>
                </c:pt>
                <c:pt idx="11">
                  <c:v>2016/17 Q4</c:v>
                </c:pt>
                <c:pt idx="12">
                  <c:v>2017/18 Q1</c:v>
                </c:pt>
                <c:pt idx="13">
                  <c:v>2017/18 Q2</c:v>
                </c:pt>
                <c:pt idx="14">
                  <c:v>2017/18 Q3</c:v>
                </c:pt>
                <c:pt idx="15">
                  <c:v>2017/18 Q4</c:v>
                </c:pt>
                <c:pt idx="16">
                  <c:v>2018/19 Q1</c:v>
                </c:pt>
                <c:pt idx="17">
                  <c:v>2018/19 Q2</c:v>
                </c:pt>
                <c:pt idx="18">
                  <c:v>2018/19 Q3</c:v>
                </c:pt>
                <c:pt idx="19">
                  <c:v>2018/19 Q4</c:v>
                </c:pt>
                <c:pt idx="20">
                  <c:v>2019/20 Q1</c:v>
                </c:pt>
                <c:pt idx="21">
                  <c:v>2019/20 Q2</c:v>
                </c:pt>
                <c:pt idx="22">
                  <c:v>2019/20 Q3</c:v>
                </c:pt>
                <c:pt idx="23">
                  <c:v>2019/20 Q4</c:v>
                </c:pt>
                <c:pt idx="24">
                  <c:v>2020/21 Q1</c:v>
                </c:pt>
                <c:pt idx="25">
                  <c:v>2020/21 Q2</c:v>
                </c:pt>
                <c:pt idx="26">
                  <c:v>2020/21 Q3</c:v>
                </c:pt>
                <c:pt idx="27">
                  <c:v>2020/21 Q4</c:v>
                </c:pt>
                <c:pt idx="28">
                  <c:v>2021/22 Q1</c:v>
                </c:pt>
                <c:pt idx="29">
                  <c:v>2021/22 Q2</c:v>
                </c:pt>
                <c:pt idx="30">
                  <c:v>2021/22 Q3</c:v>
                </c:pt>
                <c:pt idx="31">
                  <c:v>2021/22 Q4</c:v>
                </c:pt>
                <c:pt idx="32">
                  <c:v>2022/23 Q1</c:v>
                </c:pt>
                <c:pt idx="33">
                  <c:v>2022/23 Q2</c:v>
                </c:pt>
                <c:pt idx="34">
                  <c:v>2022/23 Q3</c:v>
                </c:pt>
                <c:pt idx="35">
                  <c:v>2022/23 Q4</c:v>
                </c:pt>
                <c:pt idx="36">
                  <c:v>2023/24 Q1</c:v>
                </c:pt>
                <c:pt idx="37">
                  <c:v>2023/24 Q2</c:v>
                </c:pt>
                <c:pt idx="38">
                  <c:v>2023/24 Q3</c:v>
                </c:pt>
                <c:pt idx="39">
                  <c:v>2023/24 Q4</c:v>
                </c:pt>
                <c:pt idx="40">
                  <c:v>2024/25 Q1</c:v>
                </c:pt>
                <c:pt idx="41">
                  <c:v>2024/25 Q2</c:v>
                </c:pt>
                <c:pt idx="42">
                  <c:v>2024/25 Q3</c:v>
                </c:pt>
              </c:strCache>
            </c:strRef>
          </c:cat>
          <c:val>
            <c:numRef>
              <c:f>'Industry PE'!$C$4:$AS$4</c:f>
              <c:numCache>
                <c:formatCode>General</c:formatCode>
                <c:ptCount val="43"/>
                <c:pt idx="0">
                  <c:v>844.06</c:v>
                </c:pt>
                <c:pt idx="1">
                  <c:v>945.36</c:v>
                </c:pt>
                <c:pt idx="2">
                  <c:v>944.13</c:v>
                </c:pt>
                <c:pt idx="3">
                  <c:v>963.27</c:v>
                </c:pt>
                <c:pt idx="4">
                  <c:v>1099.25</c:v>
                </c:pt>
                <c:pt idx="5">
                  <c:v>1214.31</c:v>
                </c:pt>
                <c:pt idx="6">
                  <c:v>1409.43</c:v>
                </c:pt>
                <c:pt idx="7">
                  <c:v>1745.28</c:v>
                </c:pt>
                <c:pt idx="8">
                  <c:v>1599.62</c:v>
                </c:pt>
                <c:pt idx="9">
                  <c:v>1477.72</c:v>
                </c:pt>
                <c:pt idx="10">
                  <c:v>1612.04</c:v>
                </c:pt>
                <c:pt idx="11">
                  <c:v>1604.15</c:v>
                </c:pt>
                <c:pt idx="12">
                  <c:v>1469.16</c:v>
                </c:pt>
                <c:pt idx="13">
                  <c:v>1406.52</c:v>
                </c:pt>
                <c:pt idx="14">
                  <c:v>1280.1500000000001</c:v>
                </c:pt>
                <c:pt idx="15">
                  <c:v>1204.31</c:v>
                </c:pt>
                <c:pt idx="16">
                  <c:v>1195.45</c:v>
                </c:pt>
                <c:pt idx="17">
                  <c:v>1195.54</c:v>
                </c:pt>
                <c:pt idx="18">
                  <c:v>1188.71</c:v>
                </c:pt>
                <c:pt idx="19">
                  <c:v>1274.8599999999999</c:v>
                </c:pt>
                <c:pt idx="20">
                  <c:v>1131.1199999999999</c:v>
                </c:pt>
                <c:pt idx="21">
                  <c:v>1284.23</c:v>
                </c:pt>
                <c:pt idx="22">
                  <c:v>1251.45</c:v>
                </c:pt>
                <c:pt idx="23">
                  <c:v>1394.33</c:v>
                </c:pt>
                <c:pt idx="24">
                  <c:v>1556</c:v>
                </c:pt>
                <c:pt idx="25">
                  <c:v>2277</c:v>
                </c:pt>
                <c:pt idx="26">
                  <c:v>2714</c:v>
                </c:pt>
                <c:pt idx="27">
                  <c:v>2709.82</c:v>
                </c:pt>
                <c:pt idx="28">
                  <c:v>2656</c:v>
                </c:pt>
                <c:pt idx="29">
                  <c:v>2857</c:v>
                </c:pt>
                <c:pt idx="30">
                  <c:v>2415</c:v>
                </c:pt>
                <c:pt idx="31">
                  <c:v>2009</c:v>
                </c:pt>
                <c:pt idx="32">
                  <c:v>1858.33</c:v>
                </c:pt>
                <c:pt idx="33">
                  <c:v>2149.39</c:v>
                </c:pt>
                <c:pt idx="34">
                  <c:v>1934.47</c:v>
                </c:pt>
                <c:pt idx="35">
                  <c:v>2097.09</c:v>
                </c:pt>
                <c:pt idx="36">
                  <c:v>1864.62</c:v>
                </c:pt>
                <c:pt idx="37">
                  <c:v>2149.39</c:v>
                </c:pt>
                <c:pt idx="38">
                  <c:v>2025.71</c:v>
                </c:pt>
                <c:pt idx="39">
                  <c:v>2240.41</c:v>
                </c:pt>
                <c:pt idx="40">
                  <c:v>2742.88</c:v>
                </c:pt>
                <c:pt idx="41">
                  <c:v>2594.13</c:v>
                </c:pt>
                <c:pt idx="42">
                  <c:v>2662.08</c:v>
                </c:pt>
              </c:numCache>
            </c:numRef>
          </c:val>
          <c:smooth val="0"/>
          <c:extLst>
            <c:ext xmlns:c16="http://schemas.microsoft.com/office/drawing/2014/chart" uri="{C3380CC4-5D6E-409C-BE32-E72D297353CC}">
              <c16:uniqueId val="{00000000-3231-471D-86A0-851692F9DF4C}"/>
            </c:ext>
          </c:extLst>
        </c:ser>
        <c:ser>
          <c:idx val="2"/>
          <c:order val="2"/>
          <c:tx>
            <c:strRef>
              <c:f>'Industry PE'!$B$5</c:f>
              <c:strCache>
                <c:ptCount val="1"/>
                <c:pt idx="0">
                  <c:v>Hotels And Tourism</c:v>
                </c:pt>
              </c:strCache>
            </c:strRef>
          </c:tx>
          <c:spPr>
            <a:ln w="28575" cap="rnd">
              <a:solidFill>
                <a:schemeClr val="accent3"/>
              </a:solidFill>
              <a:round/>
            </a:ln>
            <a:effectLst/>
          </c:spPr>
          <c:marker>
            <c:symbol val="square"/>
            <c:size val="7"/>
            <c:spPr>
              <a:solidFill>
                <a:schemeClr val="accent3"/>
              </a:solidFill>
              <a:ln w="9525">
                <a:solidFill>
                  <a:schemeClr val="lt1"/>
                </a:solidFill>
              </a:ln>
              <a:effectLst/>
            </c:spPr>
          </c:marker>
          <c:cat>
            <c:strRef>
              <c:f>'Industry PE'!$C$1:$AS$1</c:f>
              <c:strCache>
                <c:ptCount val="43"/>
                <c:pt idx="0">
                  <c:v>2014/15 Q1</c:v>
                </c:pt>
                <c:pt idx="1">
                  <c:v>2014/15 Q2</c:v>
                </c:pt>
                <c:pt idx="2">
                  <c:v>2014/15 Q3</c:v>
                </c:pt>
                <c:pt idx="3">
                  <c:v>2014/15 Q4</c:v>
                </c:pt>
                <c:pt idx="4">
                  <c:v>2015/16 Q1</c:v>
                </c:pt>
                <c:pt idx="5">
                  <c:v>2015/16 Q2</c:v>
                </c:pt>
                <c:pt idx="6">
                  <c:v>2015/16 Q3</c:v>
                </c:pt>
                <c:pt idx="7">
                  <c:v>2015/16 Q4</c:v>
                </c:pt>
                <c:pt idx="8">
                  <c:v>2016/17 Q1</c:v>
                </c:pt>
                <c:pt idx="9">
                  <c:v>2016/17 Q2</c:v>
                </c:pt>
                <c:pt idx="10">
                  <c:v>2016/17 Q3</c:v>
                </c:pt>
                <c:pt idx="11">
                  <c:v>2016/17 Q4</c:v>
                </c:pt>
                <c:pt idx="12">
                  <c:v>2017/18 Q1</c:v>
                </c:pt>
                <c:pt idx="13">
                  <c:v>2017/18 Q2</c:v>
                </c:pt>
                <c:pt idx="14">
                  <c:v>2017/18 Q3</c:v>
                </c:pt>
                <c:pt idx="15">
                  <c:v>2017/18 Q4</c:v>
                </c:pt>
                <c:pt idx="16">
                  <c:v>2018/19 Q1</c:v>
                </c:pt>
                <c:pt idx="17">
                  <c:v>2018/19 Q2</c:v>
                </c:pt>
                <c:pt idx="18">
                  <c:v>2018/19 Q3</c:v>
                </c:pt>
                <c:pt idx="19">
                  <c:v>2018/19 Q4</c:v>
                </c:pt>
                <c:pt idx="20">
                  <c:v>2019/20 Q1</c:v>
                </c:pt>
                <c:pt idx="21">
                  <c:v>2019/20 Q2</c:v>
                </c:pt>
                <c:pt idx="22">
                  <c:v>2019/20 Q3</c:v>
                </c:pt>
                <c:pt idx="23">
                  <c:v>2019/20 Q4</c:v>
                </c:pt>
                <c:pt idx="24">
                  <c:v>2020/21 Q1</c:v>
                </c:pt>
                <c:pt idx="25">
                  <c:v>2020/21 Q2</c:v>
                </c:pt>
                <c:pt idx="26">
                  <c:v>2020/21 Q3</c:v>
                </c:pt>
                <c:pt idx="27">
                  <c:v>2020/21 Q4</c:v>
                </c:pt>
                <c:pt idx="28">
                  <c:v>2021/22 Q1</c:v>
                </c:pt>
                <c:pt idx="29">
                  <c:v>2021/22 Q2</c:v>
                </c:pt>
                <c:pt idx="30">
                  <c:v>2021/22 Q3</c:v>
                </c:pt>
                <c:pt idx="31">
                  <c:v>2021/22 Q4</c:v>
                </c:pt>
                <c:pt idx="32">
                  <c:v>2022/23 Q1</c:v>
                </c:pt>
                <c:pt idx="33">
                  <c:v>2022/23 Q2</c:v>
                </c:pt>
                <c:pt idx="34">
                  <c:v>2022/23 Q3</c:v>
                </c:pt>
                <c:pt idx="35">
                  <c:v>2022/23 Q4</c:v>
                </c:pt>
                <c:pt idx="36">
                  <c:v>2023/24 Q1</c:v>
                </c:pt>
                <c:pt idx="37">
                  <c:v>2023/24 Q2</c:v>
                </c:pt>
                <c:pt idx="38">
                  <c:v>2023/24 Q3</c:v>
                </c:pt>
                <c:pt idx="39">
                  <c:v>2023/24 Q4</c:v>
                </c:pt>
                <c:pt idx="40">
                  <c:v>2024/25 Q1</c:v>
                </c:pt>
                <c:pt idx="41">
                  <c:v>2024/25 Q2</c:v>
                </c:pt>
                <c:pt idx="42">
                  <c:v>2024/25 Q3</c:v>
                </c:pt>
              </c:strCache>
            </c:strRef>
          </c:cat>
          <c:val>
            <c:numRef>
              <c:f>'Industry PE'!$C$5:$AS$5</c:f>
              <c:numCache>
                <c:formatCode>General</c:formatCode>
                <c:ptCount val="43"/>
                <c:pt idx="0">
                  <c:v>1835.88</c:v>
                </c:pt>
                <c:pt idx="1">
                  <c:v>2049.17</c:v>
                </c:pt>
                <c:pt idx="2">
                  <c:v>1980.57</c:v>
                </c:pt>
                <c:pt idx="3">
                  <c:v>1911.12</c:v>
                </c:pt>
                <c:pt idx="4">
                  <c:v>1819.62</c:v>
                </c:pt>
                <c:pt idx="5">
                  <c:v>1782.62</c:v>
                </c:pt>
                <c:pt idx="6">
                  <c:v>1836.46</c:v>
                </c:pt>
                <c:pt idx="7">
                  <c:v>2021.57</c:v>
                </c:pt>
                <c:pt idx="8">
                  <c:v>2130.58</c:v>
                </c:pt>
                <c:pt idx="9">
                  <c:v>1853.1</c:v>
                </c:pt>
                <c:pt idx="10">
                  <c:v>2097.64</c:v>
                </c:pt>
                <c:pt idx="11">
                  <c:v>2242.14</c:v>
                </c:pt>
                <c:pt idx="12">
                  <c:v>2035.1</c:v>
                </c:pt>
                <c:pt idx="13">
                  <c:v>2113.5100000000002</c:v>
                </c:pt>
                <c:pt idx="14">
                  <c:v>1882.4</c:v>
                </c:pt>
                <c:pt idx="15">
                  <c:v>1793.61</c:v>
                </c:pt>
                <c:pt idx="16">
                  <c:v>1855.03</c:v>
                </c:pt>
                <c:pt idx="17">
                  <c:v>1743.25</c:v>
                </c:pt>
                <c:pt idx="18">
                  <c:v>1752.01</c:v>
                </c:pt>
                <c:pt idx="19">
                  <c:v>2096.5</c:v>
                </c:pt>
                <c:pt idx="20">
                  <c:v>1725.91</c:v>
                </c:pt>
                <c:pt idx="21">
                  <c:v>1992.44</c:v>
                </c:pt>
                <c:pt idx="22">
                  <c:v>1563.46</c:v>
                </c:pt>
                <c:pt idx="23">
                  <c:v>1480</c:v>
                </c:pt>
                <c:pt idx="24">
                  <c:v>1731.84</c:v>
                </c:pt>
                <c:pt idx="25">
                  <c:v>1995.97</c:v>
                </c:pt>
                <c:pt idx="26">
                  <c:v>1995.97</c:v>
                </c:pt>
                <c:pt idx="27">
                  <c:v>3553.02</c:v>
                </c:pt>
                <c:pt idx="28">
                  <c:v>3103.79</c:v>
                </c:pt>
                <c:pt idx="29">
                  <c:v>1925.19</c:v>
                </c:pt>
                <c:pt idx="30">
                  <c:v>1925.19</c:v>
                </c:pt>
                <c:pt idx="31">
                  <c:v>2640.6</c:v>
                </c:pt>
                <c:pt idx="32">
                  <c:v>2562.89</c:v>
                </c:pt>
                <c:pt idx="33">
                  <c:v>3199.48</c:v>
                </c:pt>
                <c:pt idx="34">
                  <c:v>3344.6</c:v>
                </c:pt>
                <c:pt idx="35">
                  <c:v>5797.47</c:v>
                </c:pt>
                <c:pt idx="36">
                  <c:v>4783.84</c:v>
                </c:pt>
                <c:pt idx="37">
                  <c:v>5634.22</c:v>
                </c:pt>
                <c:pt idx="38">
                  <c:v>5117.97</c:v>
                </c:pt>
                <c:pt idx="39">
                  <c:v>5559.65</c:v>
                </c:pt>
                <c:pt idx="40">
                  <c:v>6772.31</c:v>
                </c:pt>
                <c:pt idx="41">
                  <c:v>5334.01</c:v>
                </c:pt>
                <c:pt idx="42">
                  <c:v>6447.16</c:v>
                </c:pt>
              </c:numCache>
            </c:numRef>
          </c:val>
          <c:smooth val="0"/>
          <c:extLst>
            <c:ext xmlns:c16="http://schemas.microsoft.com/office/drawing/2014/chart" uri="{C3380CC4-5D6E-409C-BE32-E72D297353CC}">
              <c16:uniqueId val="{00000001-3231-471D-86A0-851692F9DF4C}"/>
            </c:ext>
          </c:extLst>
        </c:ser>
        <c:dLbls>
          <c:showLegendKey val="0"/>
          <c:showVal val="0"/>
          <c:showCatName val="0"/>
          <c:showSerName val="0"/>
          <c:showPercent val="0"/>
          <c:showBubbleSize val="0"/>
        </c:dLbls>
        <c:marker val="1"/>
        <c:smooth val="0"/>
        <c:axId val="1013799264"/>
        <c:axId val="1013794016"/>
      </c:lineChart>
      <c:lineChart>
        <c:grouping val="standard"/>
        <c:varyColors val="0"/>
        <c:ser>
          <c:idx val="0"/>
          <c:order val="0"/>
          <c:tx>
            <c:strRef>
              <c:f>'Industry PE'!$B$3</c:f>
              <c:strCache>
                <c:ptCount val="1"/>
                <c:pt idx="0">
                  <c:v>PB</c:v>
                </c:pt>
              </c:strCache>
            </c:strRef>
          </c:tx>
          <c:spPr>
            <a:ln w="28575" cap="rnd">
              <a:noFill/>
              <a:round/>
            </a:ln>
            <a:effectLst/>
          </c:spPr>
          <c:marker>
            <c:symbol val="diamond"/>
            <c:size val="9"/>
            <c:spPr>
              <a:solidFill>
                <a:schemeClr val="accent1"/>
              </a:solidFill>
              <a:ln w="9525">
                <a:solidFill>
                  <a:schemeClr val="lt1"/>
                </a:solidFill>
              </a:ln>
              <a:effectLst/>
            </c:spPr>
          </c:marker>
          <c:dLbls>
            <c:spPr>
              <a:noFill/>
              <a:ln>
                <a:noFill/>
              </a:ln>
              <a:effectLst/>
            </c:spPr>
            <c:txPr>
              <a:bodyPr rot="-5400000" spcFirstLastPara="1" vertOverflow="ellipsis" wrap="square" lIns="38100" tIns="19050" rIns="38100" bIns="19050" anchor="ctr" anchorCtr="1">
                <a:spAutoFit/>
              </a:bodyPr>
              <a:lstStyle/>
              <a:p>
                <a:pPr>
                  <a:defRPr sz="900" b="0" i="0" u="none" strike="noStrike" baseline="0">
                    <a:solidFill>
                      <a:schemeClr val="tx1">
                        <a:lumMod val="65000"/>
                        <a:lumOff val="3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'Industry PE'!$C$1:$AS$1</c:f>
              <c:strCache>
                <c:ptCount val="43"/>
                <c:pt idx="0">
                  <c:v>2014/15 Q1</c:v>
                </c:pt>
                <c:pt idx="1">
                  <c:v>2014/15 Q2</c:v>
                </c:pt>
                <c:pt idx="2">
                  <c:v>2014/15 Q3</c:v>
                </c:pt>
                <c:pt idx="3">
                  <c:v>2014/15 Q4</c:v>
                </c:pt>
                <c:pt idx="4">
                  <c:v>2015/16 Q1</c:v>
                </c:pt>
                <c:pt idx="5">
                  <c:v>2015/16 Q2</c:v>
                </c:pt>
                <c:pt idx="6">
                  <c:v>2015/16 Q3</c:v>
                </c:pt>
                <c:pt idx="7">
                  <c:v>2015/16 Q4</c:v>
                </c:pt>
                <c:pt idx="8">
                  <c:v>2016/17 Q1</c:v>
                </c:pt>
                <c:pt idx="9">
                  <c:v>2016/17 Q2</c:v>
                </c:pt>
                <c:pt idx="10">
                  <c:v>2016/17 Q3</c:v>
                </c:pt>
                <c:pt idx="11">
                  <c:v>2016/17 Q4</c:v>
                </c:pt>
                <c:pt idx="12">
                  <c:v>2017/18 Q1</c:v>
                </c:pt>
                <c:pt idx="13">
                  <c:v>2017/18 Q2</c:v>
                </c:pt>
                <c:pt idx="14">
                  <c:v>2017/18 Q3</c:v>
                </c:pt>
                <c:pt idx="15">
                  <c:v>2017/18 Q4</c:v>
                </c:pt>
                <c:pt idx="16">
                  <c:v>2018/19 Q1</c:v>
                </c:pt>
                <c:pt idx="17">
                  <c:v>2018/19 Q2</c:v>
                </c:pt>
                <c:pt idx="18">
                  <c:v>2018/19 Q3</c:v>
                </c:pt>
                <c:pt idx="19">
                  <c:v>2018/19 Q4</c:v>
                </c:pt>
                <c:pt idx="20">
                  <c:v>2019/20 Q1</c:v>
                </c:pt>
                <c:pt idx="21">
                  <c:v>2019/20 Q2</c:v>
                </c:pt>
                <c:pt idx="22">
                  <c:v>2019/20 Q3</c:v>
                </c:pt>
                <c:pt idx="23">
                  <c:v>2019/20 Q4</c:v>
                </c:pt>
                <c:pt idx="24">
                  <c:v>2020/21 Q1</c:v>
                </c:pt>
                <c:pt idx="25">
                  <c:v>2020/21 Q2</c:v>
                </c:pt>
                <c:pt idx="26">
                  <c:v>2020/21 Q3</c:v>
                </c:pt>
                <c:pt idx="27">
                  <c:v>2020/21 Q4</c:v>
                </c:pt>
                <c:pt idx="28">
                  <c:v>2021/22 Q1</c:v>
                </c:pt>
                <c:pt idx="29">
                  <c:v>2021/22 Q2</c:v>
                </c:pt>
                <c:pt idx="30">
                  <c:v>2021/22 Q3</c:v>
                </c:pt>
                <c:pt idx="31">
                  <c:v>2021/22 Q4</c:v>
                </c:pt>
                <c:pt idx="32">
                  <c:v>2022/23 Q1</c:v>
                </c:pt>
                <c:pt idx="33">
                  <c:v>2022/23 Q2</c:v>
                </c:pt>
                <c:pt idx="34">
                  <c:v>2022/23 Q3</c:v>
                </c:pt>
                <c:pt idx="35">
                  <c:v>2022/23 Q4</c:v>
                </c:pt>
                <c:pt idx="36">
                  <c:v>2023/24 Q1</c:v>
                </c:pt>
                <c:pt idx="37">
                  <c:v>2023/24 Q2</c:v>
                </c:pt>
                <c:pt idx="38">
                  <c:v>2023/24 Q3</c:v>
                </c:pt>
                <c:pt idx="39">
                  <c:v>2023/24 Q4</c:v>
                </c:pt>
                <c:pt idx="40">
                  <c:v>2024/25 Q1</c:v>
                </c:pt>
                <c:pt idx="41">
                  <c:v>2024/25 Q2</c:v>
                </c:pt>
                <c:pt idx="42">
                  <c:v>2024/25 Q3</c:v>
                </c:pt>
              </c:strCache>
            </c:strRef>
          </c:cat>
          <c:val>
            <c:numRef>
              <c:f>'Industry PE'!$C$3:$AS$3</c:f>
              <c:numCache>
                <c:formatCode>_(* #,##0.00_);_(* \(#,##0.00\);_(* "-"??_);_(@_)</c:formatCode>
                <c:ptCount val="43"/>
                <c:pt idx="0">
                  <c:v>3.3610526759790735</c:v>
                </c:pt>
                <c:pt idx="1">
                  <c:v>3.2622098470092746</c:v>
                </c:pt>
                <c:pt idx="2">
                  <c:v>3.0719106834748362</c:v>
                </c:pt>
                <c:pt idx="3">
                  <c:v>2.9040176064996941</c:v>
                </c:pt>
                <c:pt idx="4">
                  <c:v>2.6246286580179121</c:v>
                </c:pt>
                <c:pt idx="5">
                  <c:v>2.2602929667257601</c:v>
                </c:pt>
                <c:pt idx="6">
                  <c:v>2.3359303196212453</c:v>
                </c:pt>
                <c:pt idx="7">
                  <c:v>2.7641597631912171</c:v>
                </c:pt>
                <c:pt idx="8">
                  <c:v>2.3641392264654497</c:v>
                </c:pt>
                <c:pt idx="9">
                  <c:v>1.8520715200703124</c:v>
                </c:pt>
                <c:pt idx="10">
                  <c:v>2.3648015489990368</c:v>
                </c:pt>
                <c:pt idx="11">
                  <c:v>2.3323832946709744</c:v>
                </c:pt>
                <c:pt idx="12">
                  <c:v>2.7590884535856266</c:v>
                </c:pt>
                <c:pt idx="13">
                  <c:v>2.4257719780180818</c:v>
                </c:pt>
                <c:pt idx="14">
                  <c:v>1.9727624234023695</c:v>
                </c:pt>
                <c:pt idx="15">
                  <c:v>1.9567414295753895</c:v>
                </c:pt>
                <c:pt idx="16">
                  <c:v>1.7939669187544842</c:v>
                </c:pt>
                <c:pt idx="17">
                  <c:v>1.7403830374716611</c:v>
                </c:pt>
                <c:pt idx="18">
                  <c:v>1.629263198874298</c:v>
                </c:pt>
                <c:pt idx="19">
                  <c:v>2.2754531910024167</c:v>
                </c:pt>
                <c:pt idx="20">
                  <c:v>1.9441059393479887</c:v>
                </c:pt>
                <c:pt idx="21">
                  <c:v>1.7835158032070462</c:v>
                </c:pt>
                <c:pt idx="22">
                  <c:v>1.1618803445043329</c:v>
                </c:pt>
                <c:pt idx="23">
                  <c:v>1.1157253428122857</c:v>
                </c:pt>
                <c:pt idx="24">
                  <c:v>1.3614387187255759</c:v>
                </c:pt>
                <c:pt idx="25">
                  <c:v>1.8041517409483114</c:v>
                </c:pt>
                <c:pt idx="26">
                  <c:v>7.5457488784462203</c:v>
                </c:pt>
                <c:pt idx="27">
                  <c:v>6.0168438902201427</c:v>
                </c:pt>
                <c:pt idx="28">
                  <c:v>5.2791437879582181</c:v>
                </c:pt>
                <c:pt idx="29">
                  <c:v>4.9061821596782798</c:v>
                </c:pt>
                <c:pt idx="30">
                  <c:v>5.1782770500485347</c:v>
                </c:pt>
                <c:pt idx="31">
                  <c:v>4.0595512857267257</c:v>
                </c:pt>
                <c:pt idx="32">
                  <c:v>3.4816998596487174</c:v>
                </c:pt>
                <c:pt idx="33">
                  <c:v>4.3259846167776335</c:v>
                </c:pt>
                <c:pt idx="34">
                  <c:v>4.6002083864090233</c:v>
                </c:pt>
                <c:pt idx="35">
                  <c:v>6.1450503814734141</c:v>
                </c:pt>
                <c:pt idx="36">
                  <c:v>4.4424771361286348</c:v>
                </c:pt>
                <c:pt idx="37">
                  <c:v>4.5927221150298507</c:v>
                </c:pt>
                <c:pt idx="38">
                  <c:v>4.1984332744420438</c:v>
                </c:pt>
                <c:pt idx="39">
                  <c:v>4.4460473000179572</c:v>
                </c:pt>
                <c:pt idx="40">
                  <c:v>5.0941659326319639</c:v>
                </c:pt>
                <c:pt idx="41">
                  <c:v>4.9149012600293149</c:v>
                </c:pt>
                <c:pt idx="42">
                  <c:v>4.8205870750482314</c:v>
                </c:pt>
              </c:numCache>
            </c:numRef>
          </c:val>
          <c:smooth val="0"/>
          <c:extLst>
            <c:ext xmlns:c16="http://schemas.microsoft.com/office/drawing/2014/chart" uri="{C3380CC4-5D6E-409C-BE32-E72D297353CC}">
              <c16:uniqueId val="{00000002-3231-471D-86A0-851692F9DF4C}"/>
            </c:ext>
          </c:extLst>
        </c:ser>
        <c:dLbls>
          <c:showLegendKey val="0"/>
          <c:showVal val="0"/>
          <c:showCatName val="0"/>
          <c:showSerName val="0"/>
          <c:showPercent val="0"/>
          <c:showBubbleSize val="0"/>
        </c:dLbls>
        <c:marker val="1"/>
        <c:smooth val="0"/>
        <c:axId val="183978623"/>
        <c:axId val="183968783"/>
      </c:lineChart>
      <c:catAx>
        <c:axId val="1013799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n-US"/>
          </a:p>
        </c:txPr>
        <c:crossAx val="1013794016"/>
        <c:crosses val="autoZero"/>
        <c:auto val="1"/>
        <c:lblAlgn val="ctr"/>
        <c:lblOffset val="100"/>
        <c:noMultiLvlLbl val="0"/>
      </c:catAx>
      <c:valAx>
        <c:axId val="101379401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n-US"/>
          </a:p>
        </c:txPr>
        <c:crossAx val="1013799264"/>
        <c:crosses val="autoZero"/>
        <c:crossBetween val="between"/>
      </c:valAx>
      <c:valAx>
        <c:axId val="183968783"/>
        <c:scaling>
          <c:orientation val="minMax"/>
        </c:scaling>
        <c:delete val="0"/>
        <c:axPos val="r"/>
        <c:numFmt formatCode="_(* #,##0.00_);_(* \(#,##0.00\);_(* &quot;-&quot;??_);_(@_)"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n-US"/>
          </a:p>
        </c:txPr>
        <c:crossAx val="183978623"/>
        <c:crosses val="max"/>
        <c:crossBetween val="between"/>
      </c:valAx>
      <c:catAx>
        <c:axId val="183978623"/>
        <c:scaling>
          <c:orientation val="minMax"/>
        </c:scaling>
        <c:delete val="1"/>
        <c:axPos val="b"/>
        <c:numFmt formatCode="General" sourceLinked="1"/>
        <c:majorTickMark val="out"/>
        <c:minorTickMark val="none"/>
        <c:tickLblPos val="nextTo"/>
        <c:crossAx val="183968783"/>
        <c:crosses val="autoZero"/>
        <c:auto val="1"/>
        <c:lblAlgn val="ctr"/>
        <c:lblOffset val="100"/>
        <c:noMultiLvlLbl val="0"/>
      </c:catAx>
      <c:spPr>
        <a:noFill/>
        <a:ln>
          <a:noFill/>
        </a:ln>
        <a:effectLst/>
      </c:spPr>
    </c:plotArea>
    <c:legend>
      <c:legendPos val="r"/>
      <c:layout>
        <c:manualLayout>
          <c:xMode val="edge"/>
          <c:yMode val="edge"/>
          <c:x val="8.523684351061242E-2"/>
          <c:y val="4.8630841310786009E-2"/>
          <c:w val="0.4264436387802692"/>
          <c:h val="0.15958782717342304"/>
        </c:manualLayout>
      </c:layout>
      <c:overlay val="0"/>
      <c:spPr>
        <a:noFill/>
        <a:ln>
          <a:noFill/>
        </a:ln>
        <a:effectLst/>
      </c:spPr>
      <c:txPr>
        <a:bodyPr rot="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[Updated Economics Data 4.xlsm]PivotChartTable2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Tourist Arrival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tx2">
              <a:lumMod val="75000"/>
            </a:schemeClr>
          </a:solidFill>
          <a:ln>
            <a:noFill/>
          </a:ln>
          <a:effectLst/>
        </c:spPr>
        <c:marker>
          <c:symbol val="none"/>
        </c:marker>
        <c:dLbl>
          <c:idx val="0"/>
          <c:numFmt formatCode="#,##0" sourceLinked="0"/>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tx2">
              <a:lumMod val="75000"/>
            </a:schemeClr>
          </a:solidFill>
          <a:ln>
            <a:noFill/>
          </a:ln>
          <a:effectLst/>
        </c:spPr>
        <c:marker>
          <c:symbol val="none"/>
        </c:marker>
        <c:dLbl>
          <c:idx val="0"/>
          <c:numFmt formatCode="#,##0" sourceLinked="0"/>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tx2">
              <a:lumMod val="75000"/>
            </a:schemeClr>
          </a:solidFill>
          <a:ln>
            <a:noFill/>
          </a:ln>
          <a:effectLst/>
        </c:spPr>
        <c:marker>
          <c:symbol val="none"/>
        </c:marker>
        <c:dLbl>
          <c:idx val="0"/>
          <c:numFmt formatCode="#,##0" sourceLinked="0"/>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v>Total</c:v>
          </c:tx>
          <c:spPr>
            <a:solidFill>
              <a:schemeClr val="tx2">
                <a:lumMod val="75000"/>
              </a:schemeClr>
            </a:solidFill>
            <a:ln>
              <a:noFill/>
            </a:ln>
            <a:effectLst/>
          </c:spPr>
          <c:invertIfNegative val="0"/>
          <c:dLbls>
            <c:numFmt formatCode="#,##0" sourceLinked="0"/>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mc:AlternateContent xmlns:mc="http://schemas.openxmlformats.org/markup-compatibility/2006">
              <mc:Choice xmlns:c16ac="http://schemas.microsoft.com/office/drawing/2014/chart/ac" Requires="c16ac">
                <c16ac:multiLvlStrLit>
                  <c:ptCount val="76"/>
                  <c:lvl>
                    <c:pt idx="0">
                      <c:v>1/1/2019</c:v>
                    </c:pt>
                    <c:pt idx="1">
                      <c:v>2/1/2019</c:v>
                    </c:pt>
                    <c:pt idx="2">
                      <c:v>3/1/2019</c:v>
                    </c:pt>
                    <c:pt idx="3">
                      <c:v>4/1/2019</c:v>
                    </c:pt>
                    <c:pt idx="4">
                      <c:v>5/1/2019</c:v>
                    </c:pt>
                    <c:pt idx="5">
                      <c:v>6/1/2019</c:v>
                    </c:pt>
                    <c:pt idx="6">
                      <c:v>7/1/2019</c:v>
                    </c:pt>
                    <c:pt idx="7">
                      <c:v>8/1/2019</c:v>
                    </c:pt>
                    <c:pt idx="8">
                      <c:v>9/1/2019</c:v>
                    </c:pt>
                    <c:pt idx="9">
                      <c:v>10/1/2019</c:v>
                    </c:pt>
                    <c:pt idx="10">
                      <c:v>11/1/2019</c:v>
                    </c:pt>
                    <c:pt idx="11">
                      <c:v>12/1/2019</c:v>
                    </c:pt>
                    <c:pt idx="12">
                      <c:v>1/1/2020</c:v>
                    </c:pt>
                    <c:pt idx="13">
                      <c:v>2/1/2020</c:v>
                    </c:pt>
                    <c:pt idx="14">
                      <c:v>3/1/2020</c:v>
                    </c:pt>
                    <c:pt idx="15">
                      <c:v>4/1/2020</c:v>
                    </c:pt>
                    <c:pt idx="16">
                      <c:v>5/1/2020</c:v>
                    </c:pt>
                    <c:pt idx="17">
                      <c:v>6/1/2020</c:v>
                    </c:pt>
                    <c:pt idx="18">
                      <c:v>7/1/2020</c:v>
                    </c:pt>
                    <c:pt idx="19">
                      <c:v>8/1/2020</c:v>
                    </c:pt>
                    <c:pt idx="20">
                      <c:v>9/1/2020</c:v>
                    </c:pt>
                    <c:pt idx="21">
                      <c:v>10/1/2020</c:v>
                    </c:pt>
                    <c:pt idx="22">
                      <c:v>11/1/2020</c:v>
                    </c:pt>
                    <c:pt idx="23">
                      <c:v>12/1/2020</c:v>
                    </c:pt>
                    <c:pt idx="24">
                      <c:v>1/1/2021</c:v>
                    </c:pt>
                    <c:pt idx="25">
                      <c:v>2/1/2021</c:v>
                    </c:pt>
                    <c:pt idx="26">
                      <c:v>3/1/2021</c:v>
                    </c:pt>
                    <c:pt idx="27">
                      <c:v>4/1/2021</c:v>
                    </c:pt>
                    <c:pt idx="28">
                      <c:v>5/1/2021</c:v>
                    </c:pt>
                    <c:pt idx="29">
                      <c:v>6/1/2021</c:v>
                    </c:pt>
                    <c:pt idx="30">
                      <c:v>7/1/2021</c:v>
                    </c:pt>
                    <c:pt idx="31">
                      <c:v>8/1/2021</c:v>
                    </c:pt>
                    <c:pt idx="32">
                      <c:v>9/1/2021</c:v>
                    </c:pt>
                    <c:pt idx="33">
                      <c:v>10/1/2021</c:v>
                    </c:pt>
                    <c:pt idx="34">
                      <c:v>11/1/2021</c:v>
                    </c:pt>
                    <c:pt idx="35">
                      <c:v>12/1/2021</c:v>
                    </c:pt>
                    <c:pt idx="36">
                      <c:v>1/1/2022</c:v>
                    </c:pt>
                    <c:pt idx="37">
                      <c:v>2/1/2022</c:v>
                    </c:pt>
                    <c:pt idx="38">
                      <c:v>3/1/2022</c:v>
                    </c:pt>
                    <c:pt idx="39">
                      <c:v>4/1/2022</c:v>
                    </c:pt>
                    <c:pt idx="40">
                      <c:v>5/1/2022</c:v>
                    </c:pt>
                    <c:pt idx="41">
                      <c:v>6/1/2022</c:v>
                    </c:pt>
                    <c:pt idx="42">
                      <c:v>7/1/2022</c:v>
                    </c:pt>
                    <c:pt idx="43">
                      <c:v>8/1/2022</c:v>
                    </c:pt>
                    <c:pt idx="44">
                      <c:v>9/1/2022</c:v>
                    </c:pt>
                    <c:pt idx="45">
                      <c:v>10/1/2022</c:v>
                    </c:pt>
                    <c:pt idx="46">
                      <c:v>11/1/2022</c:v>
                    </c:pt>
                    <c:pt idx="47">
                      <c:v>12/1/2022</c:v>
                    </c:pt>
                    <c:pt idx="48">
                      <c:v>1/1/2023</c:v>
                    </c:pt>
                    <c:pt idx="49">
                      <c:v>2/1/2023</c:v>
                    </c:pt>
                    <c:pt idx="50">
                      <c:v>3/1/2023</c:v>
                    </c:pt>
                    <c:pt idx="51">
                      <c:v>4/1/2023</c:v>
                    </c:pt>
                    <c:pt idx="52">
                      <c:v>5/1/2023</c:v>
                    </c:pt>
                    <c:pt idx="53">
                      <c:v>6/1/2023</c:v>
                    </c:pt>
                    <c:pt idx="54">
                      <c:v>7/1/2023</c:v>
                    </c:pt>
                    <c:pt idx="55">
                      <c:v>8/1/2023</c:v>
                    </c:pt>
                    <c:pt idx="56">
                      <c:v>9/1/2023</c:v>
                    </c:pt>
                    <c:pt idx="57">
                      <c:v>10/1/2023</c:v>
                    </c:pt>
                    <c:pt idx="58">
                      <c:v>11/1/2023</c:v>
                    </c:pt>
                    <c:pt idx="59">
                      <c:v>12/1/2023</c:v>
                    </c:pt>
                    <c:pt idx="60">
                      <c:v>1/1/2024</c:v>
                    </c:pt>
                    <c:pt idx="61">
                      <c:v>2/1/2024</c:v>
                    </c:pt>
                    <c:pt idx="62">
                      <c:v>3/1/2024</c:v>
                    </c:pt>
                    <c:pt idx="63">
                      <c:v>4/1/2024</c:v>
                    </c:pt>
                    <c:pt idx="64">
                      <c:v>5/1/2024</c:v>
                    </c:pt>
                    <c:pt idx="65">
                      <c:v>6/1/2024</c:v>
                    </c:pt>
                    <c:pt idx="66">
                      <c:v>7/1/2024</c:v>
                    </c:pt>
                    <c:pt idx="67">
                      <c:v>8/1/2024</c:v>
                    </c:pt>
                    <c:pt idx="68">
                      <c:v>9/1/2024</c:v>
                    </c:pt>
                    <c:pt idx="69">
                      <c:v>10/1/2024</c:v>
                    </c:pt>
                    <c:pt idx="70">
                      <c:v>11/1/2024</c:v>
                    </c:pt>
                    <c:pt idx="71">
                      <c:v>12/1/2024</c:v>
                    </c:pt>
                    <c:pt idx="72">
                      <c:v>1/1/2025</c:v>
                    </c:pt>
                    <c:pt idx="73">
                      <c:v>2/1/2025</c:v>
                    </c:pt>
                    <c:pt idx="74">
                      <c:v>3/1/2025</c:v>
                    </c:pt>
                    <c:pt idx="75">
                      <c:v>4/1/2025</c:v>
                    </c:pt>
                  </c:lvl>
                  <c:lvl>
                    <c:pt idx="0">
                      <c:v>2019</c:v>
                    </c:pt>
                    <c:pt idx="12">
                      <c:v>2020</c:v>
                    </c:pt>
                    <c:pt idx="24">
                      <c:v>2021</c:v>
                    </c:pt>
                    <c:pt idx="36">
                      <c:v>2022</c:v>
                    </c:pt>
                    <c:pt idx="48">
                      <c:v>2023</c:v>
                    </c:pt>
                    <c:pt idx="60">
                      <c:v>2024</c:v>
                    </c:pt>
                    <c:pt idx="72">
                      <c:v>2025</c:v>
                    </c:pt>
                  </c:lvl>
                </c16ac:multiLvlStrLit>
              </mc:Choice>
              <mc:Fallback>
                <c:strLit>
                  <c:ptCount val="76"/>
                  <c:pt idx="0">
                    <c:v>1/1/2019
2019</c:v>
                  </c:pt>
                  <c:pt idx="1">
                    <c:v>2/1/2019</c:v>
                  </c:pt>
                  <c:pt idx="2">
                    <c:v>3/1/2019</c:v>
                  </c:pt>
                  <c:pt idx="3">
                    <c:v>4/1/2019</c:v>
                  </c:pt>
                  <c:pt idx="4">
                    <c:v>5/1/2019</c:v>
                  </c:pt>
                  <c:pt idx="5">
                    <c:v>6/1/2019</c:v>
                  </c:pt>
                  <c:pt idx="6">
                    <c:v>7/1/2019</c:v>
                  </c:pt>
                  <c:pt idx="7">
                    <c:v>8/1/2019</c:v>
                  </c:pt>
                  <c:pt idx="8">
                    <c:v>9/1/2019</c:v>
                  </c:pt>
                  <c:pt idx="9">
                    <c:v>10/1/2019</c:v>
                  </c:pt>
                  <c:pt idx="10">
                    <c:v>11/1/2019</c:v>
                  </c:pt>
                  <c:pt idx="11">
                    <c:v>12/1/2019</c:v>
                  </c:pt>
                  <c:pt idx="12">
                    <c:v>1/1/2020
2020</c:v>
                  </c:pt>
                  <c:pt idx="13">
                    <c:v>2/1/2020</c:v>
                  </c:pt>
                  <c:pt idx="14">
                    <c:v>3/1/2020</c:v>
                  </c:pt>
                  <c:pt idx="15">
                    <c:v>4/1/2020</c:v>
                  </c:pt>
                  <c:pt idx="16">
                    <c:v>5/1/2020</c:v>
                  </c:pt>
                  <c:pt idx="17">
                    <c:v>6/1/2020</c:v>
                  </c:pt>
                  <c:pt idx="18">
                    <c:v>7/1/2020</c:v>
                  </c:pt>
                  <c:pt idx="19">
                    <c:v>8/1/2020</c:v>
                  </c:pt>
                  <c:pt idx="20">
                    <c:v>9/1/2020</c:v>
                  </c:pt>
                  <c:pt idx="21">
                    <c:v>10/1/2020</c:v>
                  </c:pt>
                  <c:pt idx="22">
                    <c:v>11/1/2020</c:v>
                  </c:pt>
                  <c:pt idx="23">
                    <c:v>12/1/2020</c:v>
                  </c:pt>
                  <c:pt idx="24">
                    <c:v>1/1/2021
2021</c:v>
                  </c:pt>
                  <c:pt idx="25">
                    <c:v>2/1/2021</c:v>
                  </c:pt>
                  <c:pt idx="26">
                    <c:v>3/1/2021</c:v>
                  </c:pt>
                  <c:pt idx="27">
                    <c:v>4/1/2021</c:v>
                  </c:pt>
                  <c:pt idx="28">
                    <c:v>5/1/2021</c:v>
                  </c:pt>
                  <c:pt idx="29">
                    <c:v>6/1/2021</c:v>
                  </c:pt>
                  <c:pt idx="30">
                    <c:v>7/1/2021</c:v>
                  </c:pt>
                  <c:pt idx="31">
                    <c:v>8/1/2021</c:v>
                  </c:pt>
                  <c:pt idx="32">
                    <c:v>9/1/2021</c:v>
                  </c:pt>
                  <c:pt idx="33">
                    <c:v>10/1/2021</c:v>
                  </c:pt>
                  <c:pt idx="34">
                    <c:v>11/1/2021</c:v>
                  </c:pt>
                  <c:pt idx="35">
                    <c:v>12/1/2021</c:v>
                  </c:pt>
                  <c:pt idx="36">
                    <c:v>1/1/2022
2022</c:v>
                  </c:pt>
                  <c:pt idx="37">
                    <c:v>2/1/2022</c:v>
                  </c:pt>
                  <c:pt idx="38">
                    <c:v>3/1/2022</c:v>
                  </c:pt>
                  <c:pt idx="39">
                    <c:v>4/1/2022</c:v>
                  </c:pt>
                  <c:pt idx="40">
                    <c:v>5/1/2022</c:v>
                  </c:pt>
                  <c:pt idx="41">
                    <c:v>6/1/2022</c:v>
                  </c:pt>
                  <c:pt idx="42">
                    <c:v>7/1/2022</c:v>
                  </c:pt>
                  <c:pt idx="43">
                    <c:v>8/1/2022</c:v>
                  </c:pt>
                  <c:pt idx="44">
                    <c:v>9/1/2022</c:v>
                  </c:pt>
                  <c:pt idx="45">
                    <c:v>10/1/2022</c:v>
                  </c:pt>
                  <c:pt idx="46">
                    <c:v>11/1/2022</c:v>
                  </c:pt>
                  <c:pt idx="47">
                    <c:v>12/1/2022</c:v>
                  </c:pt>
                  <c:pt idx="48">
                    <c:v>1/1/2023
2023</c:v>
                  </c:pt>
                  <c:pt idx="49">
                    <c:v>2/1/2023</c:v>
                  </c:pt>
                  <c:pt idx="50">
                    <c:v>3/1/2023</c:v>
                  </c:pt>
                  <c:pt idx="51">
                    <c:v>4/1/2023</c:v>
                  </c:pt>
                  <c:pt idx="52">
                    <c:v>5/1/2023</c:v>
                  </c:pt>
                  <c:pt idx="53">
                    <c:v>6/1/2023</c:v>
                  </c:pt>
                  <c:pt idx="54">
                    <c:v>7/1/2023</c:v>
                  </c:pt>
                  <c:pt idx="55">
                    <c:v>8/1/2023</c:v>
                  </c:pt>
                  <c:pt idx="56">
                    <c:v>9/1/2023</c:v>
                  </c:pt>
                  <c:pt idx="57">
                    <c:v>10/1/2023</c:v>
                  </c:pt>
                  <c:pt idx="58">
                    <c:v>11/1/2023</c:v>
                  </c:pt>
                  <c:pt idx="59">
                    <c:v>12/1/2023</c:v>
                  </c:pt>
                  <c:pt idx="60">
                    <c:v>1/1/2024
2024</c:v>
                  </c:pt>
                  <c:pt idx="61">
                    <c:v>2/1/2024</c:v>
                  </c:pt>
                  <c:pt idx="62">
                    <c:v>3/1/2024</c:v>
                  </c:pt>
                  <c:pt idx="63">
                    <c:v>4/1/2024</c:v>
                  </c:pt>
                  <c:pt idx="64">
                    <c:v>5/1/2024</c:v>
                  </c:pt>
                  <c:pt idx="65">
                    <c:v>6/1/2024</c:v>
                  </c:pt>
                  <c:pt idx="66">
                    <c:v>7/1/2024</c:v>
                  </c:pt>
                  <c:pt idx="67">
                    <c:v>8/1/2024</c:v>
                  </c:pt>
                  <c:pt idx="68">
                    <c:v>9/1/2024</c:v>
                  </c:pt>
                  <c:pt idx="69">
                    <c:v>10/1/2024</c:v>
                  </c:pt>
                  <c:pt idx="70">
                    <c:v>11/1/2024</c:v>
                  </c:pt>
                  <c:pt idx="71">
                    <c:v>12/1/2024</c:v>
                  </c:pt>
                  <c:pt idx="72">
                    <c:v>1/1/2025
2025</c:v>
                  </c:pt>
                  <c:pt idx="73">
                    <c:v>2/1/2025</c:v>
                  </c:pt>
                  <c:pt idx="74">
                    <c:v>3/1/2025</c:v>
                  </c:pt>
                  <c:pt idx="75">
                    <c:v>4/1/2025</c:v>
                  </c:pt>
                </c:strLit>
              </mc:Fallback>
            </mc:AlternateContent>
          </c:cat>
          <c:val>
            <c:numLit>
              <c:formatCode>General</c:formatCode>
              <c:ptCount val="76"/>
              <c:pt idx="0">
                <c:v>81273</c:v>
              </c:pt>
              <c:pt idx="1">
                <c:v>102423</c:v>
              </c:pt>
              <c:pt idx="2">
                <c:v>127351</c:v>
              </c:pt>
              <c:pt idx="3">
                <c:v>109399</c:v>
              </c:pt>
              <c:pt idx="4">
                <c:v>78329</c:v>
              </c:pt>
              <c:pt idx="5">
                <c:v>74883</c:v>
              </c:pt>
              <c:pt idx="6">
                <c:v>70916</c:v>
              </c:pt>
              <c:pt idx="7">
                <c:v>94749</c:v>
              </c:pt>
              <c:pt idx="8">
                <c:v>92604</c:v>
              </c:pt>
              <c:pt idx="9">
                <c:v>134096</c:v>
              </c:pt>
              <c:pt idx="10">
                <c:v>130302</c:v>
              </c:pt>
              <c:pt idx="11">
                <c:v>100866</c:v>
              </c:pt>
              <c:pt idx="12">
                <c:v>79702</c:v>
              </c:pt>
              <c:pt idx="13">
                <c:v>98190</c:v>
              </c:pt>
              <c:pt idx="14">
                <c:v>42776</c:v>
              </c:pt>
              <c:pt idx="15">
                <c:v>14</c:v>
              </c:pt>
              <c:pt idx="16">
                <c:v>31</c:v>
              </c:pt>
              <c:pt idx="17">
                <c:v>102</c:v>
              </c:pt>
              <c:pt idx="18">
                <c:v>196</c:v>
              </c:pt>
              <c:pt idx="19">
                <c:v>267</c:v>
              </c:pt>
              <c:pt idx="20">
                <c:v>584</c:v>
              </c:pt>
              <c:pt idx="21">
                <c:v>2025</c:v>
              </c:pt>
              <c:pt idx="22">
                <c:v>1953</c:v>
              </c:pt>
              <c:pt idx="23">
                <c:v>4245</c:v>
              </c:pt>
              <c:pt idx="24">
                <c:v>8874</c:v>
              </c:pt>
              <c:pt idx="25">
                <c:v>9146</c:v>
              </c:pt>
              <c:pt idx="26">
                <c:v>14977</c:v>
              </c:pt>
              <c:pt idx="27">
                <c:v>22450</c:v>
              </c:pt>
              <c:pt idx="28">
                <c:v>1468</c:v>
              </c:pt>
              <c:pt idx="29">
                <c:v>1143</c:v>
              </c:pt>
              <c:pt idx="30">
                <c:v>2991</c:v>
              </c:pt>
              <c:pt idx="31">
                <c:v>5917</c:v>
              </c:pt>
              <c:pt idx="32">
                <c:v>9898</c:v>
              </c:pt>
              <c:pt idx="33">
                <c:v>23284</c:v>
              </c:pt>
              <c:pt idx="34">
                <c:v>26135</c:v>
              </c:pt>
              <c:pt idx="35">
                <c:v>23550</c:v>
              </c:pt>
              <c:pt idx="36">
                <c:v>16975</c:v>
              </c:pt>
              <c:pt idx="37">
                <c:v>19766</c:v>
              </c:pt>
              <c:pt idx="38">
                <c:v>42006</c:v>
              </c:pt>
              <c:pt idx="39">
                <c:v>61589</c:v>
              </c:pt>
              <c:pt idx="40">
                <c:v>53608</c:v>
              </c:pt>
              <c:pt idx="41">
                <c:v>46957</c:v>
              </c:pt>
              <c:pt idx="42">
                <c:v>44462</c:v>
              </c:pt>
              <c:pt idx="43">
                <c:v>41304</c:v>
              </c:pt>
              <c:pt idx="44">
                <c:v>58314</c:v>
              </c:pt>
              <c:pt idx="45">
                <c:v>88582</c:v>
              </c:pt>
              <c:pt idx="46">
                <c:v>72653</c:v>
              </c:pt>
              <c:pt idx="47">
                <c:v>67932</c:v>
              </c:pt>
              <c:pt idx="48">
                <c:v>55074</c:v>
              </c:pt>
              <c:pt idx="49">
                <c:v>73255</c:v>
              </c:pt>
              <c:pt idx="50">
                <c:v>99426</c:v>
              </c:pt>
              <c:pt idx="51">
                <c:v>98773</c:v>
              </c:pt>
              <c:pt idx="52">
                <c:v>77703</c:v>
              </c:pt>
              <c:pt idx="53">
                <c:v>72250</c:v>
              </c:pt>
              <c:pt idx="54">
                <c:v>57726</c:v>
              </c:pt>
              <c:pt idx="55">
                <c:v>67153</c:v>
              </c:pt>
              <c:pt idx="56">
                <c:v>91012</c:v>
              </c:pt>
              <c:pt idx="57">
                <c:v>117306</c:v>
              </c:pt>
              <c:pt idx="58">
                <c:v>108630</c:v>
              </c:pt>
              <c:pt idx="59">
                <c:v>96568</c:v>
              </c:pt>
              <c:pt idx="60">
                <c:v>79100</c:v>
              </c:pt>
              <c:pt idx="61">
                <c:v>97426</c:v>
              </c:pt>
              <c:pt idx="62">
                <c:v>128167</c:v>
              </c:pt>
              <c:pt idx="63">
                <c:v>111376</c:v>
              </c:pt>
              <c:pt idx="64">
                <c:v>90211</c:v>
              </c:pt>
              <c:pt idx="65">
                <c:v>76736</c:v>
              </c:pt>
              <c:pt idx="66">
                <c:v>64599</c:v>
              </c:pt>
              <c:pt idx="67">
                <c:v>72719</c:v>
              </c:pt>
              <c:pt idx="68">
                <c:v>96305</c:v>
              </c:pt>
              <c:pt idx="69">
                <c:v>124393</c:v>
              </c:pt>
              <c:pt idx="70">
                <c:v>114501</c:v>
              </c:pt>
              <c:pt idx="71">
                <c:v>92034</c:v>
              </c:pt>
              <c:pt idx="72">
                <c:v>79991</c:v>
              </c:pt>
              <c:pt idx="73">
                <c:v>96880</c:v>
              </c:pt>
              <c:pt idx="74">
                <c:v>121687</c:v>
              </c:pt>
              <c:pt idx="75">
                <c:v>116490</c:v>
              </c:pt>
            </c:numLit>
          </c:val>
          <c:extLst>
            <c:ext xmlns:c16="http://schemas.microsoft.com/office/drawing/2014/chart" uri="{C3380CC4-5D6E-409C-BE32-E72D297353CC}">
              <c16:uniqueId val="{00000000-B56E-4E58-9A5D-FB89CF7627CC}"/>
            </c:ext>
          </c:extLst>
        </c:ser>
        <c:dLbls>
          <c:showLegendKey val="0"/>
          <c:showVal val="0"/>
          <c:showCatName val="0"/>
          <c:showSerName val="0"/>
          <c:showPercent val="0"/>
          <c:showBubbleSize val="0"/>
        </c:dLbls>
        <c:gapWidth val="92"/>
        <c:overlap val="27"/>
        <c:axId val="861083856"/>
        <c:axId val="861084184"/>
      </c:barChart>
      <c:catAx>
        <c:axId val="861083856"/>
        <c:scaling>
          <c:orientation val="minMax"/>
        </c:scaling>
        <c:delete val="0"/>
        <c:axPos val="b"/>
        <c:numFmt formatCode="[$-409]d\-mmm\-yy;@"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1084184"/>
        <c:crosses val="autoZero"/>
        <c:auto val="1"/>
        <c:lblAlgn val="ctr"/>
        <c:lblOffset val="100"/>
        <c:noMultiLvlLbl val="0"/>
      </c:catAx>
      <c:valAx>
        <c:axId val="861084184"/>
        <c:scaling>
          <c:orientation val="minMax"/>
        </c:scaling>
        <c:delete val="1"/>
        <c:axPos val="l"/>
        <c:numFmt formatCode="#,##0" sourceLinked="0"/>
        <c:majorTickMark val="none"/>
        <c:minorTickMark val="none"/>
        <c:tickLblPos val="nextTo"/>
        <c:crossAx val="8610838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98AFDA66BA4EE5BA5B7F2107EA5776"/>
        <w:category>
          <w:name w:val="General"/>
          <w:gallery w:val="placeholder"/>
        </w:category>
        <w:types>
          <w:type w:val="bbPlcHdr"/>
        </w:types>
        <w:behaviors>
          <w:behavior w:val="content"/>
        </w:behaviors>
        <w:guid w:val="{44595F69-4111-444F-B180-A1EBE7E535F8}"/>
      </w:docPartPr>
      <w:docPartBody>
        <w:p w:rsidR="00FB7454" w:rsidRDefault="004052A8">
          <w:r w:rsidRPr="00274D0D">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00022FF" w:usb1="C000205B" w:usb2="0000000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2A8"/>
    <w:rsid w:val="003B057C"/>
    <w:rsid w:val="004052A8"/>
    <w:rsid w:val="007D6FE3"/>
    <w:rsid w:val="00E133FF"/>
    <w:rsid w:val="00FB7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55F4A7B32A452CA1FC67C0DF9AFE54">
    <w:name w:val="FA55F4A7B32A452CA1FC67C0DF9AFE54"/>
    <w:rsid w:val="004052A8"/>
  </w:style>
  <w:style w:type="paragraph" w:customStyle="1" w:styleId="5D6AE01503A747638FC3C3D995B9C2F0">
    <w:name w:val="5D6AE01503A747638FC3C3D995B9C2F0"/>
    <w:rsid w:val="004052A8"/>
  </w:style>
  <w:style w:type="character" w:styleId="PlaceholderText">
    <w:name w:val="Placeholder Text"/>
    <w:basedOn w:val="DefaultParagraphFont"/>
    <w:uiPriority w:val="99"/>
    <w:semiHidden/>
    <w:rsid w:val="004052A8"/>
    <w:rPr>
      <w:color w:val="808080"/>
    </w:rPr>
  </w:style>
  <w:style w:type="paragraph" w:customStyle="1" w:styleId="62B3FEADAA294A518B1B54EB6E67D211">
    <w:name w:val="62B3FEADAA294A518B1B54EB6E67D211"/>
    <w:rsid w:val="004052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Phone No: 01-4540508</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CA959F-3B48-4D7C-B0F9-2CCB142F9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1655</TotalTime>
  <Pages>15</Pages>
  <Words>2613</Words>
  <Characters>14895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sanimacapital@sanimabank.com</Company>
  <LinksUpToDate>false</LinksUpToDate>
  <CharactersWithSpaces>17474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Sanima Capital Limited</dc:creator>
  <cp:keywords/>
  <dc:description/>
  <cp:lastModifiedBy>AKHILESH BIKRAM STHAPIT</cp:lastModifiedBy>
  <cp:revision>90</cp:revision>
  <cp:lastPrinted>2025-08-11T08:25:00Z</cp:lastPrinted>
  <dcterms:created xsi:type="dcterms:W3CDTF">2024-06-11T09:57:00Z</dcterms:created>
  <dcterms:modified xsi:type="dcterms:W3CDTF">2025-08-11T08:25:00Z</dcterms:modified>
</cp:coreProperties>
</file>