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ED" w:rsidRPr="00CF3FED" w:rsidRDefault="00CF3FED" w:rsidP="00CF3F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3F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Take-or-Pay vs Take-and-Pay in Hydropower: Comparison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3535"/>
        <w:gridCol w:w="3532"/>
      </w:tblGrid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Take-or-Pay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Take-and-Pay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Obligation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Buyer must pay for minimum quantity whether electricity is consumed or not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Buyer only pays for electricity actually consumed/taken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 Certainty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High - guaranteed minimum payments provide stable revenue stream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Low - payments depend on actual electricity demand and consumption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Distribution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Demand risk transferred to buyer (utility)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Demand risk remains with generator (hydropower developer)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Financing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More attractive to lenders due to guaranteed cash flows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Less attractive to lenders due to uncertain revenue streams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Penalty Structure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Penalties apply if buyer doesn't take minimum contracted amount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No penalties for not taking electricity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Capital Cost Recovery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Buyer commits to pay for capital costs regardless of plant operation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Capital cost recovery depends on actual electricity sales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Risk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Lower market risk for generator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Higher market risk for generator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 Incentive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 private investment with guaranteed returns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May discourage investment due to uncertain returns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Buyer Flexibility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Less flexible - committed to minimum payments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More flexible - pay only for what's needed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 Integration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May lead to curtailment issues if excess capacity exists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Better alignment with actual grid needs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Implications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rapid hydropower development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May slow development but improves system efficiency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Impact on Utilities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Higher financial commitment and risk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Lower financial commitment but potential supply risks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Plant Availability Requirements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 must maintain plant availability to receive payments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 must actually deliver electricity to receive payments</w:t>
            </w:r>
          </w:p>
        </w:tc>
      </w:tr>
      <w:tr w:rsidR="00CF3FED" w:rsidRPr="00CF3FED" w:rsidTr="00CF3FED"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Long-term Planning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long-term capacity planning</w:t>
            </w:r>
          </w:p>
        </w:tc>
        <w:tc>
          <w:tcPr>
            <w:tcW w:w="0" w:type="auto"/>
            <w:hideMark/>
          </w:tcPr>
          <w:p w:rsidR="00CF3FED" w:rsidRPr="00CF3FED" w:rsidRDefault="00CF3FED" w:rsidP="00CF3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ED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more dynamic capacity management</w:t>
            </w:r>
          </w:p>
        </w:tc>
      </w:tr>
    </w:tbl>
    <w:p w:rsidR="00CF3FED" w:rsidRPr="00CF3FED" w:rsidRDefault="00CF3FED" w:rsidP="00CF3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FED">
        <w:rPr>
          <w:rFonts w:ascii="Times New Roman" w:eastAsia="Times New Roman" w:hAnsi="Times New Roman" w:cs="Times New Roman"/>
          <w:b/>
          <w:bCs/>
          <w:sz w:val="36"/>
          <w:szCs w:val="36"/>
        </w:rPr>
        <w:t>Key Takeaway</w:t>
      </w:r>
    </w:p>
    <w:p w:rsidR="00CF3FED" w:rsidRPr="00CF3FED" w:rsidRDefault="00CF3FED" w:rsidP="00CF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FED">
        <w:rPr>
          <w:rFonts w:ascii="Times New Roman" w:eastAsia="Times New Roman" w:hAnsi="Times New Roman" w:cs="Times New Roman"/>
          <w:sz w:val="24"/>
          <w:szCs w:val="24"/>
        </w:rPr>
        <w:t>Take-or-pay contracts provide security for hydropower developers and facilitate project financing, while take-and-pay contracts offer more flexibility for electricity buyers but create uncertainty for generators. The choice between these models significantly impacts investment flows, project development, and overall sector growth in hydropower.</w:t>
      </w:r>
    </w:p>
    <w:p w:rsidR="000B78CC" w:rsidRDefault="000B78CC"/>
    <w:sectPr w:rsidR="000B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D"/>
    <w:rsid w:val="000B78CC"/>
    <w:rsid w:val="00C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4B4D8-5864-40D4-8EE4-AD62CB2D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3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3F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3FED"/>
    <w:rPr>
      <w:b/>
      <w:bCs/>
    </w:rPr>
  </w:style>
  <w:style w:type="paragraph" w:customStyle="1" w:styleId="whitespace-normal">
    <w:name w:val="whitespace-normal"/>
    <w:basedOn w:val="Normal"/>
    <w:rsid w:val="00CF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BIKRAM STHAPIT</dc:creator>
  <cp:keywords/>
  <dc:description/>
  <cp:lastModifiedBy>AKHILESH BIKRAM STHAPIT</cp:lastModifiedBy>
  <cp:revision>1</cp:revision>
  <dcterms:created xsi:type="dcterms:W3CDTF">2025-07-15T07:44:00Z</dcterms:created>
  <dcterms:modified xsi:type="dcterms:W3CDTF">2025-07-15T07:46:00Z</dcterms:modified>
</cp:coreProperties>
</file>