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4787668" w:displacedByCustomXml="next"/>
    <w:sdt>
      <w:sdtPr>
        <w:rPr>
          <w:rFonts w:asciiTheme="minorHAnsi" w:eastAsiaTheme="minorHAnsi" w:hAnsiTheme="minorHAnsi" w:cstheme="minorBidi"/>
          <w:sz w:val="22"/>
          <w:szCs w:val="22"/>
          <w:highlight w:val="yellow"/>
        </w:rPr>
        <w:id w:val="689338846"/>
        <w:docPartObj>
          <w:docPartGallery w:val="Cover Pages"/>
          <w:docPartUnique/>
        </w:docPartObj>
      </w:sdtPr>
      <w:sdtEndPr>
        <w:rPr>
          <w:b w:val="0"/>
          <w:color w:val="auto"/>
        </w:rPr>
      </w:sdtEndPr>
      <w:sdtContent>
        <w:p w:rsidR="002E64C6" w:rsidRPr="00221943" w:rsidRDefault="002E64C6" w:rsidP="00261825">
          <w:pPr>
            <w:pStyle w:val="Heading1"/>
            <w:rPr>
              <w:highlight w:val="yellow"/>
            </w:rPr>
          </w:pPr>
          <w:r w:rsidRPr="00221943">
            <w:rPr>
              <w:noProof/>
              <w:highlight w:val="yellow"/>
            </w:rPr>
            <mc:AlternateContent>
              <mc:Choice Requires="wps">
                <w:drawing>
                  <wp:anchor distT="0" distB="0" distL="114300" distR="114300" simplePos="0" relativeHeight="251663360" behindDoc="0" locked="0" layoutInCell="1" allowOverlap="1" wp14:anchorId="5F41BB15" wp14:editId="77B2F728">
                    <wp:simplePos x="0" y="0"/>
                    <wp:positionH relativeFrom="margin">
                      <wp:posOffset>-32186</wp:posOffset>
                    </wp:positionH>
                    <wp:positionV relativeFrom="margin">
                      <wp:posOffset>-98075</wp:posOffset>
                    </wp:positionV>
                    <wp:extent cx="6400800" cy="1005840"/>
                    <wp:effectExtent l="0" t="0" r="0" b="3810"/>
                    <wp:wrapSquare wrapText="bothSides"/>
                    <wp:docPr id="138" name="Text Box 138"/>
                    <wp:cNvGraphicFramePr/>
                    <a:graphic xmlns:a="http://schemas.openxmlformats.org/drawingml/2006/main">
                      <a:graphicData uri="http://schemas.microsoft.com/office/word/2010/wordprocessingShape">
                        <wps:wsp>
                          <wps:cNvSpPr txBox="1"/>
                          <wps:spPr>
                            <a:xfrm>
                              <a:off x="0" y="0"/>
                              <a:ext cx="640080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943" w:rsidRPr="0006764B" w:rsidRDefault="00221943" w:rsidP="0006764B">
                                <w:pPr>
                                  <w:pStyle w:val="NoSpacing"/>
                                  <w:spacing w:before="120" w:after="120"/>
                                  <w:jc w:val="center"/>
                                  <w:rPr>
                                    <w:rFonts w:ascii="Times New Roman" w:eastAsiaTheme="majorEastAsia" w:hAnsi="Times New Roman" w:cs="Times New Roman"/>
                                    <w:i/>
                                    <w:color w:val="4472C4" w:themeColor="accent1"/>
                                    <w:sz w:val="36"/>
                                    <w:szCs w:val="40"/>
                                    <w:u w:val="single"/>
                                  </w:rPr>
                                </w:pPr>
                                <w:r w:rsidRPr="0006764B">
                                  <w:rPr>
                                    <w:rFonts w:ascii="Times New Roman" w:eastAsiaTheme="majorEastAsia" w:hAnsi="Times New Roman" w:cs="Times New Roman"/>
                                    <w:b/>
                                    <w:color w:val="4472C4" w:themeColor="accent1"/>
                                    <w:sz w:val="52"/>
                                    <w:szCs w:val="60"/>
                                  </w:rPr>
                                  <w:t>Non-Life Insurance Industry Analysis</w:t>
                                </w:r>
                              </w:p>
                              <w:p w:rsidR="00221943" w:rsidRPr="005F5618" w:rsidRDefault="00221943" w:rsidP="0006764B">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Q3 Report published for FY 2081/82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F41BB15" id="_x0000_t202" coordsize="21600,21600" o:spt="202" path="m,l,21600r21600,l21600,xe">
                    <v:stroke joinstyle="miter"/>
                    <v:path gradientshapeok="t" o:connecttype="rect"/>
                  </v:shapetype>
                  <v:shape id="Text Box 138" o:spid="_x0000_s1026" type="#_x0000_t202" style="position:absolute;margin-left:-2.55pt;margin-top:-7.7pt;width:7in;height:79.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" filled="f" stroked="f" strokeweight=".5pt">
                    <v:textbox inset="0,0,0,0">
                      <w:txbxContent>
                        <w:p w:rsidR="00221943" w:rsidRPr="0006764B" w:rsidRDefault="00221943" w:rsidP="0006764B">
                          <w:pPr>
                            <w:pStyle w:val="NoSpacing"/>
                            <w:spacing w:before="120" w:after="120"/>
                            <w:jc w:val="center"/>
                            <w:rPr>
                              <w:rFonts w:ascii="Times New Roman" w:eastAsiaTheme="majorEastAsia" w:hAnsi="Times New Roman" w:cs="Times New Roman"/>
                              <w:i/>
                              <w:color w:val="4472C4" w:themeColor="accent1"/>
                              <w:sz w:val="36"/>
                              <w:szCs w:val="40"/>
                              <w:u w:val="single"/>
                            </w:rPr>
                          </w:pPr>
                          <w:r w:rsidRPr="0006764B">
                            <w:rPr>
                              <w:rFonts w:ascii="Times New Roman" w:eastAsiaTheme="majorEastAsia" w:hAnsi="Times New Roman" w:cs="Times New Roman"/>
                              <w:b/>
                              <w:color w:val="4472C4" w:themeColor="accent1"/>
                              <w:sz w:val="52"/>
                              <w:szCs w:val="60"/>
                            </w:rPr>
                            <w:t>Non-Life Insurance Industry Analysis</w:t>
                          </w:r>
                        </w:p>
                        <w:p w:rsidR="00221943" w:rsidRPr="005F5618" w:rsidRDefault="00221943" w:rsidP="0006764B">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Q3 Report published for FY 2081/82</w:t>
                          </w:r>
                        </w:p>
                      </w:txbxContent>
                    </v:textbox>
                    <w10:wrap type="square" anchorx="margin" anchory="margin"/>
                  </v:shape>
                </w:pict>
              </mc:Fallback>
            </mc:AlternateContent>
          </w:r>
          <w:r w:rsidRPr="00221943">
            <w:rPr>
              <w:noProof/>
              <w:highlight w:val="yellow"/>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221943" w:rsidRDefault="0022194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RGyPCRiQAAIcEAQAOAAAAAAAAAAAAAAAA&#10;AC4CAABkcnMvZTJvRG9jLnhtbFBLAQItABQABgAIAAAAIQBP95Uy3QAAAAYBAAAPAAAAAAAAAAAA&#10;AAAAAKAmAABkcnMvZG93bnJldi54bWxQSwUGAAAAAAQABADzAAAAqicAAAAA&#10;">
                    <v:rect id="Rectangle 2"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221943" w:rsidRDefault="0022194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4"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bookmarkEnd w:id="0"/>
        </w:p>
        <w:p w:rsidR="00261825" w:rsidRDefault="002E64C6" w:rsidP="008338C0">
          <w:pPr>
            <w:rPr>
              <w:rFonts w:ascii="Times New Roman" w:hAnsi="Times New Roman" w:cs="Times New Roman"/>
              <w:highlight w:val="yellow"/>
            </w:rPr>
          </w:pPr>
          <w:r w:rsidRPr="00221943">
            <w:rPr>
              <w:rFonts w:ascii="Times New Roman" w:hAnsi="Times New Roman" w:cs="Times New Roman"/>
              <w:noProof/>
              <w:highlight w:val="yellow"/>
            </w:rPr>
            <mc:AlternateContent>
              <mc:Choice Requires="wps">
                <w:drawing>
                  <wp:anchor distT="0" distB="0" distL="114300" distR="114300" simplePos="0" relativeHeight="251667456" behindDoc="0" locked="0" layoutInCell="1" allowOverlap="1" wp14:anchorId="41376460" wp14:editId="05129510">
                    <wp:simplePos x="0" y="0"/>
                    <wp:positionH relativeFrom="margin">
                      <wp:posOffset>4301709</wp:posOffset>
                    </wp:positionH>
                    <wp:positionV relativeFrom="margin">
                      <wp:posOffset>6460215</wp:posOffset>
                    </wp:positionV>
                    <wp:extent cx="2067560" cy="1371600"/>
                    <wp:effectExtent l="0" t="0" r="8890" b="0"/>
                    <wp:wrapSquare wrapText="bothSides"/>
                    <wp:docPr id="72" name="Text Box 72"/>
                    <wp:cNvGraphicFramePr/>
                    <a:graphic xmlns:a="http://schemas.openxmlformats.org/drawingml/2006/main">
                      <a:graphicData uri="http://schemas.microsoft.com/office/word/2010/wordprocessingShape">
                        <wps:wsp>
                          <wps:cNvSpPr txBox="1"/>
                          <wps:spPr>
                            <a:xfrm>
                              <a:off x="0" y="0"/>
                              <a:ext cx="206756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943" w:rsidRPr="006431C4" w:rsidRDefault="00221943" w:rsidP="002E64C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rsidR="00221943" w:rsidRPr="006431C4" w:rsidRDefault="00221943" w:rsidP="002E64C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rsidR="00221943" w:rsidRDefault="00221943" w:rsidP="002E64C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dataBinding w:prefixMappings="xmlns:ns0='http://schemas.openxmlformats.org/officeDocument/2006/extended-properties' " w:xpath="/ns0:Properties[1]/ns0:Company[1]" w:storeItemID="{6668398D-A668-4E3E-A5EB-62B293D839F1}"/>
                                  <w:text/>
                                </w:sdtPr>
                                <w:sdtEndPr/>
                                <w:sdtContent>
                                  <w:p w:rsidR="00221943" w:rsidRPr="006431C4" w:rsidRDefault="00221943" w:rsidP="002E64C6">
                                    <w:pPr>
                                      <w:pStyle w:val="NoSpacing"/>
                                      <w:rPr>
                                        <w:rFonts w:ascii="Times New Roman" w:hAnsi="Times New Roman" w:cs="Times New Roman"/>
                                        <w:color w:val="4472C4" w:themeColor="accent1"/>
                                        <w:sz w:val="28"/>
                                        <w:szCs w:val="28"/>
                                      </w:rPr>
                                    </w:pPr>
                                    <w:r>
                                      <w:rPr>
                                        <w:rFonts w:ascii="Times New Roman" w:hAnsi="Times New Roman" w:cs="Times New Roman"/>
                                        <w:i/>
                                        <w:color w:val="4472C4" w:themeColor="accent1"/>
                                        <w:sz w:val="24"/>
                                        <w:szCs w:val="28"/>
                                      </w:rPr>
                                      <w:t>sanimacapital@sanimabank.com</w:t>
                                    </w:r>
                                  </w:p>
                                </w:sdtContent>
                              </w:sdt>
                              <w:p w:rsidR="00221943" w:rsidRPr="006431C4" w:rsidRDefault="00221943" w:rsidP="002E64C6">
                                <w:pPr>
                                  <w:pStyle w:val="NoSpacing"/>
                                  <w:rPr>
                                    <w:rFonts w:ascii="Times New Roman" w:hAnsi="Times New Roman" w:cs="Times New Roman"/>
                                    <w:color w:val="4472C4" w:themeColor="accent1"/>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376460" id="Text Box 72" o:spid="_x0000_s1056" type="#_x0000_t202" style="position:absolute;margin-left:338.7pt;margin-top:508.7pt;width:162.8pt;height:1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" filled="f" stroked="f" strokeweight=".5pt">
                    <v:textbox inset="0,0,0,0">
                      <w:txbxContent>
                        <w:p w:rsidR="00221943" w:rsidRPr="006431C4" w:rsidRDefault="00221943" w:rsidP="002E64C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rsidR="00221943" w:rsidRPr="006431C4" w:rsidRDefault="00221943" w:rsidP="002E64C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rsidR="00221943" w:rsidRDefault="00221943" w:rsidP="002E64C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dataBinding w:prefixMappings="xmlns:ns0='http://schemas.openxmlformats.org/officeDocument/2006/extended-properties' " w:xpath="/ns0:Properties[1]/ns0:Company[1]" w:storeItemID="{6668398D-A668-4E3E-A5EB-62B293D839F1}"/>
                            <w:text/>
                          </w:sdtPr>
                          <w:sdtEndPr/>
                          <w:sdtContent>
                            <w:p w:rsidR="00221943" w:rsidRPr="006431C4" w:rsidRDefault="00221943" w:rsidP="002E64C6">
                              <w:pPr>
                                <w:pStyle w:val="NoSpacing"/>
                                <w:rPr>
                                  <w:rFonts w:ascii="Times New Roman" w:hAnsi="Times New Roman" w:cs="Times New Roman"/>
                                  <w:color w:val="4472C4" w:themeColor="accent1"/>
                                  <w:sz w:val="28"/>
                                  <w:szCs w:val="28"/>
                                </w:rPr>
                              </w:pPr>
                              <w:r>
                                <w:rPr>
                                  <w:rFonts w:ascii="Times New Roman" w:hAnsi="Times New Roman" w:cs="Times New Roman"/>
                                  <w:i/>
                                  <w:color w:val="4472C4" w:themeColor="accent1"/>
                                  <w:sz w:val="24"/>
                                  <w:szCs w:val="28"/>
                                </w:rPr>
                                <w:t>sanimacapital@sanimabank.com</w:t>
                              </w:r>
                            </w:p>
                          </w:sdtContent>
                        </w:sdt>
                        <w:p w:rsidR="00221943" w:rsidRPr="006431C4" w:rsidRDefault="00221943" w:rsidP="002E64C6">
                          <w:pPr>
                            <w:pStyle w:val="NoSpacing"/>
                            <w:rPr>
                              <w:rFonts w:ascii="Times New Roman" w:hAnsi="Times New Roman" w:cs="Times New Roman"/>
                              <w:color w:val="4472C4" w:themeColor="accent1"/>
                              <w:sz w:val="28"/>
                              <w:szCs w:val="28"/>
                            </w:rPr>
                          </w:pPr>
                        </w:p>
                      </w:txbxContent>
                    </v:textbox>
                    <w10:wrap type="square" anchorx="margin" anchory="margin"/>
                  </v:shape>
                </w:pict>
              </mc:Fallback>
            </mc:AlternateContent>
          </w:r>
          <w:r w:rsidRPr="00221943">
            <w:rPr>
              <w:rFonts w:ascii="Times New Roman" w:hAnsi="Times New Roman" w:cs="Times New Roman"/>
              <w:noProof/>
              <w:highlight w:val="yellow"/>
            </w:rPr>
            <w:drawing>
              <wp:anchor distT="0" distB="0" distL="114300" distR="114300" simplePos="0" relativeHeight="251665408" behindDoc="0" locked="0" layoutInCell="1" allowOverlap="1" wp14:anchorId="48B14232" wp14:editId="53455F7D">
                <wp:simplePos x="0" y="0"/>
                <wp:positionH relativeFrom="margin">
                  <wp:posOffset>-32186</wp:posOffset>
                </wp:positionH>
                <wp:positionV relativeFrom="margin">
                  <wp:posOffset>3257440</wp:posOffset>
                </wp:positionV>
                <wp:extent cx="6400800" cy="1378305"/>
                <wp:effectExtent l="0" t="0" r="0"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378305"/>
                        </a:xfrm>
                        <a:prstGeom prst="rect">
                          <a:avLst/>
                        </a:prstGeom>
                      </pic:spPr>
                    </pic:pic>
                  </a:graphicData>
                </a:graphic>
                <wp14:sizeRelH relativeFrom="page">
                  <wp14:pctWidth>0</wp14:pctWidth>
                </wp14:sizeRelH>
                <wp14:sizeRelV relativeFrom="page">
                  <wp14:pctHeight>0</wp14:pctHeight>
                </wp14:sizeRelV>
              </wp:anchor>
            </w:drawing>
          </w:r>
          <w:r w:rsidRPr="00221943">
            <w:rPr>
              <w:rFonts w:ascii="Times New Roman" w:hAnsi="Times New Roman" w:cs="Times New Roman"/>
              <w:highlight w:val="yellow"/>
            </w:rPr>
            <w:br w:type="page"/>
          </w:r>
        </w:p>
        <w:p w:rsidR="008338C0" w:rsidRPr="00261825" w:rsidRDefault="00261825" w:rsidP="008338C0">
          <w:pPr>
            <w:rPr>
              <w:rFonts w:ascii="Times New Roman" w:hAnsi="Times New Roman" w:cs="Times New Roman"/>
              <w:highlight w:val="yellow"/>
            </w:rPr>
          </w:pPr>
        </w:p>
      </w:sdtContent>
    </w:sdt>
    <w:bookmarkStart w:id="1" w:name="_Hlk183433897" w:displacedByCustomXml="prev"/>
    <w:p w:rsidR="00221943" w:rsidRPr="00221943" w:rsidRDefault="00221943" w:rsidP="005F4737">
      <w:pPr>
        <w:pStyle w:val="Heading2"/>
      </w:pPr>
      <w:bookmarkStart w:id="2" w:name="_Toc204787669"/>
      <w:r w:rsidRPr="00221943">
        <w:t>List of the Merger company of Non-life insurance</w:t>
      </w:r>
      <w:bookmarkEnd w:id="2"/>
      <w:r w:rsidRPr="00221943">
        <w:t xml:space="preserve">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In recent years, Nepal's insurance sector has experienced significant consolidation through mergers, primarily driven by regulatory mandates to increase minimum paid-up capital.</w:t>
      </w:r>
    </w:p>
    <w:p w:rsidR="00221943" w:rsidRPr="00221943" w:rsidRDefault="00221943" w:rsidP="00221943">
      <w:pPr>
        <w:spacing w:after="0"/>
        <w:jc w:val="both"/>
        <w:rPr>
          <w:rFonts w:ascii="Times New Roman" w:hAnsi="Times New Roman" w:cs="Times New Roman"/>
        </w:rPr>
      </w:pPr>
    </w:p>
    <w:tbl>
      <w:tblPr>
        <w:tblStyle w:val="GridTable4-Accent2"/>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9"/>
        <w:gridCol w:w="1853"/>
        <w:gridCol w:w="864"/>
        <w:gridCol w:w="1243"/>
        <w:gridCol w:w="1353"/>
        <w:gridCol w:w="1133"/>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Name of Companies</w:t>
            </w:r>
          </w:p>
        </w:tc>
        <w:tc>
          <w:tcPr>
            <w:tcW w:w="1853" w:type="dxa"/>
            <w:tcBorders>
              <w:top w:val="none" w:sz="0" w:space="0" w:color="auto"/>
              <w:left w:val="none" w:sz="0" w:space="0" w:color="auto"/>
              <w:bottom w:val="none" w:sz="0" w:space="0" w:color="auto"/>
              <w:right w:val="none" w:sz="0" w:space="0" w:color="auto"/>
            </w:tcBorders>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Company Name (After Merged)</w:t>
            </w:r>
          </w:p>
        </w:tc>
        <w:tc>
          <w:tcPr>
            <w:tcW w:w="0" w:type="auto"/>
            <w:tcBorders>
              <w:top w:val="none" w:sz="0" w:space="0" w:color="auto"/>
              <w:left w:val="none" w:sz="0" w:space="0" w:color="auto"/>
              <w:bottom w:val="none" w:sz="0" w:space="0" w:color="auto"/>
              <w:right w:val="none" w:sz="0" w:space="0" w:color="auto"/>
            </w:tcBorders>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Action</w:t>
            </w:r>
          </w:p>
        </w:tc>
        <w:tc>
          <w:tcPr>
            <w:tcW w:w="1243" w:type="dxa"/>
            <w:tcBorders>
              <w:top w:val="none" w:sz="0" w:space="0" w:color="auto"/>
              <w:left w:val="none" w:sz="0" w:space="0" w:color="auto"/>
              <w:bottom w:val="none" w:sz="0" w:space="0" w:color="auto"/>
              <w:right w:val="none" w:sz="0" w:space="0" w:color="auto"/>
            </w:tcBorders>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Swap Ratio</w:t>
            </w:r>
          </w:p>
        </w:tc>
        <w:tc>
          <w:tcPr>
            <w:tcW w:w="1353" w:type="dxa"/>
            <w:tcBorders>
              <w:top w:val="none" w:sz="0" w:space="0" w:color="auto"/>
              <w:left w:val="none" w:sz="0" w:space="0" w:color="auto"/>
              <w:bottom w:val="none" w:sz="0" w:space="0" w:color="auto"/>
              <w:right w:val="none" w:sz="0" w:space="0" w:color="auto"/>
            </w:tcBorders>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Joint Transaction Date</w:t>
            </w:r>
          </w:p>
        </w:tc>
        <w:tc>
          <w:tcPr>
            <w:tcW w:w="1130" w:type="dxa"/>
            <w:tcBorders>
              <w:top w:val="none" w:sz="0" w:space="0" w:color="auto"/>
              <w:left w:val="none" w:sz="0" w:space="0" w:color="auto"/>
              <w:bottom w:val="none" w:sz="0" w:space="0" w:color="auto"/>
              <w:right w:val="none" w:sz="0" w:space="0" w:color="auto"/>
            </w:tcBorders>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Company Name</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hideMark/>
          </w:tcPr>
          <w:p w:rsidR="00221943" w:rsidRPr="00221943" w:rsidRDefault="00221943" w:rsidP="00221943">
            <w:pPr>
              <w:spacing w:before="60" w:after="60" w:line="360" w:lineRule="auto"/>
              <w:rPr>
                <w:rFonts w:ascii="Times New Roman" w:eastAsia="Times New Roman" w:hAnsi="Times New Roman" w:cs="Times New Roman"/>
                <w:b w:val="0"/>
                <w:color w:val="000000" w:themeColor="text1"/>
              </w:rPr>
            </w:pPr>
            <w:r w:rsidRPr="00221943">
              <w:rPr>
                <w:rFonts w:ascii="Times New Roman" w:eastAsia="Times New Roman" w:hAnsi="Times New Roman" w:cs="Times New Roman"/>
                <w:b w:val="0"/>
                <w:color w:val="000000" w:themeColor="text1"/>
              </w:rPr>
              <w:t>IME General Insurance Limited and Prudential Insurance Company Limited</w:t>
            </w:r>
          </w:p>
        </w:tc>
        <w:tc>
          <w:tcPr>
            <w:tcW w:w="1853" w:type="dxa"/>
            <w:shd w:val="clear" w:color="auto" w:fill="auto"/>
            <w:vAlign w:val="center"/>
            <w:hideMark/>
          </w:tcPr>
          <w:p w:rsidR="00221943" w:rsidRPr="00221943" w:rsidRDefault="00261825"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hyperlink r:id="rId9" w:history="1">
              <w:r w:rsidR="00221943" w:rsidRPr="00221943">
                <w:rPr>
                  <w:rFonts w:ascii="Times New Roman" w:eastAsia="Times New Roman" w:hAnsi="Times New Roman" w:cs="Times New Roman"/>
                  <w:color w:val="000000" w:themeColor="text1"/>
                </w:rPr>
                <w:t>IGI Prudential Insurance Limited</w:t>
              </w:r>
            </w:hyperlink>
          </w:p>
        </w:tc>
        <w:tc>
          <w:tcPr>
            <w:tcW w:w="0" w:type="auto"/>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Merger</w:t>
            </w:r>
          </w:p>
        </w:tc>
        <w:tc>
          <w:tcPr>
            <w:tcW w:w="1243" w:type="dxa"/>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1:1</w:t>
            </w:r>
          </w:p>
        </w:tc>
        <w:tc>
          <w:tcPr>
            <w:tcW w:w="1353" w:type="dxa"/>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5/10/2023</w:t>
            </w:r>
          </w:p>
        </w:tc>
        <w:tc>
          <w:tcPr>
            <w:tcW w:w="1130" w:type="dxa"/>
            <w:shd w:val="clear" w:color="auto" w:fill="auto"/>
            <w:noWrap/>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IGI</w:t>
            </w:r>
          </w:p>
        </w:tc>
      </w:tr>
      <w:tr w:rsidR="00221943" w:rsidRPr="00221943" w:rsidTr="00221943">
        <w:trPr>
          <w:trHeight w:val="582"/>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hideMark/>
          </w:tcPr>
          <w:p w:rsidR="00221943" w:rsidRPr="00221943" w:rsidRDefault="00221943" w:rsidP="00221943">
            <w:pPr>
              <w:spacing w:before="60" w:after="60" w:line="360" w:lineRule="auto"/>
              <w:rPr>
                <w:rFonts w:ascii="Times New Roman" w:eastAsia="Times New Roman" w:hAnsi="Times New Roman" w:cs="Times New Roman"/>
                <w:b w:val="0"/>
                <w:color w:val="000000" w:themeColor="text1"/>
              </w:rPr>
            </w:pPr>
            <w:r w:rsidRPr="00221943">
              <w:rPr>
                <w:rFonts w:ascii="Times New Roman" w:eastAsia="Times New Roman" w:hAnsi="Times New Roman" w:cs="Times New Roman"/>
                <w:b w:val="0"/>
                <w:color w:val="000000" w:themeColor="text1"/>
              </w:rPr>
              <w:t>Ajod Insurance Limited and United Insurance Company (Nepal) Limited.</w:t>
            </w:r>
          </w:p>
        </w:tc>
        <w:tc>
          <w:tcPr>
            <w:tcW w:w="1853" w:type="dxa"/>
            <w:shd w:val="clear" w:color="auto" w:fill="auto"/>
            <w:vAlign w:val="center"/>
            <w:hideMark/>
          </w:tcPr>
          <w:p w:rsidR="00221943" w:rsidRPr="00221943" w:rsidRDefault="00261825"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hyperlink r:id="rId10" w:history="1">
              <w:r w:rsidR="00221943" w:rsidRPr="00221943">
                <w:rPr>
                  <w:rFonts w:ascii="Times New Roman" w:eastAsia="Times New Roman" w:hAnsi="Times New Roman" w:cs="Times New Roman"/>
                  <w:color w:val="000000" w:themeColor="text1"/>
                </w:rPr>
                <w:t>United Ajod Insurance Limited</w:t>
              </w:r>
            </w:hyperlink>
          </w:p>
        </w:tc>
        <w:tc>
          <w:tcPr>
            <w:tcW w:w="0" w:type="auto"/>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Merger</w:t>
            </w:r>
          </w:p>
        </w:tc>
        <w:tc>
          <w:tcPr>
            <w:tcW w:w="1243" w:type="dxa"/>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0.8250: 1</w:t>
            </w:r>
          </w:p>
        </w:tc>
        <w:tc>
          <w:tcPr>
            <w:tcW w:w="1353" w:type="dxa"/>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5/28/2023</w:t>
            </w:r>
          </w:p>
        </w:tc>
        <w:tc>
          <w:tcPr>
            <w:tcW w:w="1130" w:type="dxa"/>
            <w:shd w:val="clear" w:color="auto" w:fill="auto"/>
            <w:noWrap/>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UAIL</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hideMark/>
          </w:tcPr>
          <w:p w:rsidR="00221943" w:rsidRPr="00221943" w:rsidRDefault="00221943" w:rsidP="00221943">
            <w:pPr>
              <w:spacing w:before="60" w:after="60" w:line="360" w:lineRule="auto"/>
              <w:rPr>
                <w:rFonts w:ascii="Times New Roman" w:eastAsia="Times New Roman" w:hAnsi="Times New Roman" w:cs="Times New Roman"/>
                <w:b w:val="0"/>
                <w:color w:val="000000" w:themeColor="text1"/>
              </w:rPr>
            </w:pPr>
            <w:r w:rsidRPr="00221943">
              <w:rPr>
                <w:rFonts w:ascii="Times New Roman" w:eastAsia="Times New Roman" w:hAnsi="Times New Roman" w:cs="Times New Roman"/>
                <w:b w:val="0"/>
                <w:color w:val="000000" w:themeColor="text1"/>
              </w:rPr>
              <w:t>Sagarmatha Insurance Company Limited and Lumbini General Insurance Limited</w:t>
            </w:r>
          </w:p>
        </w:tc>
        <w:tc>
          <w:tcPr>
            <w:tcW w:w="1853" w:type="dxa"/>
            <w:shd w:val="clear" w:color="auto" w:fill="auto"/>
            <w:vAlign w:val="center"/>
            <w:hideMark/>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Sagarmatha Lumbini Insurance Company Limited</w:t>
            </w:r>
          </w:p>
        </w:tc>
        <w:tc>
          <w:tcPr>
            <w:tcW w:w="0" w:type="auto"/>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Merger</w:t>
            </w:r>
          </w:p>
        </w:tc>
        <w:tc>
          <w:tcPr>
            <w:tcW w:w="1243" w:type="dxa"/>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1: 0.8</w:t>
            </w:r>
          </w:p>
        </w:tc>
        <w:tc>
          <w:tcPr>
            <w:tcW w:w="1353" w:type="dxa"/>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3/13/2023</w:t>
            </w:r>
          </w:p>
        </w:tc>
        <w:tc>
          <w:tcPr>
            <w:tcW w:w="1130" w:type="dxa"/>
            <w:shd w:val="clear" w:color="auto" w:fill="auto"/>
            <w:noWrap/>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SALICO</w:t>
            </w:r>
          </w:p>
        </w:tc>
      </w:tr>
      <w:tr w:rsidR="00221943" w:rsidRPr="00221943" w:rsidTr="00221943">
        <w:trPr>
          <w:trHeight w:val="582"/>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hideMark/>
          </w:tcPr>
          <w:p w:rsidR="00221943" w:rsidRPr="00221943" w:rsidRDefault="00221943" w:rsidP="00221943">
            <w:pPr>
              <w:spacing w:before="60" w:after="60" w:line="360" w:lineRule="auto"/>
              <w:rPr>
                <w:rFonts w:ascii="Times New Roman" w:eastAsia="Times New Roman" w:hAnsi="Times New Roman" w:cs="Times New Roman"/>
                <w:b w:val="0"/>
                <w:color w:val="000000" w:themeColor="text1"/>
              </w:rPr>
            </w:pPr>
            <w:r w:rsidRPr="00221943">
              <w:rPr>
                <w:rFonts w:ascii="Times New Roman" w:eastAsia="Times New Roman" w:hAnsi="Times New Roman" w:cs="Times New Roman"/>
                <w:b w:val="0"/>
                <w:color w:val="000000" w:themeColor="text1"/>
              </w:rPr>
              <w:t>Siddhartha Insurance Limited and Premier Insurance Company (Nepal) Limited</w:t>
            </w:r>
          </w:p>
        </w:tc>
        <w:tc>
          <w:tcPr>
            <w:tcW w:w="1853" w:type="dxa"/>
            <w:shd w:val="clear" w:color="auto" w:fill="auto"/>
            <w:vAlign w:val="center"/>
            <w:hideMark/>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Siddhartha Premier Insurance Limited</w:t>
            </w:r>
          </w:p>
        </w:tc>
        <w:tc>
          <w:tcPr>
            <w:tcW w:w="0" w:type="auto"/>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Merger</w:t>
            </w:r>
          </w:p>
        </w:tc>
        <w:tc>
          <w:tcPr>
            <w:tcW w:w="1243" w:type="dxa"/>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1:1</w:t>
            </w:r>
          </w:p>
        </w:tc>
        <w:tc>
          <w:tcPr>
            <w:tcW w:w="1353" w:type="dxa"/>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3/1/2023</w:t>
            </w:r>
          </w:p>
        </w:tc>
        <w:tc>
          <w:tcPr>
            <w:tcW w:w="1130" w:type="dxa"/>
            <w:shd w:val="clear" w:color="auto" w:fill="auto"/>
            <w:noWrap/>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SPIL</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hideMark/>
          </w:tcPr>
          <w:p w:rsidR="00221943" w:rsidRPr="00221943" w:rsidRDefault="00221943" w:rsidP="00221943">
            <w:pPr>
              <w:spacing w:before="60" w:after="60" w:line="360" w:lineRule="auto"/>
              <w:rPr>
                <w:rFonts w:ascii="Times New Roman" w:eastAsia="Times New Roman" w:hAnsi="Times New Roman" w:cs="Times New Roman"/>
                <w:b w:val="0"/>
                <w:color w:val="000000" w:themeColor="text1"/>
              </w:rPr>
            </w:pPr>
            <w:r w:rsidRPr="00221943">
              <w:rPr>
                <w:rFonts w:ascii="Times New Roman" w:eastAsia="Times New Roman" w:hAnsi="Times New Roman" w:cs="Times New Roman"/>
                <w:b w:val="0"/>
                <w:color w:val="000000" w:themeColor="text1"/>
              </w:rPr>
              <w:t>Sanima General Insurance Limited and General Insurance Company Nepal Limited.</w:t>
            </w:r>
          </w:p>
        </w:tc>
        <w:tc>
          <w:tcPr>
            <w:tcW w:w="1853" w:type="dxa"/>
            <w:shd w:val="clear" w:color="auto" w:fill="auto"/>
            <w:vAlign w:val="center"/>
            <w:hideMark/>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Sanima GIC Insurance Limited</w:t>
            </w:r>
          </w:p>
        </w:tc>
        <w:tc>
          <w:tcPr>
            <w:tcW w:w="0" w:type="auto"/>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Merger</w:t>
            </w:r>
          </w:p>
        </w:tc>
        <w:tc>
          <w:tcPr>
            <w:tcW w:w="1243" w:type="dxa"/>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1:1</w:t>
            </w:r>
          </w:p>
        </w:tc>
        <w:tc>
          <w:tcPr>
            <w:tcW w:w="1353" w:type="dxa"/>
            <w:shd w:val="clear" w:color="auto" w:fill="auto"/>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10/24/2022</w:t>
            </w:r>
          </w:p>
        </w:tc>
        <w:tc>
          <w:tcPr>
            <w:tcW w:w="1130" w:type="dxa"/>
            <w:shd w:val="clear" w:color="auto" w:fill="auto"/>
            <w:noWrap/>
            <w:vAlign w:val="center"/>
            <w:hideMark/>
          </w:tcPr>
          <w:p w:rsidR="00221943" w:rsidRPr="00221943" w:rsidRDefault="00221943" w:rsidP="00221943">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SGIC</w:t>
            </w:r>
          </w:p>
        </w:tc>
      </w:tr>
      <w:tr w:rsidR="00221943" w:rsidRPr="00221943" w:rsidTr="00221943">
        <w:trPr>
          <w:trHeight w:val="582"/>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hideMark/>
          </w:tcPr>
          <w:p w:rsidR="00221943" w:rsidRPr="00221943" w:rsidRDefault="00221943" w:rsidP="00221943">
            <w:pPr>
              <w:spacing w:before="60" w:after="60" w:line="360" w:lineRule="auto"/>
              <w:rPr>
                <w:rFonts w:ascii="Times New Roman" w:eastAsia="Times New Roman" w:hAnsi="Times New Roman" w:cs="Times New Roman"/>
                <w:b w:val="0"/>
                <w:color w:val="000000" w:themeColor="text1"/>
              </w:rPr>
            </w:pPr>
            <w:r w:rsidRPr="00221943">
              <w:rPr>
                <w:rFonts w:ascii="Times New Roman" w:eastAsia="Times New Roman" w:hAnsi="Times New Roman" w:cs="Times New Roman"/>
                <w:b w:val="0"/>
                <w:color w:val="000000" w:themeColor="text1"/>
              </w:rPr>
              <w:t>Everest Insurance Company Limited and Himalayan General Insurance Company Limited </w:t>
            </w:r>
          </w:p>
        </w:tc>
        <w:tc>
          <w:tcPr>
            <w:tcW w:w="1853" w:type="dxa"/>
            <w:shd w:val="clear" w:color="auto" w:fill="auto"/>
            <w:vAlign w:val="center"/>
            <w:hideMark/>
          </w:tcPr>
          <w:p w:rsidR="00221943" w:rsidRPr="00221943" w:rsidRDefault="00261825"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hyperlink r:id="rId11" w:history="1">
              <w:r w:rsidR="00221943" w:rsidRPr="00221943">
                <w:rPr>
                  <w:rFonts w:ascii="Times New Roman" w:eastAsia="Times New Roman" w:hAnsi="Times New Roman" w:cs="Times New Roman"/>
                  <w:color w:val="000000" w:themeColor="text1"/>
                </w:rPr>
                <w:t>Himalayan Everest Insurance Limited</w:t>
              </w:r>
            </w:hyperlink>
          </w:p>
        </w:tc>
        <w:tc>
          <w:tcPr>
            <w:tcW w:w="0" w:type="auto"/>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Merger</w:t>
            </w:r>
          </w:p>
        </w:tc>
        <w:tc>
          <w:tcPr>
            <w:tcW w:w="1243" w:type="dxa"/>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85: 100</w:t>
            </w:r>
          </w:p>
        </w:tc>
        <w:tc>
          <w:tcPr>
            <w:tcW w:w="1353" w:type="dxa"/>
            <w:shd w:val="clear" w:color="auto" w:fill="auto"/>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7/17/2022</w:t>
            </w:r>
          </w:p>
        </w:tc>
        <w:tc>
          <w:tcPr>
            <w:tcW w:w="1130" w:type="dxa"/>
            <w:shd w:val="clear" w:color="auto" w:fill="auto"/>
            <w:noWrap/>
            <w:vAlign w:val="center"/>
            <w:hideMark/>
          </w:tcPr>
          <w:p w:rsidR="00221943" w:rsidRPr="00221943" w:rsidRDefault="00221943" w:rsidP="00221943">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21943">
              <w:rPr>
                <w:rFonts w:ascii="Times New Roman" w:eastAsia="Times New Roman" w:hAnsi="Times New Roman" w:cs="Times New Roman"/>
                <w:color w:val="000000" w:themeColor="text1"/>
              </w:rPr>
              <w:t>HEI</w:t>
            </w:r>
          </w:p>
        </w:tc>
      </w:tr>
    </w:tbl>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rPr>
          <w:rFonts w:ascii="Times New Roman" w:hAnsi="Times New Roman" w:cs="Times New Roman"/>
        </w:rPr>
      </w:pPr>
      <w:r w:rsidRPr="00221943">
        <w:rPr>
          <w:rFonts w:ascii="Times New Roman" w:hAnsi="Times New Roman" w:cs="Times New Roman"/>
        </w:rPr>
        <w:t>Life insurance companies were required to raise paid-up capital to NPR 5 billion from the previous NPR 2.5 billion</w:t>
      </w:r>
      <w:r w:rsidRPr="00221943">
        <w:rPr>
          <w:rFonts w:ascii="Cambria Math" w:hAnsi="Cambria Math" w:cs="Cambria Math"/>
        </w:rPr>
        <w:t>​</w:t>
      </w:r>
      <w:r w:rsidRPr="00221943">
        <w:rPr>
          <w:rFonts w:ascii="Times New Roman" w:hAnsi="Times New Roman" w:cs="Times New Roman"/>
        </w:rPr>
        <w:t xml:space="preserve">. These mergers were largely influenced by the Nepal Insurance Authority's directive to increase the minimum paid-up capital for non-life insurance companies to NPR 2.5 billion. This regulatory change prompted companies to merge in order to meet the new capital requirements and enhance their financial stability. </w:t>
      </w:r>
      <w:r w:rsidRPr="00221943">
        <w:rPr>
          <w:rFonts w:ascii="Cambria Math" w:hAnsi="Cambria Math" w:cs="Cambria Math"/>
        </w:rPr>
        <w:t>​​</w:t>
      </w:r>
    </w:p>
    <w:p w:rsidR="00221943" w:rsidRPr="00221943" w:rsidRDefault="00221943" w:rsidP="00221943">
      <w:pPr>
        <w:spacing w:after="0"/>
        <w:rPr>
          <w:rFonts w:ascii="Times New Roman" w:hAnsi="Times New Roman" w:cs="Times New Roman"/>
        </w:rPr>
      </w:pPr>
      <w:r w:rsidRPr="00221943">
        <w:rPr>
          <w:rFonts w:ascii="Times New Roman" w:hAnsi="Times New Roman" w:cs="Times New Roman"/>
        </w:rPr>
        <w:lastRenderedPageBreak/>
        <w:t xml:space="preserve">The consolidation is expected to lead to a more robust and competitive insurance sector in Nepal, benefiting policyholders through improved services and financial security. </w:t>
      </w:r>
      <w:r w:rsidRPr="00221943">
        <w:rPr>
          <w:rFonts w:ascii="Cambria Math" w:hAnsi="Cambria Math" w:cs="Cambria Math"/>
        </w:rPr>
        <w:t>​​</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In addition to fixed capital hikes, regulators are moving toward risk-based solvency oversight. New Insurance Regulations 2081 (2024) introduced a requirement for insurers to maintain Risk-Based Capital (RBC) adequacy in addition to the static paid-up capital minimum. To complement RBC, the NIA issued an Own Risk and Solvency Assessment (ORSA) Directive in 2023 as a new compliance measure for insurers</w:t>
      </w:r>
      <w:r w:rsidRPr="00221943">
        <w:rPr>
          <w:rFonts w:ascii="Cambria Math" w:hAnsi="Cambria Math" w:cs="Cambria Math"/>
        </w:rPr>
        <w:t>​</w:t>
      </w:r>
      <w:r w:rsidRPr="00221943">
        <w:rPr>
          <w:rFonts w:ascii="Times New Roman" w:hAnsi="Times New Roman" w:cs="Times New Roman"/>
        </w:rPr>
        <w:t>. All insurers are required to fully adopt ORSA processes by 2026</w:t>
      </w:r>
      <w:r w:rsidRPr="00221943">
        <w:rPr>
          <w:rFonts w:ascii="Cambria Math" w:hAnsi="Cambria Math" w:cs="Cambria Math"/>
        </w:rPr>
        <w:t>​</w:t>
      </w:r>
    </w:p>
    <w:p w:rsidR="00221943" w:rsidRP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pStyle w:val="Heading2"/>
      </w:pPr>
      <w:bookmarkStart w:id="3" w:name="_Toc204787670"/>
      <w:r w:rsidRPr="00221943">
        <w:t>Current Situation of the capital of Non-life insurance</w:t>
      </w:r>
      <w:bookmarkEnd w:id="3"/>
      <w:r w:rsidRPr="00221943">
        <w:t xml:space="preserve"> </w:t>
      </w:r>
    </w:p>
    <w:p w:rsidR="00221943" w:rsidRPr="00221943" w:rsidRDefault="00221943" w:rsidP="00221943">
      <w:pPr>
        <w:rPr>
          <w:rFonts w:ascii="Times New Roman" w:hAnsi="Times New Roman" w:cs="Times New Roman"/>
          <w:highlight w:val="yellow"/>
        </w:rPr>
      </w:pPr>
    </w:p>
    <w:tbl>
      <w:tblPr>
        <w:tblStyle w:val="PlainTable1"/>
        <w:tblW w:w="10133" w:type="dxa"/>
        <w:tblLook w:val="04A0" w:firstRow="1" w:lastRow="0" w:firstColumn="1" w:lastColumn="0" w:noHBand="0" w:noVBand="1"/>
      </w:tblPr>
      <w:tblGrid>
        <w:gridCol w:w="2111"/>
        <w:gridCol w:w="1398"/>
        <w:gridCol w:w="1472"/>
        <w:gridCol w:w="1963"/>
        <w:gridCol w:w="1963"/>
        <w:gridCol w:w="1226"/>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2111" w:type="dxa"/>
            <w:noWrap/>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rPr>
            </w:pPr>
            <w:r w:rsidRPr="00221943">
              <w:rPr>
                <w:rFonts w:ascii="Times New Roman" w:eastAsia="Times New Roman" w:hAnsi="Times New Roman" w:cs="Times New Roman"/>
                <w:color w:val="000000"/>
              </w:rPr>
              <w:t>Ticker</w:t>
            </w:r>
          </w:p>
        </w:tc>
        <w:tc>
          <w:tcPr>
            <w:tcW w:w="1398"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Capital required to reach 2.5 billion</w:t>
            </w:r>
          </w:p>
        </w:tc>
        <w:tc>
          <w:tcPr>
            <w:tcW w:w="1472"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Diluted Paid up capital (in billions)</w:t>
            </w:r>
          </w:p>
        </w:tc>
        <w:tc>
          <w:tcPr>
            <w:tcW w:w="1963" w:type="dxa"/>
            <w:noWrap/>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Special Reserves (in billions)</w:t>
            </w:r>
          </w:p>
        </w:tc>
        <w:tc>
          <w:tcPr>
            <w:tcW w:w="1963" w:type="dxa"/>
            <w:noWrap/>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Retained Earnings (in billions)</w:t>
            </w:r>
          </w:p>
        </w:tc>
        <w:tc>
          <w:tcPr>
            <w:tcW w:w="1226" w:type="dxa"/>
            <w:noWrap/>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EPS (D)</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RBCL</w:t>
            </w:r>
          </w:p>
        </w:tc>
        <w:tc>
          <w:tcPr>
            <w:tcW w:w="139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837.6%</w:t>
            </w:r>
          </w:p>
        </w:tc>
        <w:tc>
          <w:tcPr>
            <w:tcW w:w="14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0.27</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green"/>
              </w:rPr>
            </w:pPr>
            <w:r w:rsidRPr="00221943">
              <w:rPr>
                <w:rFonts w:ascii="Times New Roman" w:eastAsia="Times New Roman" w:hAnsi="Times New Roman" w:cs="Times New Roman"/>
                <w:color w:val="000000"/>
                <w:highlight w:val="green"/>
              </w:rPr>
              <w:t>3.14</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2.46</w:t>
            </w:r>
          </w:p>
        </w:tc>
        <w:tc>
          <w:tcPr>
            <w:tcW w:w="122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197.85</w:t>
            </w:r>
          </w:p>
        </w:tc>
      </w:tr>
      <w:tr w:rsidR="00221943" w:rsidRPr="00221943" w:rsidTr="00221943">
        <w:trPr>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SALICO</w:t>
            </w:r>
          </w:p>
        </w:tc>
        <w:tc>
          <w:tcPr>
            <w:tcW w:w="139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2.62</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highlight w:val="green"/>
              </w:rPr>
            </w:pPr>
            <w:r w:rsidRPr="00221943">
              <w:rPr>
                <w:rFonts w:ascii="Times New Roman" w:eastAsia="Times New Roman" w:hAnsi="Times New Roman" w:cs="Times New Roman"/>
                <w:color w:val="000000"/>
                <w:highlight w:val="green"/>
              </w:rPr>
              <w:t>2.55</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0.63</w:t>
            </w:r>
          </w:p>
        </w:tc>
        <w:tc>
          <w:tcPr>
            <w:tcW w:w="122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12.81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SPIL</w:t>
            </w:r>
          </w:p>
        </w:tc>
        <w:tc>
          <w:tcPr>
            <w:tcW w:w="139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4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2.81</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green"/>
              </w:rPr>
            </w:pPr>
            <w:r w:rsidRPr="00221943">
              <w:rPr>
                <w:rFonts w:ascii="Times New Roman" w:eastAsia="Times New Roman" w:hAnsi="Times New Roman" w:cs="Times New Roman"/>
                <w:color w:val="000000"/>
                <w:highlight w:val="green"/>
              </w:rPr>
              <w:t>2.50</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0.68</w:t>
            </w:r>
          </w:p>
        </w:tc>
        <w:tc>
          <w:tcPr>
            <w:tcW w:w="122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21.55</w:t>
            </w:r>
          </w:p>
        </w:tc>
      </w:tr>
      <w:tr w:rsidR="00221943" w:rsidRPr="00221943" w:rsidTr="00221943">
        <w:trPr>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NIL</w:t>
            </w:r>
          </w:p>
        </w:tc>
        <w:tc>
          <w:tcPr>
            <w:tcW w:w="139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24.2%</w:t>
            </w:r>
          </w:p>
        </w:tc>
        <w:tc>
          <w:tcPr>
            <w:tcW w:w="14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2.01</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2.21</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0.68</w:t>
            </w:r>
          </w:p>
        </w:tc>
        <w:tc>
          <w:tcPr>
            <w:tcW w:w="122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18.30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SICL</w:t>
            </w:r>
          </w:p>
        </w:tc>
        <w:tc>
          <w:tcPr>
            <w:tcW w:w="139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4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2.65</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1.87</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0.16</w:t>
            </w:r>
          </w:p>
        </w:tc>
        <w:tc>
          <w:tcPr>
            <w:tcW w:w="122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16.29</w:t>
            </w:r>
          </w:p>
        </w:tc>
      </w:tr>
      <w:tr w:rsidR="00221943" w:rsidRPr="00221943" w:rsidTr="00221943">
        <w:trPr>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HEI</w:t>
            </w:r>
          </w:p>
        </w:tc>
        <w:tc>
          <w:tcPr>
            <w:tcW w:w="139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2.50</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1.83</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0.24</w:t>
            </w:r>
          </w:p>
        </w:tc>
        <w:tc>
          <w:tcPr>
            <w:tcW w:w="122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17.73</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IGI</w:t>
            </w:r>
          </w:p>
        </w:tc>
        <w:tc>
          <w:tcPr>
            <w:tcW w:w="139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4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3.03</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1.81</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0.13</w:t>
            </w:r>
          </w:p>
        </w:tc>
        <w:tc>
          <w:tcPr>
            <w:tcW w:w="122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11.67</w:t>
            </w:r>
          </w:p>
        </w:tc>
      </w:tr>
      <w:tr w:rsidR="00221943" w:rsidRPr="00221943" w:rsidTr="00221943">
        <w:trPr>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NICL</w:t>
            </w:r>
          </w:p>
        </w:tc>
        <w:tc>
          <w:tcPr>
            <w:tcW w:w="139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52.0%</w:t>
            </w:r>
          </w:p>
        </w:tc>
        <w:tc>
          <w:tcPr>
            <w:tcW w:w="14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1.64</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1.42</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0.09</w:t>
            </w:r>
          </w:p>
        </w:tc>
        <w:tc>
          <w:tcPr>
            <w:tcW w:w="122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12.58</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PRIN</w:t>
            </w:r>
          </w:p>
        </w:tc>
        <w:tc>
          <w:tcPr>
            <w:tcW w:w="139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73.4%</w:t>
            </w:r>
          </w:p>
        </w:tc>
        <w:tc>
          <w:tcPr>
            <w:tcW w:w="14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1.44</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1.37</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0.29</w:t>
            </w:r>
          </w:p>
        </w:tc>
        <w:tc>
          <w:tcPr>
            <w:tcW w:w="122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18.53</w:t>
            </w:r>
          </w:p>
        </w:tc>
      </w:tr>
      <w:tr w:rsidR="00221943" w:rsidRPr="00221943" w:rsidTr="00221943">
        <w:trPr>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NLG</w:t>
            </w:r>
          </w:p>
        </w:tc>
        <w:tc>
          <w:tcPr>
            <w:tcW w:w="139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2.50</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1.36</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0.11</w:t>
            </w:r>
          </w:p>
        </w:tc>
        <w:tc>
          <w:tcPr>
            <w:tcW w:w="122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6.57</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UAIL</w:t>
            </w:r>
          </w:p>
        </w:tc>
        <w:tc>
          <w:tcPr>
            <w:tcW w:w="139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19.0%</w:t>
            </w:r>
          </w:p>
        </w:tc>
        <w:tc>
          <w:tcPr>
            <w:tcW w:w="14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2.10</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0.99</w:t>
            </w:r>
          </w:p>
        </w:tc>
        <w:tc>
          <w:tcPr>
            <w:tcW w:w="196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0.17</w:t>
            </w:r>
          </w:p>
        </w:tc>
        <w:tc>
          <w:tcPr>
            <w:tcW w:w="122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7.37</w:t>
            </w:r>
          </w:p>
        </w:tc>
      </w:tr>
      <w:tr w:rsidR="00221943" w:rsidRPr="00221943" w:rsidTr="00221943">
        <w:trPr>
          <w:trHeight w:val="279"/>
        </w:trPr>
        <w:tc>
          <w:tcPr>
            <w:cnfStyle w:val="001000000000" w:firstRow="0" w:lastRow="0" w:firstColumn="1" w:lastColumn="0" w:oddVBand="0" w:evenVBand="0" w:oddHBand="0" w:evenHBand="0" w:firstRowFirstColumn="0" w:firstRowLastColumn="0" w:lastRowFirstColumn="0" w:lastRowLastColumn="0"/>
            <w:tcW w:w="2111"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SGIC</w:t>
            </w:r>
          </w:p>
        </w:tc>
        <w:tc>
          <w:tcPr>
            <w:tcW w:w="139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25.0%</w:t>
            </w:r>
          </w:p>
        </w:tc>
        <w:tc>
          <w:tcPr>
            <w:tcW w:w="14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2.00</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0.70</w:t>
            </w:r>
          </w:p>
        </w:tc>
        <w:tc>
          <w:tcPr>
            <w:tcW w:w="196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0.29</w:t>
            </w:r>
          </w:p>
        </w:tc>
        <w:tc>
          <w:tcPr>
            <w:tcW w:w="122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14.48</w:t>
            </w:r>
          </w:p>
        </w:tc>
      </w:tr>
    </w:tbl>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r w:rsidRPr="00221943">
        <w:rPr>
          <w:rFonts w:ascii="Times New Roman" w:hAnsi="Times New Roman" w:cs="Times New Roman"/>
        </w:rPr>
        <w:t xml:space="preserve">Nepal Insurance Authority's directive to increase the minimum paid-up capital for non-life insurance companies to NPR 2.5 Billion. As per till date HEI, NLG, SALICO, SICL, SPIL, IGI, NIL has fulfilled the capital requirement of 2.5 Billion.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RBCL, PRIN, NICL, SGIC, UAIL still need to full the capital requirement </w:t>
      </w:r>
    </w:p>
    <w:p w:rsidR="00221943" w:rsidRDefault="00221943" w:rsidP="00221943">
      <w:pPr>
        <w:spacing w:after="0"/>
        <w:jc w:val="both"/>
        <w:rPr>
          <w:rFonts w:ascii="Times New Roman" w:hAnsi="Times New Roman" w:cs="Times New Roman"/>
        </w:rPr>
      </w:pPr>
      <w:r w:rsidRPr="00221943">
        <w:rPr>
          <w:rFonts w:ascii="Times New Roman" w:hAnsi="Times New Roman" w:cs="Times New Roman"/>
        </w:rPr>
        <w:t>PRIN, NICL, SGIC, UAIL, may reached the capital within this this fiscal year.</w:t>
      </w:r>
    </w:p>
    <w:p w:rsid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rPr>
      </w:pPr>
    </w:p>
    <w:p w:rsidR="00221943" w:rsidRPr="00221943" w:rsidRDefault="00221943" w:rsidP="00221943">
      <w:pPr>
        <w:pStyle w:val="Heading2"/>
      </w:pPr>
      <w:bookmarkStart w:id="4" w:name="_Toc204787671"/>
      <w:r w:rsidRPr="00221943">
        <w:t>Special Reserve</w:t>
      </w:r>
      <w:bookmarkEnd w:id="4"/>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Insurance company (Nonlife Insurance) has to transfer 50% of its Net profit to the insurance fund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If the Special Reserves is more than 2.5 arba, then the company is not liable to transfer 50% of the profit to Insurance fund.</w:t>
      </w:r>
    </w:p>
    <w:p w:rsidR="00221943" w:rsidRPr="00221943" w:rsidRDefault="00221943" w:rsidP="00221943">
      <w:pPr>
        <w:spacing w:after="0"/>
        <w:jc w:val="both"/>
        <w:rPr>
          <w:rFonts w:ascii="Times New Roman" w:eastAsia="Times New Roman" w:hAnsi="Times New Roman" w:cs="Times New Roman"/>
          <w:color w:val="000000"/>
        </w:rPr>
      </w:pPr>
      <w:r w:rsidRPr="00221943">
        <w:rPr>
          <w:rFonts w:ascii="Times New Roman" w:eastAsia="Times New Roman" w:hAnsi="Times New Roman" w:cs="Times New Roman"/>
          <w:color w:val="000000"/>
        </w:rPr>
        <w:t>Special Reserves (in billions)- RBCL SALICO and SPIL has special reserve above 2.5 billion hence is not liable to transfer 50% of insurance fund</w:t>
      </w:r>
      <w:r>
        <w:rPr>
          <w:rFonts w:ascii="Times New Roman" w:eastAsia="Times New Roman" w:hAnsi="Times New Roman" w:cs="Times New Roman"/>
          <w:color w:val="000000"/>
        </w:rPr>
        <w:t>.</w:t>
      </w:r>
    </w:p>
    <w:p w:rsidR="00221943" w:rsidRPr="00221943" w:rsidRDefault="00221943" w:rsidP="00221943">
      <w:pPr>
        <w:pStyle w:val="Heading2"/>
        <w:rPr>
          <w:szCs w:val="28"/>
        </w:rPr>
      </w:pPr>
    </w:p>
    <w:tbl>
      <w:tblPr>
        <w:tblStyle w:val="PlainTable1"/>
        <w:tblpPr w:leftFromText="180" w:rightFromText="180" w:vertAnchor="page" w:horzAnchor="margin" w:tblpXSpec="center" w:tblpY="1921"/>
        <w:tblW w:w="11050" w:type="dxa"/>
        <w:tblLook w:val="04A0" w:firstRow="1" w:lastRow="0" w:firstColumn="1" w:lastColumn="0" w:noHBand="0" w:noVBand="1"/>
      </w:tblPr>
      <w:tblGrid>
        <w:gridCol w:w="752"/>
        <w:gridCol w:w="1311"/>
        <w:gridCol w:w="995"/>
        <w:gridCol w:w="1016"/>
        <w:gridCol w:w="1152"/>
        <w:gridCol w:w="2038"/>
        <w:gridCol w:w="2083"/>
        <w:gridCol w:w="1703"/>
      </w:tblGrid>
      <w:tr w:rsidR="00221943" w:rsidRPr="00221943" w:rsidTr="008338C0">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752" w:type="dxa"/>
            <w:vAlign w:val="center"/>
            <w:hideMark/>
          </w:tcPr>
          <w:p w:rsidR="00221943" w:rsidRPr="00221943" w:rsidRDefault="00221943" w:rsidP="00221943">
            <w:pPr>
              <w:spacing w:line="360" w:lineRule="auto"/>
              <w:jc w:val="center"/>
              <w:rPr>
                <w:rFonts w:ascii="Times New Roman" w:eastAsia="Times New Roman" w:hAnsi="Times New Roman" w:cs="Times New Roman"/>
                <w:bCs w:val="0"/>
              </w:rPr>
            </w:pPr>
            <w:r w:rsidRPr="00221943">
              <w:rPr>
                <w:rFonts w:ascii="Times New Roman" w:eastAsia="Times New Roman" w:hAnsi="Times New Roman" w:cs="Times New Roman"/>
              </w:rPr>
              <w:t>S.N.</w:t>
            </w:r>
          </w:p>
        </w:tc>
        <w:tc>
          <w:tcPr>
            <w:tcW w:w="1311" w:type="dxa"/>
            <w:vAlign w:val="center"/>
            <w:hideMark/>
          </w:tcPr>
          <w:p w:rsidR="00221943" w:rsidRPr="00221943" w:rsidRDefault="00221943" w:rsidP="00221943">
            <w:pPr>
              <w:spacing w:line="360" w:lineRule="auto"/>
              <w:ind w:left="720" w:hanging="7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221943">
              <w:rPr>
                <w:rFonts w:ascii="Times New Roman" w:eastAsia="Times New Roman" w:hAnsi="Times New Roman" w:cs="Times New Roman"/>
                <w:bCs w:val="0"/>
              </w:rPr>
              <w:t>Ticker</w:t>
            </w:r>
          </w:p>
        </w:tc>
        <w:tc>
          <w:tcPr>
            <w:tcW w:w="995"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221943">
              <w:rPr>
                <w:rFonts w:ascii="Times New Roman" w:eastAsia="Times New Roman" w:hAnsi="Times New Roman" w:cs="Times New Roman"/>
              </w:rPr>
              <w:t>Bonus (%)</w:t>
            </w:r>
          </w:p>
        </w:tc>
        <w:tc>
          <w:tcPr>
            <w:tcW w:w="1016"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221943">
              <w:rPr>
                <w:rFonts w:ascii="Times New Roman" w:eastAsia="Times New Roman" w:hAnsi="Times New Roman" w:cs="Times New Roman"/>
              </w:rPr>
              <w:t>Cash (%)</w:t>
            </w:r>
          </w:p>
        </w:tc>
        <w:tc>
          <w:tcPr>
            <w:tcW w:w="1152"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221943">
              <w:rPr>
                <w:rFonts w:ascii="Times New Roman" w:eastAsia="Times New Roman" w:hAnsi="Times New Roman" w:cs="Times New Roman"/>
              </w:rPr>
              <w:t>Total (%)</w:t>
            </w:r>
          </w:p>
        </w:tc>
        <w:tc>
          <w:tcPr>
            <w:tcW w:w="2038"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221943">
              <w:rPr>
                <w:rFonts w:ascii="Times New Roman" w:eastAsia="Times New Roman" w:hAnsi="Times New Roman" w:cs="Times New Roman"/>
              </w:rPr>
              <w:t>Announcement Date</w:t>
            </w:r>
          </w:p>
        </w:tc>
        <w:tc>
          <w:tcPr>
            <w:tcW w:w="2083"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221943">
              <w:rPr>
                <w:rFonts w:ascii="Times New Roman" w:eastAsia="Times New Roman" w:hAnsi="Times New Roman" w:cs="Times New Roman"/>
              </w:rPr>
              <w:t>Book Closure Date</w:t>
            </w:r>
          </w:p>
        </w:tc>
        <w:tc>
          <w:tcPr>
            <w:tcW w:w="1703"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221943">
              <w:rPr>
                <w:rFonts w:ascii="Times New Roman" w:eastAsia="Times New Roman" w:hAnsi="Times New Roman" w:cs="Times New Roman"/>
              </w:rPr>
              <w:t>Fiscal Year</w:t>
            </w:r>
          </w:p>
        </w:tc>
      </w:tr>
      <w:tr w:rsidR="00221943" w:rsidRPr="00221943" w:rsidTr="008338C0">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1</w:t>
            </w:r>
          </w:p>
        </w:tc>
        <w:tc>
          <w:tcPr>
            <w:tcW w:w="0" w:type="auto"/>
            <w:hideMark/>
          </w:tcPr>
          <w:p w:rsidR="00221943" w:rsidRPr="00221943" w:rsidRDefault="00261825"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hyperlink r:id="rId12" w:history="1">
              <w:r w:rsidR="00221943" w:rsidRPr="00221943">
                <w:rPr>
                  <w:rFonts w:ascii="Times New Roman" w:eastAsia="Times New Roman" w:hAnsi="Times New Roman" w:cs="Times New Roman"/>
                  <w:b/>
                  <w:bCs/>
                </w:rPr>
                <w:t>NLG</w:t>
              </w:r>
            </w:hyperlink>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2.5</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0.1316</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2.6316</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2025-05-11</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2025-06-05</w:t>
            </w:r>
          </w:p>
        </w:tc>
        <w:tc>
          <w:tcPr>
            <w:tcW w:w="1703"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r w:rsidR="00221943" w:rsidRPr="00221943" w:rsidTr="008338C0">
        <w:trPr>
          <w:trHeight w:val="308"/>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2</w:t>
            </w:r>
          </w:p>
        </w:tc>
        <w:tc>
          <w:tcPr>
            <w:tcW w:w="0" w:type="auto"/>
            <w:hideMark/>
          </w:tcPr>
          <w:p w:rsidR="00221943" w:rsidRPr="00221943" w:rsidRDefault="00261825"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hyperlink r:id="rId13" w:history="1">
              <w:r w:rsidR="00221943" w:rsidRPr="00221943">
                <w:rPr>
                  <w:rFonts w:ascii="Times New Roman" w:eastAsia="Times New Roman" w:hAnsi="Times New Roman" w:cs="Times New Roman"/>
                  <w:b/>
                  <w:bCs/>
                </w:rPr>
                <w:t>NIL</w:t>
              </w:r>
            </w:hyperlink>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7.00</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0.3684</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7.3684</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2025-04-24</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2025-05-13 [Closed]</w:t>
            </w:r>
          </w:p>
        </w:tc>
        <w:tc>
          <w:tcPr>
            <w:tcW w:w="1703"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r w:rsidR="00221943" w:rsidRPr="00221943" w:rsidTr="008338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3</w:t>
            </w:r>
          </w:p>
        </w:tc>
        <w:tc>
          <w:tcPr>
            <w:tcW w:w="0" w:type="auto"/>
            <w:hideMark/>
          </w:tcPr>
          <w:p w:rsidR="00221943" w:rsidRPr="00221943" w:rsidRDefault="00261825"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hyperlink r:id="rId14" w:history="1">
              <w:r w:rsidR="00221943" w:rsidRPr="00221943">
                <w:rPr>
                  <w:rFonts w:ascii="Times New Roman" w:eastAsia="Times New Roman" w:hAnsi="Times New Roman" w:cs="Times New Roman"/>
                  <w:b/>
                  <w:bCs/>
                </w:rPr>
                <w:t>SALICO</w:t>
              </w:r>
            </w:hyperlink>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0.00</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15.00</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15.00</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2025-04-11</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2025-04-30 [Closed]</w:t>
            </w:r>
          </w:p>
        </w:tc>
        <w:tc>
          <w:tcPr>
            <w:tcW w:w="1703"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r w:rsidR="00221943" w:rsidRPr="00221943" w:rsidTr="008338C0">
        <w:trPr>
          <w:trHeight w:val="317"/>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4</w:t>
            </w:r>
          </w:p>
        </w:tc>
        <w:tc>
          <w:tcPr>
            <w:tcW w:w="0" w:type="auto"/>
            <w:hideMark/>
          </w:tcPr>
          <w:p w:rsidR="00221943" w:rsidRPr="00221943" w:rsidRDefault="00261825"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hyperlink r:id="rId15" w:history="1">
              <w:r w:rsidR="00221943" w:rsidRPr="00221943">
                <w:rPr>
                  <w:rFonts w:ascii="Times New Roman" w:eastAsia="Times New Roman" w:hAnsi="Times New Roman" w:cs="Times New Roman"/>
                  <w:b/>
                  <w:bCs/>
                </w:rPr>
                <w:t>NICL</w:t>
              </w:r>
            </w:hyperlink>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15.00</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0.79</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15.79</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2025-03-09</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2025-03-20 [Closed]</w:t>
            </w:r>
          </w:p>
        </w:tc>
        <w:tc>
          <w:tcPr>
            <w:tcW w:w="1703"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r w:rsidR="00221943" w:rsidRPr="00221943" w:rsidTr="008338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5</w:t>
            </w:r>
          </w:p>
        </w:tc>
        <w:tc>
          <w:tcPr>
            <w:tcW w:w="0" w:type="auto"/>
            <w:hideMark/>
          </w:tcPr>
          <w:p w:rsidR="00221943" w:rsidRPr="00221943" w:rsidRDefault="00261825"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hyperlink r:id="rId16" w:history="1">
              <w:r w:rsidR="00221943" w:rsidRPr="00221943">
                <w:rPr>
                  <w:rFonts w:ascii="Times New Roman" w:eastAsia="Times New Roman" w:hAnsi="Times New Roman" w:cs="Times New Roman"/>
                  <w:b/>
                  <w:bCs/>
                </w:rPr>
                <w:t>HEI</w:t>
              </w:r>
            </w:hyperlink>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8.75</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8.75</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2025-02-12</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2025-02-27 [Closed]</w:t>
            </w:r>
          </w:p>
        </w:tc>
        <w:tc>
          <w:tcPr>
            <w:tcW w:w="1703"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r w:rsidR="00221943" w:rsidRPr="00221943" w:rsidTr="008338C0">
        <w:trPr>
          <w:trHeight w:val="308"/>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6</w:t>
            </w:r>
          </w:p>
        </w:tc>
        <w:tc>
          <w:tcPr>
            <w:tcW w:w="0" w:type="auto"/>
            <w:hideMark/>
          </w:tcPr>
          <w:p w:rsidR="00221943" w:rsidRPr="00221943" w:rsidRDefault="00261825"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hyperlink r:id="rId17" w:history="1">
              <w:r w:rsidR="00221943" w:rsidRPr="00221943">
                <w:rPr>
                  <w:rFonts w:ascii="Times New Roman" w:eastAsia="Times New Roman" w:hAnsi="Times New Roman" w:cs="Times New Roman"/>
                  <w:b/>
                  <w:bCs/>
                </w:rPr>
                <w:t>SGIC</w:t>
              </w:r>
            </w:hyperlink>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7.5</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0.3947</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7.8947</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2025-02-07</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2025-03-21 [Closed]</w:t>
            </w:r>
          </w:p>
        </w:tc>
        <w:tc>
          <w:tcPr>
            <w:tcW w:w="1703"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r w:rsidR="00221943" w:rsidRPr="00221943" w:rsidTr="008338C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7</w:t>
            </w:r>
          </w:p>
        </w:tc>
        <w:tc>
          <w:tcPr>
            <w:tcW w:w="0" w:type="auto"/>
            <w:hideMark/>
          </w:tcPr>
          <w:p w:rsidR="00221943" w:rsidRPr="00221943" w:rsidRDefault="00261825"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hyperlink r:id="rId18" w:history="1">
              <w:r w:rsidR="00221943" w:rsidRPr="00221943">
                <w:rPr>
                  <w:rFonts w:ascii="Times New Roman" w:eastAsia="Times New Roman" w:hAnsi="Times New Roman" w:cs="Times New Roman"/>
                  <w:b/>
                  <w:bCs/>
                </w:rPr>
                <w:t>IGI</w:t>
              </w:r>
            </w:hyperlink>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9.7368</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9.7368</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2025-02-06</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2025-02-24 [Closed]</w:t>
            </w:r>
          </w:p>
        </w:tc>
        <w:tc>
          <w:tcPr>
            <w:tcW w:w="1703"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r w:rsidR="00221943" w:rsidRPr="00221943" w:rsidTr="008338C0">
        <w:trPr>
          <w:trHeight w:val="308"/>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8</w:t>
            </w:r>
          </w:p>
        </w:tc>
        <w:tc>
          <w:tcPr>
            <w:tcW w:w="0" w:type="auto"/>
            <w:hideMark/>
          </w:tcPr>
          <w:p w:rsidR="00221943" w:rsidRPr="00221943" w:rsidRDefault="00261825"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hyperlink r:id="rId19" w:history="1">
              <w:r w:rsidR="00221943" w:rsidRPr="00221943">
                <w:rPr>
                  <w:rFonts w:ascii="Times New Roman" w:eastAsia="Times New Roman" w:hAnsi="Times New Roman" w:cs="Times New Roman"/>
                  <w:b/>
                  <w:bCs/>
                </w:rPr>
                <w:t>SPIL</w:t>
              </w:r>
            </w:hyperlink>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30.00</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30.00</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2025-02-04</w:t>
            </w:r>
          </w:p>
        </w:tc>
        <w:tc>
          <w:tcPr>
            <w:tcW w:w="0" w:type="auto"/>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2025-02-14 [Closed]</w:t>
            </w:r>
          </w:p>
        </w:tc>
        <w:tc>
          <w:tcPr>
            <w:tcW w:w="1703"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r w:rsidR="00221943" w:rsidRPr="00221943" w:rsidTr="008338C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52" w:type="dxa"/>
            <w:hideMark/>
          </w:tcPr>
          <w:p w:rsidR="00221943" w:rsidRPr="00221943" w:rsidRDefault="00221943" w:rsidP="00221943">
            <w:pPr>
              <w:spacing w:line="360" w:lineRule="auto"/>
              <w:rPr>
                <w:rFonts w:ascii="Times New Roman" w:eastAsia="Times New Roman" w:hAnsi="Times New Roman" w:cs="Times New Roman"/>
              </w:rPr>
            </w:pPr>
            <w:r w:rsidRPr="00221943">
              <w:rPr>
                <w:rFonts w:ascii="Times New Roman" w:eastAsia="Times New Roman" w:hAnsi="Times New Roman" w:cs="Times New Roman"/>
              </w:rPr>
              <w:t>9</w:t>
            </w:r>
          </w:p>
        </w:tc>
        <w:tc>
          <w:tcPr>
            <w:tcW w:w="0" w:type="auto"/>
            <w:hideMark/>
          </w:tcPr>
          <w:p w:rsidR="00221943" w:rsidRPr="00221943" w:rsidRDefault="00261825"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hyperlink r:id="rId20" w:history="1">
              <w:r w:rsidR="00221943" w:rsidRPr="00221943">
                <w:rPr>
                  <w:rFonts w:ascii="Times New Roman" w:eastAsia="Times New Roman" w:hAnsi="Times New Roman" w:cs="Times New Roman"/>
                  <w:b/>
                  <w:bCs/>
                </w:rPr>
                <w:t>SICL</w:t>
              </w:r>
            </w:hyperlink>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10.00</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0.5263</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10.5263</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2025-01-31</w:t>
            </w:r>
          </w:p>
        </w:tc>
        <w:tc>
          <w:tcPr>
            <w:tcW w:w="0" w:type="auto"/>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2025-02-12 [Closed]</w:t>
            </w:r>
          </w:p>
        </w:tc>
        <w:tc>
          <w:tcPr>
            <w:tcW w:w="1703"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2080/2081</w:t>
            </w:r>
          </w:p>
        </w:tc>
      </w:tr>
    </w:tbl>
    <w:p w:rsidR="00221943" w:rsidRDefault="00221943" w:rsidP="00221943">
      <w:pPr>
        <w:spacing w:after="0"/>
        <w:rPr>
          <w:rFonts w:ascii="Times New Roman" w:hAnsi="Times New Roman" w:cs="Times New Roman"/>
          <w:b/>
          <w:sz w:val="28"/>
          <w:szCs w:val="28"/>
        </w:rPr>
      </w:pPr>
    </w:p>
    <w:p w:rsidR="00221943" w:rsidRDefault="00221943" w:rsidP="00221943">
      <w:pPr>
        <w:spacing w:after="0"/>
        <w:rPr>
          <w:rFonts w:ascii="Times New Roman" w:hAnsi="Times New Roman" w:cs="Times New Roman"/>
          <w:b/>
          <w:sz w:val="28"/>
          <w:szCs w:val="28"/>
        </w:rPr>
      </w:pPr>
    </w:p>
    <w:p w:rsidR="00221943" w:rsidRDefault="00221943" w:rsidP="00221943">
      <w:pPr>
        <w:spacing w:after="0"/>
        <w:rPr>
          <w:rFonts w:ascii="Times New Roman" w:hAnsi="Times New Roman" w:cs="Times New Roman"/>
          <w:b/>
          <w:sz w:val="28"/>
          <w:szCs w:val="28"/>
        </w:rPr>
      </w:pPr>
    </w:p>
    <w:p w:rsidR="00221943" w:rsidRDefault="00221943" w:rsidP="00221943">
      <w:pPr>
        <w:spacing w:after="0"/>
        <w:rPr>
          <w:rFonts w:ascii="Times New Roman" w:hAnsi="Times New Roman" w:cs="Times New Roman"/>
          <w:b/>
          <w:sz w:val="28"/>
          <w:szCs w:val="28"/>
        </w:rPr>
      </w:pPr>
    </w:p>
    <w:p w:rsidR="00221943" w:rsidRDefault="00221943" w:rsidP="00221943">
      <w:pPr>
        <w:spacing w:after="0"/>
        <w:rPr>
          <w:rFonts w:ascii="Times New Roman" w:hAnsi="Times New Roman" w:cs="Times New Roman"/>
          <w:b/>
          <w:sz w:val="28"/>
          <w:szCs w:val="28"/>
        </w:rPr>
      </w:pPr>
    </w:p>
    <w:p w:rsidR="00221943" w:rsidRDefault="00221943" w:rsidP="00221943">
      <w:pPr>
        <w:spacing w:after="0"/>
        <w:rPr>
          <w:rFonts w:ascii="Times New Roman" w:hAnsi="Times New Roman" w:cs="Times New Roman"/>
          <w:b/>
          <w:sz w:val="28"/>
          <w:szCs w:val="28"/>
        </w:rPr>
      </w:pPr>
    </w:p>
    <w:p w:rsidR="00221943" w:rsidRPr="00221943" w:rsidRDefault="00221943" w:rsidP="00221943">
      <w:pPr>
        <w:spacing w:after="0"/>
        <w:rPr>
          <w:rFonts w:ascii="Times New Roman" w:hAnsi="Times New Roman" w:cs="Times New Roman"/>
          <w:b/>
          <w:sz w:val="28"/>
          <w:szCs w:val="28"/>
        </w:rPr>
      </w:pPr>
    </w:p>
    <w:p w:rsidR="00221943" w:rsidRDefault="00221943" w:rsidP="00221943">
      <w:pPr>
        <w:spacing w:after="0"/>
        <w:jc w:val="both"/>
        <w:rPr>
          <w:rFonts w:ascii="Times New Roman" w:hAnsi="Times New Roman" w:cs="Times New Roman"/>
        </w:rPr>
      </w:pPr>
    </w:p>
    <w:p w:rsidR="00221943" w:rsidRDefault="00221943" w:rsidP="00221943">
      <w:pPr>
        <w:spacing w:after="0"/>
        <w:jc w:val="both"/>
        <w:rPr>
          <w:rFonts w:ascii="Times New Roman" w:hAnsi="Times New Roman" w:cs="Times New Roman"/>
        </w:rPr>
      </w:pPr>
    </w:p>
    <w:p w:rsidR="00221943" w:rsidRDefault="00221943" w:rsidP="00221943">
      <w:pPr>
        <w:spacing w:after="0"/>
        <w:jc w:val="both"/>
        <w:rPr>
          <w:rFonts w:ascii="Times New Roman" w:hAnsi="Times New Roman" w:cs="Times New Roman"/>
        </w:rPr>
      </w:pPr>
    </w:p>
    <w:p w:rsidR="00221943" w:rsidRDefault="00221943" w:rsidP="00221943">
      <w:pPr>
        <w:spacing w:after="0"/>
        <w:jc w:val="both"/>
        <w:rPr>
          <w:rFonts w:ascii="Times New Roman" w:hAnsi="Times New Roman" w:cs="Times New Roman"/>
        </w:rPr>
      </w:pPr>
    </w:p>
    <w:p w:rsidR="00221943" w:rsidRDefault="00221943" w:rsidP="00221943">
      <w:pPr>
        <w:spacing w:after="0"/>
        <w:jc w:val="both"/>
        <w:rPr>
          <w:rFonts w:ascii="Times New Roman" w:hAnsi="Times New Roman" w:cs="Times New Roman"/>
        </w:rPr>
      </w:pPr>
    </w:p>
    <w:p w:rsidR="00221943" w:rsidRDefault="00221943" w:rsidP="00221943">
      <w:pPr>
        <w:spacing w:after="0"/>
        <w:jc w:val="both"/>
        <w:rPr>
          <w:rFonts w:ascii="Times New Roman" w:hAnsi="Times New Roman" w:cs="Times New Roman"/>
        </w:rPr>
      </w:pPr>
    </w:p>
    <w:p w:rsidR="00221943" w:rsidRDefault="00221943" w:rsidP="00221943">
      <w:pPr>
        <w:spacing w:after="0"/>
        <w:jc w:val="both"/>
        <w:rPr>
          <w:rFonts w:ascii="Times New Roman" w:hAnsi="Times New Roman" w:cs="Times New Roman"/>
        </w:rPr>
      </w:pPr>
    </w:p>
    <w:p w:rsidR="00221943" w:rsidRDefault="00221943" w:rsidP="00221943">
      <w:pPr>
        <w:pStyle w:val="Heading2"/>
      </w:pPr>
      <w:bookmarkStart w:id="5" w:name="_Toc204787672"/>
      <w:r w:rsidRPr="00221943">
        <w:t>Dividend announced till date for this Fiscal Year (2080/81)</w:t>
      </w:r>
      <w:bookmarkEnd w:id="5"/>
    </w:p>
    <w:p w:rsidR="00221943" w:rsidRDefault="00221943" w:rsidP="00221943">
      <w:pPr>
        <w:spacing w:after="0"/>
        <w:jc w:val="both"/>
        <w:rPr>
          <w:rFonts w:ascii="Times New Roman" w:hAnsi="Times New Roman" w:cs="Times New Roman"/>
        </w:rPr>
      </w:pPr>
    </w:p>
    <w:tbl>
      <w:tblPr>
        <w:tblStyle w:val="PlainTable1"/>
        <w:tblpPr w:leftFromText="180" w:rightFromText="180" w:vertAnchor="page" w:horzAnchor="margin" w:tblpXSpec="center" w:tblpY="1801"/>
        <w:tblW w:w="11489" w:type="dxa"/>
        <w:tblLook w:val="04A0" w:firstRow="1" w:lastRow="0" w:firstColumn="1" w:lastColumn="0" w:noHBand="0" w:noVBand="1"/>
      </w:tblPr>
      <w:tblGrid>
        <w:gridCol w:w="1242"/>
        <w:gridCol w:w="1608"/>
        <w:gridCol w:w="1112"/>
        <w:gridCol w:w="1618"/>
        <w:gridCol w:w="1488"/>
        <w:gridCol w:w="1112"/>
        <w:gridCol w:w="1108"/>
        <w:gridCol w:w="1100"/>
        <w:gridCol w:w="1101"/>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580" w:type="dxa"/>
            <w:gridSpan w:val="4"/>
            <w:noWrap/>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Gross Earned Premiums</w:t>
            </w:r>
          </w:p>
        </w:tc>
        <w:tc>
          <w:tcPr>
            <w:tcW w:w="3708" w:type="dxa"/>
            <w:gridSpan w:val="3"/>
            <w:noWrap/>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21943">
              <w:rPr>
                <w:rFonts w:ascii="Times New Roman" w:eastAsia="Times New Roman" w:hAnsi="Times New Roman" w:cs="Times New Roman"/>
                <w:sz w:val="20"/>
                <w:szCs w:val="20"/>
              </w:rPr>
              <w:t>Market share</w:t>
            </w:r>
          </w:p>
        </w:tc>
        <w:tc>
          <w:tcPr>
            <w:tcW w:w="2201" w:type="dxa"/>
            <w:gridSpan w:val="2"/>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Rank</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2" w:type="dxa"/>
            <w:noWrap/>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sz w:val="20"/>
                <w:szCs w:val="20"/>
              </w:rPr>
            </w:pPr>
          </w:p>
        </w:tc>
        <w:tc>
          <w:tcPr>
            <w:tcW w:w="1608"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2024/25</w:t>
            </w:r>
          </w:p>
        </w:tc>
        <w:tc>
          <w:tcPr>
            <w:tcW w:w="1112"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0"/>
                <w:szCs w:val="20"/>
              </w:rPr>
            </w:pPr>
          </w:p>
        </w:tc>
        <w:tc>
          <w:tcPr>
            <w:tcW w:w="1616"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2023/24</w:t>
            </w:r>
          </w:p>
        </w:tc>
        <w:tc>
          <w:tcPr>
            <w:tcW w:w="1488"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2024/25</w:t>
            </w:r>
          </w:p>
        </w:tc>
        <w:tc>
          <w:tcPr>
            <w:tcW w:w="1112"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0"/>
                <w:szCs w:val="20"/>
              </w:rPr>
            </w:pPr>
          </w:p>
        </w:tc>
        <w:tc>
          <w:tcPr>
            <w:tcW w:w="1106"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2023/24</w:t>
            </w:r>
          </w:p>
        </w:tc>
        <w:tc>
          <w:tcPr>
            <w:tcW w:w="1100"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2024/25</w:t>
            </w:r>
          </w:p>
        </w:tc>
        <w:tc>
          <w:tcPr>
            <w:tcW w:w="1101"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2023/24</w:t>
            </w:r>
          </w:p>
        </w:tc>
      </w:tr>
      <w:tr w:rsidR="00221943" w:rsidRPr="00221943" w:rsidTr="00221943">
        <w:trPr>
          <w:trHeight w:val="197"/>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sz w:val="20"/>
                <w:szCs w:val="20"/>
              </w:rPr>
            </w:pPr>
          </w:p>
        </w:tc>
        <w:tc>
          <w:tcPr>
            <w:tcW w:w="1608"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Q3</w:t>
            </w:r>
          </w:p>
        </w:tc>
        <w:tc>
          <w:tcPr>
            <w:tcW w:w="1112"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Growth YOY</w:t>
            </w:r>
          </w:p>
        </w:tc>
        <w:tc>
          <w:tcPr>
            <w:tcW w:w="1616"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Q3</w:t>
            </w:r>
          </w:p>
        </w:tc>
        <w:tc>
          <w:tcPr>
            <w:tcW w:w="1488"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Q3</w:t>
            </w:r>
          </w:p>
        </w:tc>
        <w:tc>
          <w:tcPr>
            <w:tcW w:w="1112"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Growth YOY</w:t>
            </w:r>
          </w:p>
        </w:tc>
        <w:tc>
          <w:tcPr>
            <w:tcW w:w="1106"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Q3</w:t>
            </w:r>
          </w:p>
        </w:tc>
        <w:tc>
          <w:tcPr>
            <w:tcW w:w="1100"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Q3</w:t>
            </w:r>
          </w:p>
        </w:tc>
        <w:tc>
          <w:tcPr>
            <w:tcW w:w="1101"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rPr>
            </w:pPr>
            <w:r w:rsidRPr="00221943">
              <w:rPr>
                <w:rFonts w:ascii="Times New Roman" w:eastAsia="Times New Roman" w:hAnsi="Times New Roman" w:cs="Times New Roman"/>
                <w:b/>
                <w:color w:val="000000"/>
                <w:sz w:val="20"/>
                <w:szCs w:val="20"/>
              </w:rPr>
              <w:t>Q3</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HEI</w:t>
            </w:r>
          </w:p>
        </w:tc>
        <w:tc>
          <w:tcPr>
            <w:tcW w:w="160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2,861,578.81</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32.0%</w:t>
            </w:r>
          </w:p>
        </w:tc>
        <w:tc>
          <w:tcPr>
            <w:tcW w:w="161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2,167,757.68</w:t>
            </w:r>
          </w:p>
        </w:tc>
        <w:tc>
          <w:tcPr>
            <w:tcW w:w="148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11.12%</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24.5%</w:t>
            </w:r>
          </w:p>
        </w:tc>
        <w:tc>
          <w:tcPr>
            <w:tcW w:w="110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8.93%</w:t>
            </w:r>
          </w:p>
        </w:tc>
        <w:tc>
          <w:tcPr>
            <w:tcW w:w="11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3.00</w:t>
            </w:r>
          </w:p>
        </w:tc>
        <w:tc>
          <w:tcPr>
            <w:tcW w:w="110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5.00</w:t>
            </w:r>
          </w:p>
        </w:tc>
      </w:tr>
      <w:tr w:rsidR="00221943" w:rsidRPr="00221943" w:rsidTr="00221943">
        <w:trPr>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IGI</w:t>
            </w:r>
          </w:p>
        </w:tc>
        <w:tc>
          <w:tcPr>
            <w:tcW w:w="160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2,534,362.73</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10.9%</w:t>
            </w:r>
          </w:p>
        </w:tc>
        <w:tc>
          <w:tcPr>
            <w:tcW w:w="161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2,284,611.18</w:t>
            </w:r>
          </w:p>
        </w:tc>
        <w:tc>
          <w:tcPr>
            <w:tcW w:w="148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9.85%</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4.6%</w:t>
            </w:r>
          </w:p>
        </w:tc>
        <w:tc>
          <w:tcPr>
            <w:tcW w:w="110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9.41%</w:t>
            </w:r>
          </w:p>
        </w:tc>
        <w:tc>
          <w:tcPr>
            <w:tcW w:w="11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5.00</w:t>
            </w:r>
          </w:p>
        </w:tc>
        <w:tc>
          <w:tcPr>
            <w:tcW w:w="110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4.00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NICL</w:t>
            </w:r>
          </w:p>
        </w:tc>
        <w:tc>
          <w:tcPr>
            <w:tcW w:w="160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1,279,749.53</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7.4%</w:t>
            </w:r>
          </w:p>
        </w:tc>
        <w:tc>
          <w:tcPr>
            <w:tcW w:w="161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1,191,954.80</w:t>
            </w:r>
          </w:p>
        </w:tc>
        <w:tc>
          <w:tcPr>
            <w:tcW w:w="148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4.97%</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1.3%</w:t>
            </w:r>
          </w:p>
        </w:tc>
        <w:tc>
          <w:tcPr>
            <w:tcW w:w="110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4.91%</w:t>
            </w:r>
          </w:p>
        </w:tc>
        <w:tc>
          <w:tcPr>
            <w:tcW w:w="11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10.00</w:t>
            </w:r>
          </w:p>
        </w:tc>
        <w:tc>
          <w:tcPr>
            <w:tcW w:w="110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10.00</w:t>
            </w:r>
          </w:p>
        </w:tc>
      </w:tr>
      <w:tr w:rsidR="00221943" w:rsidRPr="00221943" w:rsidTr="00221943">
        <w:trPr>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NIL</w:t>
            </w:r>
          </w:p>
        </w:tc>
        <w:tc>
          <w:tcPr>
            <w:tcW w:w="160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2,161,425.88</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11.7%</w:t>
            </w:r>
          </w:p>
        </w:tc>
        <w:tc>
          <w:tcPr>
            <w:tcW w:w="161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1,934,169.71</w:t>
            </w:r>
          </w:p>
        </w:tc>
        <w:tc>
          <w:tcPr>
            <w:tcW w:w="148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8.40%</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5.4%</w:t>
            </w:r>
          </w:p>
        </w:tc>
        <w:tc>
          <w:tcPr>
            <w:tcW w:w="110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7.97%</w:t>
            </w:r>
          </w:p>
        </w:tc>
        <w:tc>
          <w:tcPr>
            <w:tcW w:w="11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6.00</w:t>
            </w:r>
          </w:p>
        </w:tc>
        <w:tc>
          <w:tcPr>
            <w:tcW w:w="110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6.00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NLG</w:t>
            </w:r>
          </w:p>
        </w:tc>
        <w:tc>
          <w:tcPr>
            <w:tcW w:w="160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1,876,378.84</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7.7%</w:t>
            </w:r>
          </w:p>
        </w:tc>
        <w:tc>
          <w:tcPr>
            <w:tcW w:w="161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1,742,410.35</w:t>
            </w:r>
          </w:p>
        </w:tc>
        <w:tc>
          <w:tcPr>
            <w:tcW w:w="148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7.29%</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1.6%</w:t>
            </w:r>
          </w:p>
        </w:tc>
        <w:tc>
          <w:tcPr>
            <w:tcW w:w="110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7.18%</w:t>
            </w:r>
          </w:p>
        </w:tc>
        <w:tc>
          <w:tcPr>
            <w:tcW w:w="11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7.00</w:t>
            </w:r>
          </w:p>
        </w:tc>
        <w:tc>
          <w:tcPr>
            <w:tcW w:w="110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8.00</w:t>
            </w:r>
          </w:p>
        </w:tc>
      </w:tr>
      <w:tr w:rsidR="00221943" w:rsidRPr="00221943" w:rsidTr="00221943">
        <w:trPr>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PRIN</w:t>
            </w:r>
          </w:p>
        </w:tc>
        <w:tc>
          <w:tcPr>
            <w:tcW w:w="160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1,166,598.55</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4.2%</w:t>
            </w:r>
          </w:p>
        </w:tc>
        <w:tc>
          <w:tcPr>
            <w:tcW w:w="161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1,119,606.97</w:t>
            </w:r>
          </w:p>
        </w:tc>
        <w:tc>
          <w:tcPr>
            <w:tcW w:w="148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4.53%</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-1.7%</w:t>
            </w:r>
          </w:p>
        </w:tc>
        <w:tc>
          <w:tcPr>
            <w:tcW w:w="110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4.61%</w:t>
            </w:r>
          </w:p>
        </w:tc>
        <w:tc>
          <w:tcPr>
            <w:tcW w:w="11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11.00</w:t>
            </w:r>
          </w:p>
        </w:tc>
        <w:tc>
          <w:tcPr>
            <w:tcW w:w="110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12.00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RBCL</w:t>
            </w:r>
          </w:p>
        </w:tc>
        <w:tc>
          <w:tcPr>
            <w:tcW w:w="160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1,020,957.45</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-11.6%</w:t>
            </w:r>
          </w:p>
        </w:tc>
        <w:tc>
          <w:tcPr>
            <w:tcW w:w="161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1,154,712.25</w:t>
            </w:r>
          </w:p>
        </w:tc>
        <w:tc>
          <w:tcPr>
            <w:tcW w:w="148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3.97%</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-16.6%</w:t>
            </w:r>
          </w:p>
        </w:tc>
        <w:tc>
          <w:tcPr>
            <w:tcW w:w="110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4.76%</w:t>
            </w:r>
          </w:p>
        </w:tc>
        <w:tc>
          <w:tcPr>
            <w:tcW w:w="11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12.00</w:t>
            </w:r>
          </w:p>
        </w:tc>
        <w:tc>
          <w:tcPr>
            <w:tcW w:w="110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11.00</w:t>
            </w:r>
          </w:p>
        </w:tc>
      </w:tr>
      <w:tr w:rsidR="00221943" w:rsidRPr="00221943" w:rsidTr="00221943">
        <w:trPr>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SALICO</w:t>
            </w:r>
          </w:p>
        </w:tc>
        <w:tc>
          <w:tcPr>
            <w:tcW w:w="160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2,948,878.52</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-5.7%</w:t>
            </w:r>
          </w:p>
        </w:tc>
        <w:tc>
          <w:tcPr>
            <w:tcW w:w="161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3,128,360.22</w:t>
            </w:r>
          </w:p>
        </w:tc>
        <w:tc>
          <w:tcPr>
            <w:tcW w:w="148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11.46%</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-11.1%</w:t>
            </w:r>
          </w:p>
        </w:tc>
        <w:tc>
          <w:tcPr>
            <w:tcW w:w="110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12.89%</w:t>
            </w:r>
          </w:p>
        </w:tc>
        <w:tc>
          <w:tcPr>
            <w:tcW w:w="11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2.00</w:t>
            </w:r>
          </w:p>
        </w:tc>
        <w:tc>
          <w:tcPr>
            <w:tcW w:w="110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2.00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SGIC</w:t>
            </w:r>
          </w:p>
        </w:tc>
        <w:tc>
          <w:tcPr>
            <w:tcW w:w="160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1,685,610.45</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10.0%</w:t>
            </w:r>
          </w:p>
        </w:tc>
        <w:tc>
          <w:tcPr>
            <w:tcW w:w="161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1,532,341.83</w:t>
            </w:r>
          </w:p>
        </w:tc>
        <w:tc>
          <w:tcPr>
            <w:tcW w:w="148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6.55%</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3.8%</w:t>
            </w:r>
          </w:p>
        </w:tc>
        <w:tc>
          <w:tcPr>
            <w:tcW w:w="110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6.31%</w:t>
            </w:r>
          </w:p>
        </w:tc>
        <w:tc>
          <w:tcPr>
            <w:tcW w:w="11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9.00</w:t>
            </w:r>
          </w:p>
        </w:tc>
        <w:tc>
          <w:tcPr>
            <w:tcW w:w="110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9.00</w:t>
            </w:r>
          </w:p>
        </w:tc>
      </w:tr>
      <w:tr w:rsidR="00221943" w:rsidRPr="00221943" w:rsidTr="00221943">
        <w:trPr>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SICL</w:t>
            </w:r>
          </w:p>
        </w:tc>
        <w:tc>
          <w:tcPr>
            <w:tcW w:w="160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3,733,858.26</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4.5%</w:t>
            </w:r>
          </w:p>
        </w:tc>
        <w:tc>
          <w:tcPr>
            <w:tcW w:w="161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3,572,006.72</w:t>
            </w:r>
          </w:p>
        </w:tc>
        <w:tc>
          <w:tcPr>
            <w:tcW w:w="148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14.51%</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-1.4%</w:t>
            </w:r>
          </w:p>
        </w:tc>
        <w:tc>
          <w:tcPr>
            <w:tcW w:w="110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14.71%</w:t>
            </w:r>
          </w:p>
        </w:tc>
        <w:tc>
          <w:tcPr>
            <w:tcW w:w="11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1.00</w:t>
            </w:r>
          </w:p>
        </w:tc>
        <w:tc>
          <w:tcPr>
            <w:tcW w:w="110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SPIL</w:t>
            </w:r>
          </w:p>
        </w:tc>
        <w:tc>
          <w:tcPr>
            <w:tcW w:w="160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2,675,485.77</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2.7%</w:t>
            </w:r>
          </w:p>
        </w:tc>
        <w:tc>
          <w:tcPr>
            <w:tcW w:w="161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2,605,876.66</w:t>
            </w:r>
          </w:p>
        </w:tc>
        <w:tc>
          <w:tcPr>
            <w:tcW w:w="148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10.40%</w:t>
            </w:r>
          </w:p>
        </w:tc>
        <w:tc>
          <w:tcPr>
            <w:tcW w:w="111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-3.2%</w:t>
            </w:r>
          </w:p>
        </w:tc>
        <w:tc>
          <w:tcPr>
            <w:tcW w:w="110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10.73%</w:t>
            </w:r>
          </w:p>
        </w:tc>
        <w:tc>
          <w:tcPr>
            <w:tcW w:w="11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4.00</w:t>
            </w:r>
          </w:p>
        </w:tc>
        <w:tc>
          <w:tcPr>
            <w:tcW w:w="110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3.00</w:t>
            </w:r>
          </w:p>
        </w:tc>
      </w:tr>
      <w:tr w:rsidR="00221943" w:rsidRPr="00221943" w:rsidTr="00221943">
        <w:trPr>
          <w:trHeight w:val="262"/>
        </w:trPr>
        <w:tc>
          <w:tcPr>
            <w:cnfStyle w:val="001000000000" w:firstRow="0" w:lastRow="0" w:firstColumn="1" w:lastColumn="0" w:oddVBand="0" w:evenVBand="0" w:oddHBand="0" w:evenHBand="0" w:firstRowFirstColumn="0" w:firstRowLastColumn="0" w:lastRowFirstColumn="0" w:lastRowLastColumn="0"/>
            <w:tcW w:w="1242" w:type="dxa"/>
            <w:noWrap/>
            <w:hideMark/>
          </w:tcPr>
          <w:p w:rsidR="00221943" w:rsidRPr="00221943" w:rsidRDefault="00221943" w:rsidP="00221943">
            <w:pPr>
              <w:spacing w:line="360" w:lineRule="auto"/>
              <w:rPr>
                <w:rFonts w:ascii="Times New Roman" w:hAnsi="Times New Roman" w:cs="Times New Roman"/>
                <w:sz w:val="20"/>
                <w:szCs w:val="20"/>
              </w:rPr>
            </w:pPr>
            <w:r w:rsidRPr="00221943">
              <w:rPr>
                <w:rFonts w:ascii="Times New Roman" w:hAnsi="Times New Roman" w:cs="Times New Roman"/>
                <w:sz w:val="20"/>
                <w:szCs w:val="20"/>
              </w:rPr>
              <w:t>UAIL</w:t>
            </w:r>
          </w:p>
        </w:tc>
        <w:tc>
          <w:tcPr>
            <w:tcW w:w="160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1,792,371.33</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-2.7%</w:t>
            </w:r>
          </w:p>
        </w:tc>
        <w:tc>
          <w:tcPr>
            <w:tcW w:w="161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1,841,484.05</w:t>
            </w:r>
          </w:p>
        </w:tc>
        <w:tc>
          <w:tcPr>
            <w:tcW w:w="148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6.96%</w:t>
            </w:r>
          </w:p>
        </w:tc>
        <w:tc>
          <w:tcPr>
            <w:tcW w:w="111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-8.2%</w:t>
            </w:r>
          </w:p>
        </w:tc>
        <w:tc>
          <w:tcPr>
            <w:tcW w:w="110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7.59%</w:t>
            </w:r>
          </w:p>
        </w:tc>
        <w:tc>
          <w:tcPr>
            <w:tcW w:w="11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8.00</w:t>
            </w:r>
          </w:p>
        </w:tc>
        <w:tc>
          <w:tcPr>
            <w:tcW w:w="110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221943">
              <w:rPr>
                <w:rFonts w:ascii="Times New Roman" w:eastAsia="Times New Roman" w:hAnsi="Times New Roman" w:cs="Times New Roman"/>
                <w:color w:val="000000"/>
                <w:sz w:val="20"/>
                <w:szCs w:val="20"/>
              </w:rPr>
              <w:t>7.00</w:t>
            </w:r>
          </w:p>
        </w:tc>
      </w:tr>
    </w:tbl>
    <w:p w:rsid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Company whose capital has reached only announced cash dividend. This pattern may be seen till next year. However, the company which has low solvency ratio may announce bonus to increase the capital. </w:t>
      </w:r>
    </w:p>
    <w:p w:rsidR="00221943" w:rsidRPr="00221943" w:rsidRDefault="00221943" w:rsidP="00221943">
      <w:pPr>
        <w:spacing w:after="0"/>
        <w:jc w:val="both"/>
        <w:rPr>
          <w:rFonts w:ascii="Times New Roman" w:hAnsi="Times New Roman" w:cs="Times New Roman"/>
          <w:b/>
          <w:sz w:val="28"/>
          <w:szCs w:val="28"/>
        </w:rPr>
      </w:pPr>
    </w:p>
    <w:p w:rsidR="00221943" w:rsidRPr="00221943" w:rsidRDefault="00221943" w:rsidP="00221943">
      <w:pPr>
        <w:pStyle w:val="Heading3"/>
      </w:pPr>
      <w:bookmarkStart w:id="6" w:name="_Toc204787673"/>
      <w:r w:rsidRPr="00221943">
        <w:t>Key Stats growth analysis</w:t>
      </w:r>
      <w:bookmarkEnd w:id="6"/>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The non-life insurance market shows significant volatility in premium growth.  Non-life insurance market shows significant competitive shifts in Q3 2024/25, with SICL maintaining market leadership (14.51% share) despite modest 4.5% growth. HEI emerges as the sector's growth leader, posting remarkable 32.0% premium growth and 24.5% market share expansion, advancing from 5th to 3rd rank.</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Meanwhile, RBCL faces concerning headwinds with an 11.6% premium decline and substantial capital adequacy challenges, requiring an 837.6% increase to meet the NPR 2.5 billion regulatory threshold.</w:t>
      </w:r>
    </w:p>
    <w:p w:rsidR="00221943" w:rsidRP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rPr>
      </w:pPr>
    </w:p>
    <w:p w:rsidR="00221943" w:rsidRDefault="00221943" w:rsidP="00221943">
      <w:pPr>
        <w:spacing w:after="0"/>
        <w:jc w:val="both"/>
        <w:rPr>
          <w:rFonts w:ascii="Times New Roman" w:hAnsi="Times New Roman" w:cs="Times New Roman"/>
        </w:rPr>
      </w:pPr>
    </w:p>
    <w:p w:rsidR="002C037E" w:rsidRPr="00221943" w:rsidRDefault="002C037E" w:rsidP="00221943">
      <w:pPr>
        <w:spacing w:after="0"/>
        <w:jc w:val="both"/>
        <w:rPr>
          <w:rFonts w:ascii="Times New Roman" w:hAnsi="Times New Roman" w:cs="Times New Roman"/>
        </w:rPr>
      </w:pPr>
    </w:p>
    <w:p w:rsidR="00221943" w:rsidRPr="00221943" w:rsidRDefault="00221943" w:rsidP="00221943">
      <w:pPr>
        <w:rPr>
          <w:rFonts w:ascii="Times New Roman" w:hAnsi="Times New Roman" w:cs="Times New Roman"/>
        </w:rPr>
      </w:pPr>
    </w:p>
    <w:p w:rsidR="00221943" w:rsidRPr="00221943" w:rsidRDefault="00221943" w:rsidP="002C037E">
      <w:pPr>
        <w:pStyle w:val="Heading2"/>
      </w:pPr>
      <w:bookmarkStart w:id="7" w:name="_Toc204787674"/>
      <w:r w:rsidRPr="00221943">
        <w:t>Total revenue</w:t>
      </w:r>
      <w:bookmarkEnd w:id="7"/>
      <w:r w:rsidRPr="00221943">
        <w:t xml:space="preserve"> </w:t>
      </w:r>
    </w:p>
    <w:tbl>
      <w:tblPr>
        <w:tblStyle w:val="PlainTable1"/>
        <w:tblW w:w="10650" w:type="dxa"/>
        <w:tblLook w:val="04A0" w:firstRow="1" w:lastRow="0" w:firstColumn="1" w:lastColumn="0" w:noHBand="0" w:noVBand="1"/>
      </w:tblPr>
      <w:tblGrid>
        <w:gridCol w:w="1196"/>
        <w:gridCol w:w="1524"/>
        <w:gridCol w:w="1056"/>
        <w:gridCol w:w="1524"/>
        <w:gridCol w:w="1167"/>
        <w:gridCol w:w="1056"/>
        <w:gridCol w:w="1042"/>
        <w:gridCol w:w="1042"/>
        <w:gridCol w:w="1043"/>
      </w:tblGrid>
      <w:tr w:rsidR="00221943" w:rsidRPr="00221943" w:rsidTr="002C037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300" w:type="dxa"/>
            <w:gridSpan w:val="4"/>
            <w:noWrap/>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rPr>
            </w:pPr>
            <w:r w:rsidRPr="00221943">
              <w:rPr>
                <w:rFonts w:ascii="Times New Roman" w:eastAsia="Times New Roman" w:hAnsi="Times New Roman" w:cs="Times New Roman"/>
                <w:color w:val="000000"/>
              </w:rPr>
              <w:t>Total Revenue</w:t>
            </w:r>
          </w:p>
        </w:tc>
        <w:tc>
          <w:tcPr>
            <w:tcW w:w="3265" w:type="dxa"/>
            <w:gridSpan w:val="3"/>
            <w:noWrap/>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21943">
              <w:rPr>
                <w:rFonts w:ascii="Times New Roman" w:eastAsia="Times New Roman" w:hAnsi="Times New Roman" w:cs="Times New Roman"/>
              </w:rPr>
              <w:t>Market share</w:t>
            </w:r>
          </w:p>
        </w:tc>
        <w:tc>
          <w:tcPr>
            <w:tcW w:w="2085" w:type="dxa"/>
            <w:gridSpan w:val="2"/>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Rank</w:t>
            </w:r>
          </w:p>
        </w:tc>
      </w:tr>
      <w:tr w:rsidR="00221943" w:rsidRPr="00221943" w:rsidTr="002C037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c>
          <w:tcPr>
            <w:tcW w:w="1524"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2024/25</w:t>
            </w:r>
          </w:p>
        </w:tc>
        <w:tc>
          <w:tcPr>
            <w:tcW w:w="1056"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p>
        </w:tc>
        <w:tc>
          <w:tcPr>
            <w:tcW w:w="1524"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2023/24</w:t>
            </w:r>
          </w:p>
        </w:tc>
        <w:tc>
          <w:tcPr>
            <w:tcW w:w="1167"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2024/25</w:t>
            </w:r>
          </w:p>
        </w:tc>
        <w:tc>
          <w:tcPr>
            <w:tcW w:w="1056"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p>
        </w:tc>
        <w:tc>
          <w:tcPr>
            <w:tcW w:w="1042"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2023/24</w:t>
            </w:r>
          </w:p>
        </w:tc>
        <w:tc>
          <w:tcPr>
            <w:tcW w:w="1042"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2024/25</w:t>
            </w:r>
          </w:p>
        </w:tc>
        <w:tc>
          <w:tcPr>
            <w:tcW w:w="1042" w:type="dxa"/>
            <w:noWrap/>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2023/24</w:t>
            </w:r>
          </w:p>
        </w:tc>
      </w:tr>
      <w:tr w:rsidR="00221943" w:rsidRPr="00221943" w:rsidTr="002C037E">
        <w:trPr>
          <w:trHeight w:val="504"/>
        </w:trPr>
        <w:tc>
          <w:tcPr>
            <w:cnfStyle w:val="001000000000" w:firstRow="0" w:lastRow="0" w:firstColumn="1" w:lastColumn="0" w:oddVBand="0" w:evenVBand="0" w:oddHBand="0" w:evenHBand="0" w:firstRowFirstColumn="0" w:firstRowLastColumn="0" w:lastRowFirstColumn="0" w:lastRowLastColumn="0"/>
            <w:tcW w:w="1196" w:type="dxa"/>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c>
          <w:tcPr>
            <w:tcW w:w="1524"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Q3</w:t>
            </w:r>
          </w:p>
        </w:tc>
        <w:tc>
          <w:tcPr>
            <w:tcW w:w="1056"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Growth YOY</w:t>
            </w:r>
          </w:p>
        </w:tc>
        <w:tc>
          <w:tcPr>
            <w:tcW w:w="1524"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Q3</w:t>
            </w:r>
          </w:p>
        </w:tc>
        <w:tc>
          <w:tcPr>
            <w:tcW w:w="1167"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Q3</w:t>
            </w:r>
          </w:p>
        </w:tc>
        <w:tc>
          <w:tcPr>
            <w:tcW w:w="1056"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Growth YOY</w:t>
            </w:r>
          </w:p>
        </w:tc>
        <w:tc>
          <w:tcPr>
            <w:tcW w:w="1042"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Q3</w:t>
            </w:r>
          </w:p>
        </w:tc>
        <w:tc>
          <w:tcPr>
            <w:tcW w:w="1042"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Q3</w:t>
            </w:r>
          </w:p>
        </w:tc>
        <w:tc>
          <w:tcPr>
            <w:tcW w:w="1042" w:type="dxa"/>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Q3</w:t>
            </w:r>
          </w:p>
        </w:tc>
      </w:tr>
      <w:tr w:rsidR="00221943" w:rsidRPr="00221943" w:rsidTr="002C037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HEI</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1,723,268.86</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-4.0%</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1,795,300.53</w:t>
            </w:r>
          </w:p>
        </w:tc>
        <w:tc>
          <w:tcPr>
            <w:tcW w:w="116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10.23%</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0.9%</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10.13%</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5.00</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3.00</w:t>
            </w:r>
          </w:p>
        </w:tc>
      </w:tr>
      <w:tr w:rsidR="00221943" w:rsidRPr="00221943" w:rsidTr="002C037E">
        <w:trPr>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IGI</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1,527,829.89</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-10.3%</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1,702,799.40</w:t>
            </w:r>
          </w:p>
        </w:tc>
        <w:tc>
          <w:tcPr>
            <w:tcW w:w="116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9.07%</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-5.7%</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9.61%</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6.00</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5.00</w:t>
            </w:r>
          </w:p>
        </w:tc>
      </w:tr>
      <w:tr w:rsidR="00221943" w:rsidRPr="00221943" w:rsidTr="002C037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NICL</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975,132.65</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-31.2%</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1,416,742.17</w:t>
            </w:r>
          </w:p>
        </w:tc>
        <w:tc>
          <w:tcPr>
            <w:tcW w:w="116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5.79%</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-27.6%</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8.00%</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10.00</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7.00</w:t>
            </w:r>
          </w:p>
        </w:tc>
      </w:tr>
      <w:tr w:rsidR="00221943" w:rsidRPr="00221943" w:rsidTr="002C037E">
        <w:trPr>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NIL</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1,761,278.68</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7.1%</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1,644,610.29</w:t>
            </w:r>
          </w:p>
        </w:tc>
        <w:tc>
          <w:tcPr>
            <w:tcW w:w="116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10.45%</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12.6%</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9.28%</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4.00</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6.00</w:t>
            </w:r>
          </w:p>
        </w:tc>
      </w:tr>
      <w:tr w:rsidR="00221943" w:rsidRPr="00221943" w:rsidTr="002C037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NLG</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1,042,976.06</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14.9%</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908,019.74</w:t>
            </w:r>
          </w:p>
        </w:tc>
        <w:tc>
          <w:tcPr>
            <w:tcW w:w="116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6.19%</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20.7%</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5.13%</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8.00</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12.00</w:t>
            </w:r>
          </w:p>
        </w:tc>
      </w:tr>
      <w:tr w:rsidR="00221943" w:rsidRPr="00221943" w:rsidTr="002C037E">
        <w:trPr>
          <w:trHeight w:val="269"/>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PRIN</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726,140.32</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-33.6%</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1,092,939.74</w:t>
            </w:r>
          </w:p>
        </w:tc>
        <w:tc>
          <w:tcPr>
            <w:tcW w:w="116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4.31%</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-30.2%</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6.17%</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12.00</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9.00</w:t>
            </w:r>
          </w:p>
        </w:tc>
      </w:tr>
      <w:tr w:rsidR="00221943" w:rsidRPr="00221943" w:rsidTr="002C03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96" w:type="dxa"/>
            <w:noWrap/>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RBCL</w:t>
            </w:r>
          </w:p>
        </w:tc>
        <w:tc>
          <w:tcPr>
            <w:tcW w:w="1524" w:type="dxa"/>
            <w:noWrap/>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852,814.42</w:t>
            </w:r>
          </w:p>
        </w:tc>
        <w:tc>
          <w:tcPr>
            <w:tcW w:w="1056" w:type="dxa"/>
            <w:noWrap/>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-8.2%</w:t>
            </w:r>
          </w:p>
        </w:tc>
        <w:tc>
          <w:tcPr>
            <w:tcW w:w="1524" w:type="dxa"/>
            <w:noWrap/>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928,609.09</w:t>
            </w:r>
          </w:p>
        </w:tc>
        <w:tc>
          <w:tcPr>
            <w:tcW w:w="1167" w:type="dxa"/>
            <w:noWrap/>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5.06%</w:t>
            </w:r>
          </w:p>
        </w:tc>
        <w:tc>
          <w:tcPr>
            <w:tcW w:w="1056" w:type="dxa"/>
            <w:noWrap/>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-3.5%</w:t>
            </w:r>
          </w:p>
        </w:tc>
        <w:tc>
          <w:tcPr>
            <w:tcW w:w="1042" w:type="dxa"/>
            <w:noWrap/>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5.24%</w:t>
            </w:r>
          </w:p>
        </w:tc>
        <w:tc>
          <w:tcPr>
            <w:tcW w:w="1042" w:type="dxa"/>
            <w:noWrap/>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11.00</w:t>
            </w:r>
          </w:p>
        </w:tc>
        <w:tc>
          <w:tcPr>
            <w:tcW w:w="1042" w:type="dxa"/>
            <w:noWrap/>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11.00</w:t>
            </w:r>
          </w:p>
        </w:tc>
      </w:tr>
      <w:tr w:rsidR="00221943" w:rsidRPr="00221943" w:rsidTr="002C037E">
        <w:trPr>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SALICO</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2,091,308.62</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1.5%</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2,059,453.33</w:t>
            </w:r>
          </w:p>
        </w:tc>
        <w:tc>
          <w:tcPr>
            <w:tcW w:w="116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12.41%</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6.7%</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11.63%</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2.00</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2.00</w:t>
            </w:r>
          </w:p>
        </w:tc>
      </w:tr>
      <w:tr w:rsidR="00221943" w:rsidRPr="00221943" w:rsidTr="002C037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SGIC</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1,026,466.47</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8.3%</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947,728.40</w:t>
            </w:r>
          </w:p>
        </w:tc>
        <w:tc>
          <w:tcPr>
            <w:tcW w:w="116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6.09%</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13.9%</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5.35%</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9.00</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10.00</w:t>
            </w:r>
          </w:p>
        </w:tc>
      </w:tr>
      <w:tr w:rsidR="00221943" w:rsidRPr="00221943" w:rsidTr="002C037E">
        <w:trPr>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SICL</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1,859,183.67</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4.2%</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1,785,078.41</w:t>
            </w:r>
          </w:p>
        </w:tc>
        <w:tc>
          <w:tcPr>
            <w:tcW w:w="116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11.03%</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9.5%</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10.08%</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3.00</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4.00</w:t>
            </w:r>
          </w:p>
        </w:tc>
      </w:tr>
      <w:tr w:rsidR="00221943" w:rsidRPr="00221943" w:rsidTr="002C037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SPIL</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2,157,875.96</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0.1%</w:t>
            </w:r>
          </w:p>
        </w:tc>
        <w:tc>
          <w:tcPr>
            <w:tcW w:w="15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2,156,197.04</w:t>
            </w:r>
          </w:p>
        </w:tc>
        <w:tc>
          <w:tcPr>
            <w:tcW w:w="116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12.80%</w:t>
            </w:r>
          </w:p>
        </w:tc>
        <w:tc>
          <w:tcPr>
            <w:tcW w:w="105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5.2%</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12.17%</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1.00</w:t>
            </w:r>
          </w:p>
        </w:tc>
        <w:tc>
          <w:tcPr>
            <w:tcW w:w="104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1.00</w:t>
            </w:r>
          </w:p>
        </w:tc>
      </w:tr>
      <w:tr w:rsidR="00221943" w:rsidRPr="00221943" w:rsidTr="002C037E">
        <w:trPr>
          <w:trHeight w:val="251"/>
        </w:trPr>
        <w:tc>
          <w:tcPr>
            <w:cnfStyle w:val="001000000000" w:firstRow="0" w:lastRow="0" w:firstColumn="1" w:lastColumn="0" w:oddVBand="0" w:evenVBand="0" w:oddHBand="0" w:evenHBand="0" w:firstRowFirstColumn="0" w:firstRowLastColumn="0" w:lastRowFirstColumn="0" w:lastRowLastColumn="0"/>
            <w:tcW w:w="1196"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UAIL</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1,108,050.48</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-13.3%</w:t>
            </w:r>
          </w:p>
        </w:tc>
        <w:tc>
          <w:tcPr>
            <w:tcW w:w="15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1,278,207.58</w:t>
            </w:r>
          </w:p>
        </w:tc>
        <w:tc>
          <w:tcPr>
            <w:tcW w:w="116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6.58%</w:t>
            </w:r>
          </w:p>
        </w:tc>
        <w:tc>
          <w:tcPr>
            <w:tcW w:w="105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-8.9%</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7.22%</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7.00</w:t>
            </w:r>
          </w:p>
        </w:tc>
        <w:tc>
          <w:tcPr>
            <w:tcW w:w="104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8.00</w:t>
            </w:r>
          </w:p>
        </w:tc>
      </w:tr>
    </w:tbl>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Total Revenue Consist of Net Earned Premiums, Commission Income, Other Direct Income, Income from, Investments and Loans, Net Gains/ (Losses) on Fair Value Changes, Net Realized Gains/ (Losses), Other Income.</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The table contains data on Total Revenue, market share, and rankings for non-life insurance companies over two fiscal years (2023/24 Q3 and 2024/25 Q3).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SPIL maintaining market leadership (12.80% share) despite minimal growth (0.1%). SALICO and SICL follow with 12.41% and 11.03% market shares respectively. NLG demonstrates remarkable revenue growth at 14.9%, improving its ranking from 12th to 8th position. NIL shows strong performance with 7.1% revenue growth and 12.6% market share expansion.</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Concerning trends emerge for several players, with PRIN experiencing the steepest revenue decline (-33.6%), followed by NICL (-31.2%), significantly eroding their market positions.</w:t>
      </w:r>
    </w:p>
    <w:p w:rsidR="00221943" w:rsidRP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Default="00221943" w:rsidP="00221943">
      <w:pPr>
        <w:rPr>
          <w:rFonts w:ascii="Times New Roman" w:eastAsiaTheme="majorEastAsia" w:hAnsi="Times New Roman" w:cs="Times New Roman"/>
          <w:b/>
          <w:color w:val="2F5496" w:themeColor="accent1" w:themeShade="BF"/>
          <w:highlight w:val="yellow"/>
        </w:rPr>
      </w:pPr>
    </w:p>
    <w:p w:rsidR="002C037E" w:rsidRPr="00221943" w:rsidRDefault="002C037E" w:rsidP="00221943">
      <w:pPr>
        <w:rPr>
          <w:rFonts w:ascii="Times New Roman" w:eastAsiaTheme="majorEastAsia" w:hAnsi="Times New Roman" w:cs="Times New Roman"/>
          <w:b/>
          <w:color w:val="2F5496" w:themeColor="accent1" w:themeShade="BF"/>
          <w:highlight w:val="yellow"/>
        </w:rPr>
      </w:pPr>
    </w:p>
    <w:p w:rsidR="00221943" w:rsidRPr="00221943" w:rsidRDefault="00221943" w:rsidP="002C037E">
      <w:pPr>
        <w:pStyle w:val="Heading2"/>
      </w:pPr>
      <w:bookmarkStart w:id="8" w:name="_Toc204787675"/>
      <w:r w:rsidRPr="00221943">
        <w:t>Revenue Sources</w:t>
      </w:r>
      <w:bookmarkEnd w:id="8"/>
      <w:r w:rsidRPr="00221943">
        <w:t xml:space="preserve"> </w:t>
      </w:r>
    </w:p>
    <w:tbl>
      <w:tblPr>
        <w:tblStyle w:val="PlainTable1"/>
        <w:tblpPr w:leftFromText="180" w:rightFromText="180" w:vertAnchor="text" w:horzAnchor="margin" w:tblpXSpec="center" w:tblpY="220"/>
        <w:tblW w:w="10891" w:type="dxa"/>
        <w:tblLook w:val="04A0" w:firstRow="1" w:lastRow="0" w:firstColumn="1" w:lastColumn="0" w:noHBand="0" w:noVBand="1"/>
      </w:tblPr>
      <w:tblGrid>
        <w:gridCol w:w="1060"/>
        <w:gridCol w:w="1744"/>
        <w:gridCol w:w="1475"/>
        <w:gridCol w:w="1475"/>
        <w:gridCol w:w="1353"/>
        <w:gridCol w:w="1586"/>
        <w:gridCol w:w="1536"/>
        <w:gridCol w:w="1475"/>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3" w:type="dxa"/>
            <w:noWrap/>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rPr>
            </w:pPr>
            <w:r w:rsidRPr="00221943">
              <w:rPr>
                <w:rFonts w:ascii="Times New Roman" w:eastAsia="Times New Roman" w:hAnsi="Times New Roman" w:cs="Times New Roman"/>
                <w:color w:val="000000"/>
              </w:rPr>
              <w:t>Ticker</w:t>
            </w:r>
          </w:p>
        </w:tc>
        <w:tc>
          <w:tcPr>
            <w:tcW w:w="1624"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Net Earned Premiums/Total Revenue</w:t>
            </w:r>
          </w:p>
        </w:tc>
        <w:tc>
          <w:tcPr>
            <w:tcW w:w="1373"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Commission Income/Total Revenue</w:t>
            </w:r>
          </w:p>
        </w:tc>
        <w:tc>
          <w:tcPr>
            <w:tcW w:w="1373"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Other Direct Income/Total Revenue</w:t>
            </w:r>
          </w:p>
        </w:tc>
        <w:tc>
          <w:tcPr>
            <w:tcW w:w="1259"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Income from Investments and Loans/Total Revenue</w:t>
            </w:r>
          </w:p>
        </w:tc>
        <w:tc>
          <w:tcPr>
            <w:tcW w:w="1476"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Net Gains/ (Losses) on Fair Value Changes/Total Revenue</w:t>
            </w:r>
          </w:p>
        </w:tc>
        <w:tc>
          <w:tcPr>
            <w:tcW w:w="1430"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Net Realized Gains/ (Losses)/Total Revenue</w:t>
            </w:r>
          </w:p>
        </w:tc>
        <w:tc>
          <w:tcPr>
            <w:tcW w:w="1373"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Other Income/Total Revenue</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HEI</w:t>
            </w:r>
          </w:p>
        </w:tc>
        <w:tc>
          <w:tcPr>
            <w:tcW w:w="16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71.97%</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18.49%</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25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9.32%</w:t>
            </w:r>
          </w:p>
        </w:tc>
        <w:tc>
          <w:tcPr>
            <w:tcW w:w="147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0.09%</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0.13%</w:t>
            </w:r>
          </w:p>
        </w:tc>
      </w:tr>
      <w:tr w:rsidR="00221943" w:rsidRPr="00221943" w:rsidTr="00221943">
        <w:trPr>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IGI</w:t>
            </w:r>
          </w:p>
        </w:tc>
        <w:tc>
          <w:tcPr>
            <w:tcW w:w="16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60.82%</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23.84%</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25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13.73%</w:t>
            </w:r>
          </w:p>
        </w:tc>
        <w:tc>
          <w:tcPr>
            <w:tcW w:w="147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1.57%</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0.04%</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NICL</w:t>
            </w:r>
          </w:p>
        </w:tc>
        <w:tc>
          <w:tcPr>
            <w:tcW w:w="16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60.75%</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16.96%</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25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21.79%</w:t>
            </w:r>
          </w:p>
        </w:tc>
        <w:tc>
          <w:tcPr>
            <w:tcW w:w="147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0.50%</w:t>
            </w:r>
          </w:p>
        </w:tc>
      </w:tr>
      <w:tr w:rsidR="00221943" w:rsidRPr="00221943" w:rsidTr="00221943">
        <w:trPr>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NIL</w:t>
            </w:r>
          </w:p>
        </w:tc>
        <w:tc>
          <w:tcPr>
            <w:tcW w:w="16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69.72%</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14.48%</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0.70%</w:t>
            </w:r>
          </w:p>
        </w:tc>
        <w:tc>
          <w:tcPr>
            <w:tcW w:w="125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12.80%</w:t>
            </w:r>
          </w:p>
        </w:tc>
        <w:tc>
          <w:tcPr>
            <w:tcW w:w="147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highlight w:val="green"/>
              </w:rPr>
              <w:t>1.93%</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0.38%</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NLG</w:t>
            </w:r>
          </w:p>
        </w:tc>
        <w:tc>
          <w:tcPr>
            <w:tcW w:w="16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63.84%</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22.10%</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1.20%</w:t>
            </w:r>
          </w:p>
        </w:tc>
        <w:tc>
          <w:tcPr>
            <w:tcW w:w="125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12.87%</w:t>
            </w:r>
          </w:p>
        </w:tc>
        <w:tc>
          <w:tcPr>
            <w:tcW w:w="147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r>
      <w:tr w:rsidR="00221943" w:rsidRPr="00221943" w:rsidTr="00221943">
        <w:trPr>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PRIN</w:t>
            </w:r>
          </w:p>
        </w:tc>
        <w:tc>
          <w:tcPr>
            <w:tcW w:w="16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65.59%</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19.60%</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0.38%</w:t>
            </w:r>
          </w:p>
        </w:tc>
        <w:tc>
          <w:tcPr>
            <w:tcW w:w="125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13.76%</w:t>
            </w:r>
          </w:p>
        </w:tc>
        <w:tc>
          <w:tcPr>
            <w:tcW w:w="147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0.67%</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RBCL</w:t>
            </w:r>
          </w:p>
        </w:tc>
        <w:tc>
          <w:tcPr>
            <w:tcW w:w="16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19.56%</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20.29%</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25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60.09%</w:t>
            </w:r>
          </w:p>
        </w:tc>
        <w:tc>
          <w:tcPr>
            <w:tcW w:w="147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0.07%</w:t>
            </w:r>
          </w:p>
        </w:tc>
      </w:tr>
      <w:tr w:rsidR="00221943" w:rsidRPr="00221943" w:rsidTr="00221943">
        <w:trPr>
          <w:trHeight w:val="50"/>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SALICO</w:t>
            </w:r>
          </w:p>
        </w:tc>
        <w:tc>
          <w:tcPr>
            <w:tcW w:w="16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61.80%</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18.76%</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0.82%</w:t>
            </w:r>
          </w:p>
        </w:tc>
        <w:tc>
          <w:tcPr>
            <w:tcW w:w="125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13.88%</w:t>
            </w:r>
          </w:p>
        </w:tc>
        <w:tc>
          <w:tcPr>
            <w:tcW w:w="147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highlight w:val="green"/>
              </w:rPr>
            </w:pPr>
            <w:r w:rsidRPr="00221943">
              <w:rPr>
                <w:rFonts w:ascii="Times New Roman" w:eastAsia="Times New Roman" w:hAnsi="Times New Roman" w:cs="Times New Roman"/>
                <w:color w:val="000000"/>
                <w:highlight w:val="green"/>
              </w:rPr>
              <w:t>4.66%</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0.08%</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SGIC</w:t>
            </w:r>
          </w:p>
        </w:tc>
        <w:tc>
          <w:tcPr>
            <w:tcW w:w="16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48.25%</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26.33%</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1.23%</w:t>
            </w:r>
          </w:p>
        </w:tc>
        <w:tc>
          <w:tcPr>
            <w:tcW w:w="125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13.22%</w:t>
            </w:r>
          </w:p>
        </w:tc>
        <w:tc>
          <w:tcPr>
            <w:tcW w:w="147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green"/>
              </w:rPr>
            </w:pPr>
            <w:r w:rsidRPr="00221943">
              <w:rPr>
                <w:rFonts w:ascii="Times New Roman" w:eastAsia="Times New Roman" w:hAnsi="Times New Roman" w:cs="Times New Roman"/>
                <w:color w:val="000000"/>
                <w:highlight w:val="green"/>
              </w:rPr>
              <w:t>10.78%</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0.19%</w:t>
            </w:r>
          </w:p>
        </w:tc>
      </w:tr>
      <w:tr w:rsidR="00221943" w:rsidRPr="00221943" w:rsidTr="00221943">
        <w:trPr>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SICL</w:t>
            </w:r>
          </w:p>
        </w:tc>
        <w:tc>
          <w:tcPr>
            <w:tcW w:w="16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64.99%</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21.52%</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25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11.29%</w:t>
            </w:r>
          </w:p>
        </w:tc>
        <w:tc>
          <w:tcPr>
            <w:tcW w:w="147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0.84%</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1.35%</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SPIL</w:t>
            </w:r>
          </w:p>
        </w:tc>
        <w:tc>
          <w:tcPr>
            <w:tcW w:w="16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63.51%</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17.44%</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1.29%</w:t>
            </w:r>
          </w:p>
        </w:tc>
        <w:tc>
          <w:tcPr>
            <w:tcW w:w="125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16.91%</w:t>
            </w:r>
          </w:p>
        </w:tc>
        <w:tc>
          <w:tcPr>
            <w:tcW w:w="147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0.46%</w:t>
            </w: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0.40%</w:t>
            </w:r>
          </w:p>
        </w:tc>
      </w:tr>
      <w:tr w:rsidR="00221943" w:rsidRPr="00221943" w:rsidTr="00221943">
        <w:trPr>
          <w:trHeight w:val="52"/>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UAIL</w:t>
            </w:r>
          </w:p>
        </w:tc>
        <w:tc>
          <w:tcPr>
            <w:tcW w:w="16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65.02%</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18.14%</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0.94%</w:t>
            </w:r>
          </w:p>
        </w:tc>
        <w:tc>
          <w:tcPr>
            <w:tcW w:w="125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15.90%</w:t>
            </w:r>
          </w:p>
        </w:tc>
        <w:tc>
          <w:tcPr>
            <w:tcW w:w="147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4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0.00%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p>
        </w:tc>
        <w:tc>
          <w:tcPr>
            <w:tcW w:w="162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5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47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4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7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21943" w:rsidRPr="00221943" w:rsidTr="00221943">
        <w:trPr>
          <w:trHeight w:val="58"/>
        </w:trPr>
        <w:tc>
          <w:tcPr>
            <w:cnfStyle w:val="001000000000" w:firstRow="0" w:lastRow="0" w:firstColumn="1" w:lastColumn="0" w:oddVBand="0" w:evenVBand="0" w:oddHBand="0" w:evenHBand="0" w:firstRowFirstColumn="0" w:firstRowLastColumn="0" w:lastRowFirstColumn="0" w:lastRowLastColumn="0"/>
            <w:tcW w:w="983"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Industry Average</w:t>
            </w:r>
          </w:p>
        </w:tc>
        <w:tc>
          <w:tcPr>
            <w:tcW w:w="162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61.63%</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19.52%</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0.57%</w:t>
            </w:r>
          </w:p>
        </w:tc>
        <w:tc>
          <w:tcPr>
            <w:tcW w:w="125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16.21%</w:t>
            </w:r>
          </w:p>
        </w:tc>
        <w:tc>
          <w:tcPr>
            <w:tcW w:w="147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0.00%</w:t>
            </w:r>
          </w:p>
        </w:tc>
        <w:tc>
          <w:tcPr>
            <w:tcW w:w="14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1.74%</w:t>
            </w:r>
          </w:p>
        </w:tc>
        <w:tc>
          <w:tcPr>
            <w:tcW w:w="137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0.34%</w:t>
            </w:r>
          </w:p>
        </w:tc>
      </w:tr>
    </w:tbl>
    <w:p w:rsidR="00221943" w:rsidRPr="00221943" w:rsidRDefault="00221943" w:rsidP="00221943">
      <w:pPr>
        <w:spacing w:after="0"/>
        <w:jc w:val="both"/>
        <w:rPr>
          <w:rFonts w:ascii="Times New Roman" w:hAnsi="Times New Roman" w:cs="Times New Roman"/>
          <w:i/>
          <w:highlight w:val="yellow"/>
          <w:u w:val="single"/>
        </w:rPr>
      </w:pPr>
    </w:p>
    <w:p w:rsidR="00221943" w:rsidRPr="00221943" w:rsidRDefault="00221943" w:rsidP="00221943">
      <w:pPr>
        <w:spacing w:after="0"/>
        <w:jc w:val="both"/>
        <w:rPr>
          <w:rFonts w:ascii="Times New Roman" w:hAnsi="Times New Roman" w:cs="Times New Roman"/>
          <w:i/>
          <w:u w:val="single"/>
        </w:rPr>
      </w:pPr>
      <w:r w:rsidRPr="00221943">
        <w:rPr>
          <w:rFonts w:ascii="Times New Roman" w:hAnsi="Times New Roman" w:cs="Times New Roman"/>
          <w:i/>
          <w:u w:val="single"/>
        </w:rPr>
        <w:t>Note: T.R. = Total Revenue</w:t>
      </w:r>
    </w:p>
    <w:p w:rsidR="00221943" w:rsidRPr="00221943" w:rsidRDefault="00221943" w:rsidP="00221943">
      <w:pPr>
        <w:spacing w:after="0"/>
        <w:jc w:val="both"/>
        <w:rPr>
          <w:rFonts w:ascii="Times New Roman" w:hAnsi="Times New Roman" w:cs="Times New Roman"/>
          <w:i/>
          <w:u w:val="single"/>
        </w:rPr>
      </w:pPr>
      <w:r w:rsidRPr="00221943">
        <w:rPr>
          <w:rFonts w:ascii="Times New Roman" w:hAnsi="Times New Roman" w:cs="Times New Roman"/>
        </w:rPr>
        <w:t>The table provides insights into the revenue sources for Q3, highlighting variations in how insurance companies generate their income.</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Nepal's non-life insurance sector displays varied revenue diversification strategies across companies. HEI maintains the highest dependence on core underwriting with 71.97% of revenue from net earned premiums, well above the industry average of 61.63%. In stark contrast, RBCL shows revenue model with only 19.56% from premiums while deriving a remarkable 60.09% from investments and loans, reflecting a distinctive investment-focused approach. Commission income represents a significant secondary revenue stream industry-wide (19.52% average), with SGIC leveraging this channel most effectively at 26.33%. Several insurers demonstrate specialized revenue generation capabilities, with SGIC capturing 10.78% from net </w:t>
      </w:r>
      <w:r w:rsidRPr="00221943">
        <w:rPr>
          <w:rFonts w:ascii="Times New Roman" w:hAnsi="Times New Roman" w:cs="Times New Roman"/>
        </w:rPr>
        <w:lastRenderedPageBreak/>
        <w:t>realized gains—significantly outperforming peers—while SPIL shows above-average investment income (16.91%).</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This revenue composition analysis reveals fundamentally different business models across the sector, with traditional underwriting-focused insurers (HEI, NIL) contrasting with investment-oriented performers (RBCL) and those pursuing more balanced approaches through commission and realized gains (SGIC, SALICO). </w:t>
      </w: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C037E">
      <w:pPr>
        <w:pStyle w:val="Heading2"/>
      </w:pPr>
      <w:bookmarkStart w:id="9" w:name="_Toc204787676"/>
      <w:r w:rsidRPr="00221943">
        <w:t>Net profit</w:t>
      </w:r>
      <w:bookmarkEnd w:id="9"/>
      <w:r w:rsidRPr="00221943">
        <w:t xml:space="preserve"> </w:t>
      </w:r>
    </w:p>
    <w:tbl>
      <w:tblPr>
        <w:tblStyle w:val="PlainTable1"/>
        <w:tblW w:w="9363" w:type="dxa"/>
        <w:tblLook w:val="04A0" w:firstRow="1" w:lastRow="0" w:firstColumn="1" w:lastColumn="0" w:noHBand="0" w:noVBand="1"/>
      </w:tblPr>
      <w:tblGrid>
        <w:gridCol w:w="1700"/>
        <w:gridCol w:w="3668"/>
        <w:gridCol w:w="2930"/>
        <w:gridCol w:w="1065"/>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700" w:type="dxa"/>
            <w:vMerge w:val="restart"/>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rPr>
            </w:pPr>
            <w:r w:rsidRPr="00221943">
              <w:rPr>
                <w:rFonts w:ascii="Times New Roman" w:eastAsia="Times New Roman" w:hAnsi="Times New Roman" w:cs="Times New Roman"/>
                <w:color w:val="000000"/>
              </w:rPr>
              <w:t>Ticker</w:t>
            </w:r>
          </w:p>
        </w:tc>
        <w:tc>
          <w:tcPr>
            <w:tcW w:w="3668"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Q3</w:t>
            </w:r>
          </w:p>
        </w:tc>
        <w:tc>
          <w:tcPr>
            <w:tcW w:w="2930"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Q3</w:t>
            </w:r>
          </w:p>
        </w:tc>
        <w:tc>
          <w:tcPr>
            <w:tcW w:w="1065" w:type="dxa"/>
            <w:vMerge w:val="restart"/>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Growth YOY</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700" w:type="dxa"/>
            <w:vMerge/>
            <w:vAlign w:val="center"/>
            <w:hideMark/>
          </w:tcPr>
          <w:p w:rsidR="00221943" w:rsidRPr="00221943" w:rsidRDefault="00221943" w:rsidP="00221943">
            <w:pPr>
              <w:spacing w:line="360" w:lineRule="auto"/>
              <w:jc w:val="center"/>
              <w:rPr>
                <w:rFonts w:ascii="Times New Roman" w:eastAsia="Times New Roman" w:hAnsi="Times New Roman" w:cs="Times New Roman"/>
                <w:b w:val="0"/>
                <w:color w:val="000000"/>
              </w:rPr>
            </w:pPr>
          </w:p>
        </w:tc>
        <w:tc>
          <w:tcPr>
            <w:tcW w:w="3668" w:type="dxa"/>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NET PROFIT (000) 2024/25Q3</w:t>
            </w:r>
          </w:p>
        </w:tc>
        <w:tc>
          <w:tcPr>
            <w:tcW w:w="2930" w:type="dxa"/>
            <w:vAlign w:val="center"/>
            <w:hideMark/>
          </w:tcPr>
          <w:p w:rsidR="00221943" w:rsidRPr="00221943" w:rsidRDefault="00221943" w:rsidP="0022194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NET PROFIT (000) 2023/24Q3</w:t>
            </w:r>
          </w:p>
        </w:tc>
        <w:tc>
          <w:tcPr>
            <w:tcW w:w="1065" w:type="dxa"/>
            <w:vMerge/>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p>
        </w:tc>
      </w:tr>
      <w:tr w:rsidR="00221943" w:rsidRPr="00221943" w:rsidTr="00221943">
        <w:trPr>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SGIC</w:t>
            </w:r>
          </w:p>
        </w:tc>
        <w:tc>
          <w:tcPr>
            <w:tcW w:w="366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233,557.69</w:t>
            </w:r>
          </w:p>
        </w:tc>
        <w:tc>
          <w:tcPr>
            <w:tcW w:w="29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200,977.70</w:t>
            </w:r>
          </w:p>
        </w:tc>
        <w:tc>
          <w:tcPr>
            <w:tcW w:w="106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16.2%</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PRIN</w:t>
            </w:r>
          </w:p>
        </w:tc>
        <w:tc>
          <w:tcPr>
            <w:tcW w:w="366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200,288.98</w:t>
            </w:r>
          </w:p>
        </w:tc>
        <w:tc>
          <w:tcPr>
            <w:tcW w:w="29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391,465.15</w:t>
            </w:r>
          </w:p>
        </w:tc>
        <w:tc>
          <w:tcPr>
            <w:tcW w:w="106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-48.8%</w:t>
            </w:r>
          </w:p>
        </w:tc>
      </w:tr>
      <w:tr w:rsidR="00221943" w:rsidRPr="00221943" w:rsidTr="00221943">
        <w:trPr>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SICL</w:t>
            </w:r>
          </w:p>
        </w:tc>
        <w:tc>
          <w:tcPr>
            <w:tcW w:w="366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357,054.41</w:t>
            </w:r>
          </w:p>
        </w:tc>
        <w:tc>
          <w:tcPr>
            <w:tcW w:w="29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390,273.78</w:t>
            </w:r>
          </w:p>
        </w:tc>
        <w:tc>
          <w:tcPr>
            <w:tcW w:w="106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-8.5%</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HEI</w:t>
            </w:r>
          </w:p>
        </w:tc>
        <w:tc>
          <w:tcPr>
            <w:tcW w:w="366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332,379.50</w:t>
            </w:r>
          </w:p>
        </w:tc>
        <w:tc>
          <w:tcPr>
            <w:tcW w:w="29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606,548.03</w:t>
            </w:r>
          </w:p>
        </w:tc>
        <w:tc>
          <w:tcPr>
            <w:tcW w:w="106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-45.2%</w:t>
            </w:r>
          </w:p>
        </w:tc>
      </w:tr>
      <w:tr w:rsidR="00221943" w:rsidRPr="00221943" w:rsidTr="00221943">
        <w:trPr>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NLG</w:t>
            </w:r>
          </w:p>
        </w:tc>
        <w:tc>
          <w:tcPr>
            <w:tcW w:w="366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123,342.26</w:t>
            </w:r>
          </w:p>
        </w:tc>
        <w:tc>
          <w:tcPr>
            <w:tcW w:w="29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136,712.71</w:t>
            </w:r>
          </w:p>
        </w:tc>
        <w:tc>
          <w:tcPr>
            <w:tcW w:w="106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-9.8%</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RBCL</w:t>
            </w:r>
          </w:p>
        </w:tc>
        <w:tc>
          <w:tcPr>
            <w:tcW w:w="366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395,663.33</w:t>
            </w:r>
          </w:p>
        </w:tc>
        <w:tc>
          <w:tcPr>
            <w:tcW w:w="29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516,336.75</w:t>
            </w:r>
          </w:p>
        </w:tc>
        <w:tc>
          <w:tcPr>
            <w:tcW w:w="106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-23.4%</w:t>
            </w:r>
          </w:p>
        </w:tc>
      </w:tr>
      <w:tr w:rsidR="00221943" w:rsidRPr="00221943" w:rsidTr="00221943">
        <w:trPr>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IGI</w:t>
            </w:r>
          </w:p>
        </w:tc>
        <w:tc>
          <w:tcPr>
            <w:tcW w:w="366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265,101.77</w:t>
            </w:r>
          </w:p>
        </w:tc>
        <w:tc>
          <w:tcPr>
            <w:tcW w:w="29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467,629.89</w:t>
            </w:r>
          </w:p>
        </w:tc>
        <w:tc>
          <w:tcPr>
            <w:tcW w:w="106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-43.3%</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NIL</w:t>
            </w:r>
          </w:p>
        </w:tc>
        <w:tc>
          <w:tcPr>
            <w:tcW w:w="366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369,328.53</w:t>
            </w:r>
          </w:p>
        </w:tc>
        <w:tc>
          <w:tcPr>
            <w:tcW w:w="29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377,496.25</w:t>
            </w:r>
          </w:p>
        </w:tc>
        <w:tc>
          <w:tcPr>
            <w:tcW w:w="106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-2.2%</w:t>
            </w:r>
          </w:p>
        </w:tc>
      </w:tr>
      <w:tr w:rsidR="00221943" w:rsidRPr="00221943" w:rsidTr="00221943">
        <w:trPr>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SPIL</w:t>
            </w:r>
          </w:p>
        </w:tc>
        <w:tc>
          <w:tcPr>
            <w:tcW w:w="366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453,604.62</w:t>
            </w:r>
          </w:p>
        </w:tc>
        <w:tc>
          <w:tcPr>
            <w:tcW w:w="29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597,103.17</w:t>
            </w:r>
          </w:p>
        </w:tc>
        <w:tc>
          <w:tcPr>
            <w:tcW w:w="106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-24.0%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UAIL</w:t>
            </w:r>
          </w:p>
        </w:tc>
        <w:tc>
          <w:tcPr>
            <w:tcW w:w="366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116,122.38</w:t>
            </w:r>
          </w:p>
        </w:tc>
        <w:tc>
          <w:tcPr>
            <w:tcW w:w="29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274,224.22</w:t>
            </w:r>
          </w:p>
        </w:tc>
        <w:tc>
          <w:tcPr>
            <w:tcW w:w="106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-57.7%</w:t>
            </w:r>
          </w:p>
        </w:tc>
      </w:tr>
      <w:tr w:rsidR="00221943" w:rsidRPr="00221943" w:rsidTr="00221943">
        <w:trPr>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SALICO</w:t>
            </w:r>
          </w:p>
        </w:tc>
        <w:tc>
          <w:tcPr>
            <w:tcW w:w="366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251,949.11</w:t>
            </w:r>
          </w:p>
        </w:tc>
        <w:tc>
          <w:tcPr>
            <w:tcW w:w="29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475,406.67</w:t>
            </w:r>
          </w:p>
        </w:tc>
        <w:tc>
          <w:tcPr>
            <w:tcW w:w="106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-47.0%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b w:val="0"/>
                <w:color w:val="000000"/>
              </w:rPr>
            </w:pPr>
            <w:r w:rsidRPr="00221943">
              <w:rPr>
                <w:rFonts w:ascii="Times New Roman" w:eastAsia="Times New Roman" w:hAnsi="Times New Roman" w:cs="Times New Roman"/>
                <w:b w:val="0"/>
                <w:color w:val="000000"/>
              </w:rPr>
              <w:t>NICL</w:t>
            </w:r>
          </w:p>
        </w:tc>
        <w:tc>
          <w:tcPr>
            <w:tcW w:w="366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178,450.77</w:t>
            </w:r>
          </w:p>
        </w:tc>
        <w:tc>
          <w:tcPr>
            <w:tcW w:w="29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614,427.75</w:t>
            </w:r>
          </w:p>
        </w:tc>
        <w:tc>
          <w:tcPr>
            <w:tcW w:w="106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-71.0%</w:t>
            </w:r>
          </w:p>
        </w:tc>
      </w:tr>
      <w:tr w:rsidR="00221943" w:rsidRPr="00221943" w:rsidTr="00221943">
        <w:trPr>
          <w:trHeight w:val="309"/>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Total</w:t>
            </w:r>
          </w:p>
        </w:tc>
        <w:tc>
          <w:tcPr>
            <w:tcW w:w="3668"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3,276,843.33</w:t>
            </w:r>
          </w:p>
        </w:tc>
        <w:tc>
          <w:tcPr>
            <w:tcW w:w="293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5,048,602.07</w:t>
            </w:r>
          </w:p>
        </w:tc>
        <w:tc>
          <w:tcPr>
            <w:tcW w:w="1065" w:type="dxa"/>
            <w:vMerge w:val="restart"/>
            <w:noWrap/>
            <w:vAlign w:val="center"/>
            <w:hideMark/>
          </w:tcPr>
          <w:p w:rsidR="00221943" w:rsidRPr="00221943" w:rsidRDefault="00221943" w:rsidP="0022194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b/>
                <w:color w:val="000000"/>
              </w:rPr>
              <w:t>-35.1%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0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Industry Average</w:t>
            </w:r>
          </w:p>
        </w:tc>
        <w:tc>
          <w:tcPr>
            <w:tcW w:w="3668"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273,070.28</w:t>
            </w:r>
          </w:p>
        </w:tc>
        <w:tc>
          <w:tcPr>
            <w:tcW w:w="293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420,716.84</w:t>
            </w:r>
          </w:p>
        </w:tc>
        <w:tc>
          <w:tcPr>
            <w:tcW w:w="1065" w:type="dxa"/>
            <w:vMerge/>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p>
        </w:tc>
      </w:tr>
    </w:tbl>
    <w:p w:rsidR="00221943" w:rsidRPr="00221943" w:rsidRDefault="00221943" w:rsidP="00221943">
      <w:pPr>
        <w:spacing w:after="0"/>
        <w:jc w:val="both"/>
        <w:rPr>
          <w:rFonts w:ascii="Times New Roman" w:hAnsi="Times New Roman" w:cs="Times New Roman"/>
          <w:highlight w:val="green"/>
        </w:rPr>
      </w:pP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The table highlights net profit performance across insurance companies for Q3 of fiscal years 2024/25 and 2023/24, along with YOY growth trends. The Q3 net profit analysis reveals significant disparities in performance across the insurance sector. </w:t>
      </w:r>
    </w:p>
    <w:p w:rsidR="00221943" w:rsidRPr="00221943" w:rsidRDefault="00221943" w:rsidP="00221943">
      <w:pPr>
        <w:spacing w:after="0"/>
        <w:jc w:val="both"/>
        <w:rPr>
          <w:rFonts w:ascii="Times New Roman" w:hAnsi="Times New Roman" w:cs="Times New Roman"/>
          <w:highlight w:val="yellow"/>
        </w:rPr>
      </w:pPr>
      <w:r w:rsidRPr="00221943">
        <w:rPr>
          <w:rFonts w:ascii="Times New Roman" w:hAnsi="Times New Roman" w:cs="Times New Roman"/>
        </w:rPr>
        <w:t>The Q3 2024/25 data reveals a concerning profitability trend across Nepal's non-life insurance sector, with industry-wide net profits declining by 35.1% year-over-year. SPIL maintains the highest absolute profit (NPR 453.6 million) despite experiencing a 24.0% decline from the previous year.</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lastRenderedPageBreak/>
        <w:t>NIL demonstrates notable resilience with only a minimal 2.2% profit reduction, significantly outperforming the industry average. This widespread yield compression likely contributes significantly to the sector's overall profitability decline</w:t>
      </w:r>
    </w:p>
    <w:p w:rsidR="00221943" w:rsidRPr="00221943" w:rsidRDefault="00221943" w:rsidP="00221943">
      <w:pPr>
        <w:spacing w:after="0"/>
        <w:jc w:val="both"/>
        <w:rPr>
          <w:rFonts w:ascii="Times New Roman" w:hAnsi="Times New Roman" w:cs="Times New Roman"/>
          <w:highlight w:val="yellow"/>
        </w:rPr>
      </w:pPr>
    </w:p>
    <w:tbl>
      <w:tblPr>
        <w:tblStyle w:val="PlainTable1"/>
        <w:tblpPr w:leftFromText="180" w:rightFromText="180" w:vertAnchor="text" w:horzAnchor="margin" w:tblpXSpec="center" w:tblpY="428"/>
        <w:tblW w:w="8523" w:type="dxa"/>
        <w:tblLook w:val="04A0" w:firstRow="1" w:lastRow="0" w:firstColumn="1" w:lastColumn="0" w:noHBand="0" w:noVBand="1"/>
      </w:tblPr>
      <w:tblGrid>
        <w:gridCol w:w="1928"/>
        <w:gridCol w:w="2144"/>
        <w:gridCol w:w="2144"/>
        <w:gridCol w:w="2307"/>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928" w:type="dxa"/>
            <w:noWrap/>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rPr>
            </w:pPr>
            <w:r w:rsidRPr="00221943">
              <w:rPr>
                <w:rFonts w:ascii="Times New Roman" w:eastAsia="Times New Roman" w:hAnsi="Times New Roman" w:cs="Times New Roman"/>
                <w:color w:val="000000"/>
              </w:rPr>
              <w:t>Ticker</w:t>
            </w:r>
          </w:p>
        </w:tc>
        <w:tc>
          <w:tcPr>
            <w:tcW w:w="2144"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Total investment 2024/25Q3 Growth%</w:t>
            </w:r>
          </w:p>
        </w:tc>
        <w:tc>
          <w:tcPr>
            <w:tcW w:w="2144"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Total investment 2023/24Q4 Growth%</w:t>
            </w:r>
          </w:p>
        </w:tc>
        <w:tc>
          <w:tcPr>
            <w:tcW w:w="2307"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Total investment 2021/22Q4 Growth%</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RBCL</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2.51%</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-12.61%</w:t>
            </w:r>
          </w:p>
        </w:tc>
        <w:tc>
          <w:tcPr>
            <w:tcW w:w="23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225.11%</w:t>
            </w:r>
          </w:p>
        </w:tc>
      </w:tr>
      <w:tr w:rsidR="00221943" w:rsidRPr="00221943" w:rsidTr="00221943">
        <w:trPr>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SPIL</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-4.51%</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-1.14%</w:t>
            </w:r>
          </w:p>
        </w:tc>
        <w:tc>
          <w:tcPr>
            <w:tcW w:w="23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109.61%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NIL</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5.18%</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31.05%</w:t>
            </w:r>
          </w:p>
        </w:tc>
        <w:tc>
          <w:tcPr>
            <w:tcW w:w="23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13.70%</w:t>
            </w:r>
          </w:p>
        </w:tc>
      </w:tr>
      <w:tr w:rsidR="00221943" w:rsidRPr="00221943" w:rsidTr="00221943">
        <w:trPr>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SALICO</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5.70%</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3.02%</w:t>
            </w:r>
          </w:p>
        </w:tc>
        <w:tc>
          <w:tcPr>
            <w:tcW w:w="23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80.06%</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IGI</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-10.31%</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15.28%</w:t>
            </w:r>
          </w:p>
        </w:tc>
        <w:tc>
          <w:tcPr>
            <w:tcW w:w="23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143.05%</w:t>
            </w:r>
          </w:p>
        </w:tc>
      </w:tr>
      <w:tr w:rsidR="00221943" w:rsidRPr="00221943" w:rsidTr="00221943">
        <w:trPr>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SICL</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5.94%</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10.06%</w:t>
            </w:r>
          </w:p>
        </w:tc>
        <w:tc>
          <w:tcPr>
            <w:tcW w:w="23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5.01%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NICL</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5.81%</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24.14%</w:t>
            </w:r>
          </w:p>
        </w:tc>
        <w:tc>
          <w:tcPr>
            <w:tcW w:w="23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2.50%</w:t>
            </w:r>
          </w:p>
        </w:tc>
      </w:tr>
      <w:tr w:rsidR="00221943" w:rsidRPr="00221943" w:rsidTr="00221943">
        <w:trPr>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HEI</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-8.11%</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7.78%</w:t>
            </w:r>
          </w:p>
        </w:tc>
        <w:tc>
          <w:tcPr>
            <w:tcW w:w="23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25.79%</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UAIL</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0.14%</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-1.31%</w:t>
            </w:r>
          </w:p>
        </w:tc>
        <w:tc>
          <w:tcPr>
            <w:tcW w:w="23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97.74%</w:t>
            </w:r>
          </w:p>
        </w:tc>
      </w:tr>
      <w:tr w:rsidR="00221943" w:rsidRPr="00221943" w:rsidTr="00221943">
        <w:trPr>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SGIC</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3.79%</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13.73%</w:t>
            </w:r>
          </w:p>
        </w:tc>
        <w:tc>
          <w:tcPr>
            <w:tcW w:w="23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88.61%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NLG</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13.35%</w:t>
            </w:r>
          </w:p>
        </w:tc>
        <w:tc>
          <w:tcPr>
            <w:tcW w:w="214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22.02%</w:t>
            </w:r>
          </w:p>
        </w:tc>
        <w:tc>
          <w:tcPr>
            <w:tcW w:w="23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3.52%</w:t>
            </w:r>
          </w:p>
        </w:tc>
      </w:tr>
      <w:tr w:rsidR="00221943" w:rsidRPr="00221943" w:rsidTr="00221943">
        <w:trPr>
          <w:trHeight w:val="180"/>
        </w:trPr>
        <w:tc>
          <w:tcPr>
            <w:cnfStyle w:val="001000000000" w:firstRow="0" w:lastRow="0" w:firstColumn="1" w:lastColumn="0" w:oddVBand="0" w:evenVBand="0" w:oddHBand="0" w:evenHBand="0" w:firstRowFirstColumn="0" w:firstRowLastColumn="0" w:lastRowFirstColumn="0" w:lastRowLastColumn="0"/>
            <w:tcW w:w="1928"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PRIN</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6.67%</w:t>
            </w:r>
          </w:p>
        </w:tc>
        <w:tc>
          <w:tcPr>
            <w:tcW w:w="214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35.01%</w:t>
            </w:r>
          </w:p>
        </w:tc>
        <w:tc>
          <w:tcPr>
            <w:tcW w:w="23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37.91%</w:t>
            </w:r>
          </w:p>
        </w:tc>
      </w:tr>
    </w:tbl>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tbl>
      <w:tblPr>
        <w:tblStyle w:val="PlainTable1"/>
        <w:tblW w:w="9607" w:type="dxa"/>
        <w:tblLook w:val="04A0" w:firstRow="1" w:lastRow="0" w:firstColumn="1" w:lastColumn="0" w:noHBand="0" w:noVBand="1"/>
      </w:tblPr>
      <w:tblGrid>
        <w:gridCol w:w="1822"/>
        <w:gridCol w:w="2169"/>
        <w:gridCol w:w="1872"/>
        <w:gridCol w:w="1872"/>
        <w:gridCol w:w="1872"/>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822" w:type="dxa"/>
            <w:noWrap/>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rPr>
            </w:pPr>
            <w:r w:rsidRPr="00221943">
              <w:rPr>
                <w:rFonts w:ascii="Times New Roman" w:eastAsia="Times New Roman" w:hAnsi="Times New Roman" w:cs="Times New Roman"/>
                <w:color w:val="000000"/>
              </w:rPr>
              <w:t>Ticker</w:t>
            </w:r>
          </w:p>
        </w:tc>
        <w:tc>
          <w:tcPr>
            <w:tcW w:w="2169"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Investment Yield (annualized) as of 2024/25Q3</w:t>
            </w:r>
          </w:p>
        </w:tc>
        <w:tc>
          <w:tcPr>
            <w:tcW w:w="1872"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Investment Yield (annualized) as of 2023/24Q4</w:t>
            </w:r>
          </w:p>
        </w:tc>
        <w:tc>
          <w:tcPr>
            <w:tcW w:w="1872"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Investment Yield (annualized) as of 2022/23Q4</w:t>
            </w:r>
          </w:p>
        </w:tc>
        <w:tc>
          <w:tcPr>
            <w:tcW w:w="1872"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Investment Yield (annualized) as of 2021/22Q4</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SICL</w:t>
            </w:r>
          </w:p>
        </w:tc>
        <w:tc>
          <w:tcPr>
            <w:tcW w:w="216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5.83%</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7.24%</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8.97%</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7.02%</w:t>
            </w:r>
          </w:p>
        </w:tc>
      </w:tr>
      <w:tr w:rsidR="00221943" w:rsidRPr="00221943" w:rsidTr="00221943">
        <w:trPr>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NLG</w:t>
            </w:r>
          </w:p>
        </w:tc>
        <w:tc>
          <w:tcPr>
            <w:tcW w:w="216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5.19%</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7.40%</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8.48%</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8.97%</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UAIL</w:t>
            </w:r>
          </w:p>
        </w:tc>
        <w:tc>
          <w:tcPr>
            <w:tcW w:w="216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5.46%</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7.67%</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4.98%</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7.38%</w:t>
            </w:r>
          </w:p>
        </w:tc>
      </w:tr>
      <w:tr w:rsidR="00221943" w:rsidRPr="00221943" w:rsidTr="00221943">
        <w:trPr>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SALICO</w:t>
            </w:r>
          </w:p>
        </w:tc>
        <w:tc>
          <w:tcPr>
            <w:tcW w:w="216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5.70%</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7.37%</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6.28%</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9.73%</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NICL</w:t>
            </w:r>
          </w:p>
        </w:tc>
        <w:tc>
          <w:tcPr>
            <w:tcW w:w="216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6.10%</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17.60%</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8.94%</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6.59%</w:t>
            </w:r>
          </w:p>
        </w:tc>
      </w:tr>
      <w:tr w:rsidR="00221943" w:rsidRPr="00221943" w:rsidTr="00221943">
        <w:trPr>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IGI</w:t>
            </w:r>
          </w:p>
        </w:tc>
        <w:tc>
          <w:tcPr>
            <w:tcW w:w="216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5.50%</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10.14%</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4.46%</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7.01%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SPIL</w:t>
            </w:r>
          </w:p>
        </w:tc>
        <w:tc>
          <w:tcPr>
            <w:tcW w:w="216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5.46%</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7.44%</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5.27%</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5.85%</w:t>
            </w:r>
          </w:p>
        </w:tc>
      </w:tr>
      <w:tr w:rsidR="00221943" w:rsidRPr="00221943" w:rsidTr="00221943">
        <w:trPr>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SGIC</w:t>
            </w:r>
          </w:p>
        </w:tc>
        <w:tc>
          <w:tcPr>
            <w:tcW w:w="216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5.19%</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7.71%</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8.40%</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7.40%</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HEI</w:t>
            </w:r>
          </w:p>
        </w:tc>
        <w:tc>
          <w:tcPr>
            <w:tcW w:w="216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4.87%</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6.89%</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7.28%</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11.01%</w:t>
            </w:r>
          </w:p>
        </w:tc>
      </w:tr>
      <w:tr w:rsidR="00221943" w:rsidRPr="00221943" w:rsidTr="00221943">
        <w:trPr>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RBCL</w:t>
            </w:r>
          </w:p>
        </w:tc>
        <w:tc>
          <w:tcPr>
            <w:tcW w:w="216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3.57%</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4.39%</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4.38%</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7.74%</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NIL</w:t>
            </w:r>
          </w:p>
        </w:tc>
        <w:tc>
          <w:tcPr>
            <w:tcW w:w="216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4.28%</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6.38%</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8.96%</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7.89%</w:t>
            </w:r>
          </w:p>
        </w:tc>
      </w:tr>
      <w:tr w:rsidR="00221943" w:rsidRPr="00221943" w:rsidTr="00221943">
        <w:trPr>
          <w:trHeight w:val="190"/>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PRIN</w:t>
            </w:r>
          </w:p>
        </w:tc>
        <w:tc>
          <w:tcPr>
            <w:tcW w:w="216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4.82%</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5.06%</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5.45%</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8.23%</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Industry Average</w:t>
            </w:r>
          </w:p>
        </w:tc>
        <w:tc>
          <w:tcPr>
            <w:tcW w:w="2169"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5.16%</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7.94%</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6.82%</w:t>
            </w:r>
          </w:p>
        </w:tc>
        <w:tc>
          <w:tcPr>
            <w:tcW w:w="1872"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7.90%</w:t>
            </w:r>
          </w:p>
        </w:tc>
      </w:tr>
      <w:tr w:rsidR="00221943" w:rsidRPr="00221943" w:rsidTr="00221943">
        <w:trPr>
          <w:trHeight w:val="207"/>
        </w:trPr>
        <w:tc>
          <w:tcPr>
            <w:cnfStyle w:val="001000000000" w:firstRow="0" w:lastRow="0" w:firstColumn="1" w:lastColumn="0" w:oddVBand="0" w:evenVBand="0" w:oddHBand="0" w:evenHBand="0" w:firstRowFirstColumn="0" w:firstRowLastColumn="0" w:lastRowFirstColumn="0" w:lastRowLastColumn="0"/>
            <w:tcW w:w="1822"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Industry Median</w:t>
            </w:r>
          </w:p>
        </w:tc>
        <w:tc>
          <w:tcPr>
            <w:tcW w:w="2169"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5.33%</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7.38%</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6.78%</w:t>
            </w:r>
          </w:p>
        </w:tc>
        <w:tc>
          <w:tcPr>
            <w:tcW w:w="1872"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7.57%</w:t>
            </w:r>
          </w:p>
        </w:tc>
      </w:tr>
    </w:tbl>
    <w:p w:rsidR="00221943" w:rsidRP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Nepal's non-life insurance sector has experienced a significant investment yield compression, with the industry average falling to 5.16% in Q3 2024/25 from 7.94% in Q4 2023/24—a substantial 278 basis point decline. NICL shows the most dramatic yield reduction, plummeting from an exceptional 17.60% to 6.10%, though still maintaining the sector's highest current yield.</w:t>
      </w: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spacing w:after="0"/>
        <w:jc w:val="both"/>
        <w:rPr>
          <w:rFonts w:ascii="Times New Roman" w:hAnsi="Times New Roman" w:cs="Times New Roman"/>
          <w:highlight w:val="yellow"/>
        </w:rPr>
      </w:pPr>
    </w:p>
    <w:p w:rsidR="00221943" w:rsidRPr="00221943" w:rsidRDefault="00221943" w:rsidP="00221943">
      <w:pPr>
        <w:rPr>
          <w:rFonts w:ascii="Times New Roman" w:hAnsi="Times New Roman" w:cs="Times New Roman"/>
          <w:b/>
          <w:highlight w:val="yellow"/>
        </w:rPr>
      </w:pPr>
      <w:r w:rsidRPr="00221943">
        <w:rPr>
          <w:rFonts w:ascii="Times New Roman" w:hAnsi="Times New Roman" w:cs="Times New Roman"/>
          <w:noProof/>
        </w:rPr>
        <w:lastRenderedPageBreak/>
        <w:drawing>
          <wp:inline distT="0" distB="0" distL="0" distR="0" wp14:anchorId="6ABE9545" wp14:editId="2C717858">
            <wp:extent cx="5943600" cy="3878016"/>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5943600" cy="3878016"/>
                    </a:xfrm>
                    <a:prstGeom prst="rect">
                      <a:avLst/>
                    </a:prstGeom>
                  </pic:spPr>
                </pic:pic>
              </a:graphicData>
            </a:graphic>
          </wp:inline>
        </w:drawing>
      </w:r>
    </w:p>
    <w:p w:rsidR="00221943" w:rsidRPr="00221943" w:rsidRDefault="00221943" w:rsidP="00221943">
      <w:pPr>
        <w:rPr>
          <w:rFonts w:ascii="Times New Roman" w:hAnsi="Times New Roman" w:cs="Times New Roman"/>
        </w:rPr>
      </w:pPr>
    </w:p>
    <w:p w:rsidR="00221943" w:rsidRPr="00221943" w:rsidRDefault="00221943" w:rsidP="00221943">
      <w:pPr>
        <w:rPr>
          <w:rFonts w:ascii="Times New Roman" w:hAnsi="Times New Roman" w:cs="Times New Roman"/>
          <w:b/>
          <w:highlight w:val="yellow"/>
        </w:rPr>
      </w:pPr>
      <w:r w:rsidRPr="00221943">
        <w:rPr>
          <w:rFonts w:ascii="Times New Roman" w:hAnsi="Times New Roman" w:cs="Times New Roman"/>
        </w:rPr>
        <w:t>NIL and PRIN, represent potentially attractive investment opportunities given their demonstrated ability to efficiently deploy assets while delivering competitive shareholder returns.</w:t>
      </w:r>
      <w:r w:rsidRPr="00221943">
        <w:rPr>
          <w:rFonts w:ascii="Times New Roman" w:hAnsi="Times New Roman" w:cs="Times New Roman"/>
          <w:b/>
          <w:highlight w:val="yellow"/>
        </w:rPr>
        <w:br w:type="page"/>
      </w:r>
    </w:p>
    <w:p w:rsidR="00221943" w:rsidRPr="00221943" w:rsidRDefault="00221943" w:rsidP="00221943">
      <w:pPr>
        <w:rPr>
          <w:rFonts w:ascii="Times New Roman" w:hAnsi="Times New Roman" w:cs="Times New Roman"/>
          <w:b/>
          <w:highlight w:val="yellow"/>
        </w:rPr>
      </w:pPr>
    </w:p>
    <w:tbl>
      <w:tblPr>
        <w:tblStyle w:val="PlainTable1"/>
        <w:tblpPr w:leftFromText="180" w:rightFromText="180" w:vertAnchor="text" w:horzAnchor="margin" w:tblpXSpec="center" w:tblpY="-148"/>
        <w:tblW w:w="11375" w:type="dxa"/>
        <w:tblLook w:val="04A0" w:firstRow="1" w:lastRow="0" w:firstColumn="1" w:lastColumn="0" w:noHBand="0" w:noVBand="1"/>
      </w:tblPr>
      <w:tblGrid>
        <w:gridCol w:w="1805"/>
        <w:gridCol w:w="1595"/>
        <w:gridCol w:w="1595"/>
        <w:gridCol w:w="1595"/>
        <w:gridCol w:w="1595"/>
        <w:gridCol w:w="1595"/>
        <w:gridCol w:w="1595"/>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805" w:type="dxa"/>
            <w:noWrap/>
            <w:vAlign w:val="center"/>
            <w:hideMark/>
          </w:tcPr>
          <w:p w:rsidR="00221943" w:rsidRPr="00221943" w:rsidRDefault="00221943" w:rsidP="00221943">
            <w:pPr>
              <w:spacing w:line="360" w:lineRule="auto"/>
              <w:jc w:val="center"/>
              <w:rPr>
                <w:rFonts w:ascii="Times New Roman" w:eastAsia="Times New Roman" w:hAnsi="Times New Roman" w:cs="Times New Roman"/>
                <w:color w:val="000000"/>
              </w:rPr>
            </w:pPr>
            <w:r w:rsidRPr="00221943">
              <w:rPr>
                <w:rFonts w:ascii="Times New Roman" w:eastAsia="Times New Roman" w:hAnsi="Times New Roman" w:cs="Times New Roman"/>
                <w:color w:val="000000"/>
              </w:rPr>
              <w:t>Ticker</w:t>
            </w:r>
          </w:p>
        </w:tc>
        <w:tc>
          <w:tcPr>
            <w:tcW w:w="1595"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Loss Ratio (NET)</w:t>
            </w:r>
          </w:p>
        </w:tc>
        <w:tc>
          <w:tcPr>
            <w:tcW w:w="1595"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Expense ratio</w:t>
            </w:r>
          </w:p>
        </w:tc>
        <w:tc>
          <w:tcPr>
            <w:tcW w:w="1595"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Combine Ratio</w:t>
            </w:r>
          </w:p>
        </w:tc>
        <w:tc>
          <w:tcPr>
            <w:tcW w:w="1595"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Investment Yield (annualized)</w:t>
            </w:r>
          </w:p>
        </w:tc>
        <w:tc>
          <w:tcPr>
            <w:tcW w:w="1595"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Risk Retention</w:t>
            </w:r>
          </w:p>
        </w:tc>
        <w:tc>
          <w:tcPr>
            <w:tcW w:w="1595" w:type="dxa"/>
            <w:vAlign w:val="center"/>
            <w:hideMark/>
          </w:tcPr>
          <w:p w:rsidR="00221943" w:rsidRPr="00221943" w:rsidRDefault="00221943" w:rsidP="002219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Claim Ratio</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PRIN</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33.96%</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7.00%</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40.96%</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4.82%</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40.83%</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24.96%</w:t>
            </w:r>
          </w:p>
        </w:tc>
      </w:tr>
      <w:tr w:rsidR="00221943" w:rsidRPr="00221943" w:rsidTr="00221943">
        <w:trPr>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HEI</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60.81%</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4.38%</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65.19%</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4.87%</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43.34%</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45.55%</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NIL</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57.76%</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3.94%</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61.70%</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4.28%</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56.81%</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48.94%</w:t>
            </w:r>
          </w:p>
        </w:tc>
      </w:tr>
      <w:tr w:rsidR="00221943" w:rsidRPr="00221943" w:rsidTr="00221943">
        <w:trPr>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SICL</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59.18%</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4.10%</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63.28%</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5.83%</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32.36%</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54.85%</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SPIL</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67.83%</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2.59%</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70.43%</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5.46%</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51.22%</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65.64%</w:t>
            </w:r>
          </w:p>
        </w:tc>
      </w:tr>
      <w:tr w:rsidR="00221943" w:rsidRPr="00221943" w:rsidTr="00221943">
        <w:trPr>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NLG</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67.05%</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8.60%</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75.65%</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5.19%</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35.48%</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91.16%</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NICL</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68.35%</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3.29%</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71.63%</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6.10%</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46.29%</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42.38%</w:t>
            </w:r>
          </w:p>
        </w:tc>
      </w:tr>
      <w:tr w:rsidR="00221943" w:rsidRPr="00221943" w:rsidTr="00221943">
        <w:trPr>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UAIL</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68.78%</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5.29%</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74.07%</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5.46%</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40.19%</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70.39%</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IGI</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65.98%</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5.46%</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71.44%</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5.50%</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36.66%</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73.63%</w:t>
            </w:r>
          </w:p>
        </w:tc>
      </w:tr>
      <w:tr w:rsidR="00221943" w:rsidRPr="00221943" w:rsidTr="00221943">
        <w:trPr>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RBCL</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24.86%</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6.29%</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31.15%</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3.57%</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16.34%</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25.24%</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SGIC</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56.01%</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8.85%</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64.86%</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5.19%</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29.38%</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38.09%</w:t>
            </w:r>
          </w:p>
        </w:tc>
      </w:tr>
      <w:tr w:rsidR="00221943" w:rsidRPr="00221943" w:rsidTr="00221943">
        <w:trPr>
          <w:trHeight w:val="256"/>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SALICO</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88.31%</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3.95%</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92.26%</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5.70%</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43.83%</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86.39%</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Industry Average</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59.91%</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5.31%</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65.22%</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5.16%</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39.40%</w:t>
            </w:r>
          </w:p>
        </w:tc>
        <w:tc>
          <w:tcPr>
            <w:tcW w:w="159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55.60%</w:t>
            </w:r>
          </w:p>
        </w:tc>
      </w:tr>
      <w:tr w:rsidR="00221943" w:rsidRPr="00221943" w:rsidTr="00221943">
        <w:trPr>
          <w:trHeight w:val="278"/>
        </w:trPr>
        <w:tc>
          <w:tcPr>
            <w:cnfStyle w:val="001000000000" w:firstRow="0" w:lastRow="0" w:firstColumn="1" w:lastColumn="0" w:oddVBand="0" w:evenVBand="0" w:oddHBand="0" w:evenHBand="0" w:firstRowFirstColumn="0" w:firstRowLastColumn="0" w:lastRowFirstColumn="0" w:lastRowLastColumn="0"/>
            <w:tcW w:w="1805"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Industry Median</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63.39%</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4.83%</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67.81%</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5.33%</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40.51%</w:t>
            </w:r>
          </w:p>
        </w:tc>
        <w:tc>
          <w:tcPr>
            <w:tcW w:w="159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21943">
              <w:rPr>
                <w:rFonts w:ascii="Times New Roman" w:eastAsia="Times New Roman" w:hAnsi="Times New Roman" w:cs="Times New Roman"/>
                <w:b/>
                <w:color w:val="000000"/>
              </w:rPr>
              <w:t>51.90%</w:t>
            </w:r>
          </w:p>
        </w:tc>
      </w:tr>
    </w:tbl>
    <w:p w:rsidR="00221943" w:rsidRPr="00221943" w:rsidRDefault="00221943" w:rsidP="00221943">
      <w:pPr>
        <w:rPr>
          <w:rFonts w:ascii="Times New Roman" w:hAnsi="Times New Roman" w:cs="Times New Roman"/>
          <w:highlight w:val="yellow"/>
        </w:rPr>
      </w:pPr>
    </w:p>
    <w:p w:rsidR="00221943" w:rsidRPr="00221943" w:rsidRDefault="00221943" w:rsidP="00221943">
      <w:pPr>
        <w:rPr>
          <w:rFonts w:ascii="Times New Roman" w:hAnsi="Times New Roman" w:cs="Times New Roman"/>
          <w:b/>
          <w:sz w:val="28"/>
          <w:szCs w:val="28"/>
        </w:rPr>
      </w:pPr>
    </w:p>
    <w:p w:rsidR="00221943" w:rsidRPr="00221943" w:rsidRDefault="00221943" w:rsidP="002C037E">
      <w:pPr>
        <w:pStyle w:val="Heading2"/>
      </w:pPr>
      <w:bookmarkStart w:id="10" w:name="_Toc204787677"/>
      <w:r w:rsidRPr="00221943">
        <w:t>Key Insurance Ratio Analysis: Non-Life Sector</w:t>
      </w:r>
      <w:bookmarkEnd w:id="10"/>
    </w:p>
    <w:p w:rsidR="00221943" w:rsidRPr="00221943" w:rsidRDefault="00221943" w:rsidP="002C037E">
      <w:pPr>
        <w:pStyle w:val="Heading3"/>
      </w:pPr>
      <w:bookmarkStart w:id="11" w:name="_Toc204787678"/>
      <w:r w:rsidRPr="00221943">
        <w:t>Profitability Metrics</w:t>
      </w:r>
      <w:bookmarkEnd w:id="11"/>
    </w:p>
    <w:p w:rsidR="00221943" w:rsidRPr="00221943" w:rsidRDefault="00221943" w:rsidP="00221943">
      <w:pPr>
        <w:pStyle w:val="whitespace-normal"/>
        <w:numPr>
          <w:ilvl w:val="0"/>
          <w:numId w:val="10"/>
        </w:numPr>
        <w:spacing w:line="360" w:lineRule="auto"/>
        <w:rPr>
          <w:sz w:val="22"/>
          <w:szCs w:val="22"/>
        </w:rPr>
      </w:pPr>
      <w:r w:rsidRPr="00221943">
        <w:rPr>
          <w:sz w:val="22"/>
          <w:szCs w:val="22"/>
        </w:rPr>
        <w:t>PRIN with strong 40.96% combined ratio, suggesting effective risk selection and pricing</w:t>
      </w:r>
    </w:p>
    <w:p w:rsidR="00221943" w:rsidRPr="00221943" w:rsidRDefault="00221943" w:rsidP="00221943">
      <w:pPr>
        <w:pStyle w:val="whitespace-normal"/>
        <w:numPr>
          <w:ilvl w:val="0"/>
          <w:numId w:val="10"/>
        </w:numPr>
        <w:spacing w:line="360" w:lineRule="auto"/>
        <w:rPr>
          <w:sz w:val="22"/>
          <w:szCs w:val="22"/>
        </w:rPr>
      </w:pPr>
      <w:r w:rsidRPr="00221943">
        <w:rPr>
          <w:sz w:val="22"/>
          <w:szCs w:val="22"/>
        </w:rPr>
        <w:t>SALICO shows alarming 92.26% combined ratio, indicating significant underwriting losses</w:t>
      </w:r>
    </w:p>
    <w:p w:rsidR="00221943" w:rsidRPr="00221943" w:rsidRDefault="00221943" w:rsidP="00221943">
      <w:pPr>
        <w:pStyle w:val="whitespace-normal"/>
        <w:numPr>
          <w:ilvl w:val="0"/>
          <w:numId w:val="10"/>
        </w:numPr>
        <w:spacing w:line="360" w:lineRule="auto"/>
        <w:rPr>
          <w:sz w:val="22"/>
          <w:szCs w:val="22"/>
        </w:rPr>
      </w:pPr>
      <w:r w:rsidRPr="00221943">
        <w:rPr>
          <w:sz w:val="22"/>
          <w:szCs w:val="22"/>
        </w:rPr>
        <w:t>Industry average combined ratio of 65.22% reflects generally positive but varied underwriting results</w:t>
      </w:r>
    </w:p>
    <w:p w:rsidR="00221943" w:rsidRPr="00221943" w:rsidRDefault="00221943" w:rsidP="00221943">
      <w:pPr>
        <w:pStyle w:val="whitespace-normal"/>
        <w:numPr>
          <w:ilvl w:val="0"/>
          <w:numId w:val="10"/>
        </w:numPr>
        <w:spacing w:line="360" w:lineRule="auto"/>
        <w:rPr>
          <w:sz w:val="22"/>
          <w:szCs w:val="22"/>
        </w:rPr>
      </w:pPr>
      <w:r w:rsidRPr="00221943">
        <w:rPr>
          <w:sz w:val="22"/>
          <w:szCs w:val="22"/>
        </w:rPr>
        <w:t>Five companies operate below the industry average combined ratio, indicating superior profitability</w:t>
      </w:r>
    </w:p>
    <w:p w:rsidR="00221943" w:rsidRPr="00221943" w:rsidRDefault="00221943" w:rsidP="00221943">
      <w:pPr>
        <w:pStyle w:val="whitespace-normal"/>
        <w:spacing w:line="360" w:lineRule="auto"/>
        <w:rPr>
          <w:sz w:val="22"/>
          <w:szCs w:val="22"/>
        </w:rPr>
      </w:pPr>
    </w:p>
    <w:p w:rsidR="00221943" w:rsidRPr="00221943" w:rsidRDefault="00221943" w:rsidP="00221943">
      <w:pPr>
        <w:pStyle w:val="whitespace-normal"/>
        <w:spacing w:line="360" w:lineRule="auto"/>
        <w:rPr>
          <w:sz w:val="22"/>
          <w:szCs w:val="22"/>
        </w:rPr>
      </w:pPr>
    </w:p>
    <w:p w:rsidR="00221943" w:rsidRPr="00221943" w:rsidRDefault="00221943" w:rsidP="002C037E">
      <w:pPr>
        <w:pStyle w:val="Heading3"/>
      </w:pPr>
      <w:bookmarkStart w:id="12" w:name="_Toc204787679"/>
      <w:r w:rsidRPr="00221943">
        <w:lastRenderedPageBreak/>
        <w:t>Investment Performance</w:t>
      </w:r>
      <w:bookmarkEnd w:id="12"/>
    </w:p>
    <w:p w:rsidR="00221943" w:rsidRPr="00221943" w:rsidRDefault="00221943" w:rsidP="00221943">
      <w:pPr>
        <w:pStyle w:val="whitespace-normal"/>
        <w:numPr>
          <w:ilvl w:val="0"/>
          <w:numId w:val="11"/>
        </w:numPr>
        <w:spacing w:line="360" w:lineRule="auto"/>
        <w:rPr>
          <w:sz w:val="22"/>
          <w:szCs w:val="22"/>
        </w:rPr>
      </w:pPr>
      <w:r w:rsidRPr="00221943">
        <w:rPr>
          <w:sz w:val="22"/>
          <w:szCs w:val="22"/>
        </w:rPr>
        <w:t>Overall modest investment yields across sector (industry average: 5.16%)</w:t>
      </w:r>
    </w:p>
    <w:p w:rsidR="00221943" w:rsidRPr="00221943" w:rsidRDefault="00221943" w:rsidP="00221943">
      <w:pPr>
        <w:pStyle w:val="whitespace-normal"/>
        <w:numPr>
          <w:ilvl w:val="0"/>
          <w:numId w:val="11"/>
        </w:numPr>
        <w:spacing w:line="360" w:lineRule="auto"/>
        <w:rPr>
          <w:sz w:val="22"/>
          <w:szCs w:val="22"/>
        </w:rPr>
      </w:pPr>
      <w:r w:rsidRPr="00221943">
        <w:rPr>
          <w:sz w:val="22"/>
          <w:szCs w:val="22"/>
        </w:rPr>
        <w:t>NICL leads with 6.10% yield, maximizing investment income contribution</w:t>
      </w:r>
    </w:p>
    <w:p w:rsidR="00221943" w:rsidRPr="00221943" w:rsidRDefault="00221943" w:rsidP="00221943">
      <w:pPr>
        <w:pStyle w:val="whitespace-normal"/>
        <w:numPr>
          <w:ilvl w:val="0"/>
          <w:numId w:val="11"/>
        </w:numPr>
        <w:spacing w:line="360" w:lineRule="auto"/>
        <w:rPr>
          <w:sz w:val="22"/>
          <w:szCs w:val="22"/>
        </w:rPr>
      </w:pPr>
      <w:r w:rsidRPr="00221943">
        <w:rPr>
          <w:sz w:val="22"/>
          <w:szCs w:val="22"/>
        </w:rPr>
        <w:t>RBCL significantly underperforms at 3.57% despite heavy reliance on investment income</w:t>
      </w:r>
    </w:p>
    <w:p w:rsidR="00221943" w:rsidRPr="00221943" w:rsidRDefault="00221943" w:rsidP="00221943">
      <w:pPr>
        <w:pStyle w:val="whitespace-normal"/>
        <w:numPr>
          <w:ilvl w:val="0"/>
          <w:numId w:val="11"/>
        </w:numPr>
        <w:spacing w:line="360" w:lineRule="auto"/>
        <w:rPr>
          <w:sz w:val="22"/>
          <w:szCs w:val="22"/>
        </w:rPr>
      </w:pPr>
      <w:r w:rsidRPr="00221943">
        <w:rPr>
          <w:sz w:val="22"/>
          <w:szCs w:val="22"/>
        </w:rPr>
        <w:t>Limited yield variation among mid-tier performers (5.19%-5.83%)</w:t>
      </w:r>
    </w:p>
    <w:p w:rsidR="00221943" w:rsidRPr="00221943" w:rsidRDefault="00221943" w:rsidP="00221943">
      <w:pPr>
        <w:pStyle w:val="whitespace-normal"/>
        <w:numPr>
          <w:ilvl w:val="0"/>
          <w:numId w:val="11"/>
        </w:numPr>
        <w:spacing w:line="360" w:lineRule="auto"/>
        <w:rPr>
          <w:sz w:val="22"/>
          <w:szCs w:val="22"/>
        </w:rPr>
      </w:pPr>
      <w:r w:rsidRPr="00221943">
        <w:rPr>
          <w:sz w:val="22"/>
          <w:szCs w:val="22"/>
        </w:rPr>
        <w:t>All companies experiencing yield compression compared to previous periods</w:t>
      </w:r>
    </w:p>
    <w:p w:rsidR="00221943" w:rsidRPr="00221943" w:rsidRDefault="00221943" w:rsidP="002C037E">
      <w:pPr>
        <w:pStyle w:val="Heading3"/>
      </w:pPr>
      <w:bookmarkStart w:id="13" w:name="_Toc204787680"/>
      <w:r w:rsidRPr="00221943">
        <w:t>Risk Retention and Claims Management</w:t>
      </w:r>
      <w:bookmarkEnd w:id="13"/>
    </w:p>
    <w:p w:rsidR="00221943" w:rsidRPr="00221943" w:rsidRDefault="00221943" w:rsidP="00221943">
      <w:pPr>
        <w:pStyle w:val="whitespace-normal"/>
        <w:numPr>
          <w:ilvl w:val="0"/>
          <w:numId w:val="12"/>
        </w:numPr>
        <w:spacing w:line="360" w:lineRule="auto"/>
        <w:rPr>
          <w:sz w:val="22"/>
          <w:szCs w:val="22"/>
        </w:rPr>
      </w:pPr>
      <w:r w:rsidRPr="00221943">
        <w:rPr>
          <w:sz w:val="22"/>
          <w:szCs w:val="22"/>
        </w:rPr>
        <w:t>Risk retention strategies vary widely from conservative RBCL (16.34%) to aggressive NIL (56.81%)</w:t>
      </w:r>
    </w:p>
    <w:p w:rsidR="00221943" w:rsidRPr="00221943" w:rsidRDefault="00221943" w:rsidP="00221943">
      <w:pPr>
        <w:pStyle w:val="whitespace-normal"/>
        <w:numPr>
          <w:ilvl w:val="0"/>
          <w:numId w:val="12"/>
        </w:numPr>
        <w:spacing w:line="360" w:lineRule="auto"/>
        <w:rPr>
          <w:sz w:val="22"/>
          <w:szCs w:val="22"/>
        </w:rPr>
      </w:pPr>
      <w:r w:rsidRPr="00221943">
        <w:rPr>
          <w:sz w:val="22"/>
          <w:szCs w:val="22"/>
        </w:rPr>
        <w:t>Industry average retention ratio of 39.40% indicates moderate risk appetite</w:t>
      </w:r>
    </w:p>
    <w:p w:rsidR="00221943" w:rsidRPr="00221943" w:rsidRDefault="00221943" w:rsidP="00221943">
      <w:pPr>
        <w:pStyle w:val="whitespace-normal"/>
        <w:numPr>
          <w:ilvl w:val="0"/>
          <w:numId w:val="12"/>
        </w:numPr>
        <w:spacing w:line="360" w:lineRule="auto"/>
        <w:rPr>
          <w:sz w:val="22"/>
          <w:szCs w:val="22"/>
        </w:rPr>
      </w:pPr>
      <w:r w:rsidRPr="00221943">
        <w:rPr>
          <w:sz w:val="22"/>
          <w:szCs w:val="22"/>
        </w:rPr>
        <w:t>Claim ratios show concerning trends for NLG (91.16%) and SALICO (86.39%)</w:t>
      </w:r>
    </w:p>
    <w:p w:rsidR="00221943" w:rsidRPr="00221943" w:rsidRDefault="00221943" w:rsidP="00221943">
      <w:pPr>
        <w:pStyle w:val="whitespace-normal"/>
        <w:numPr>
          <w:ilvl w:val="0"/>
          <w:numId w:val="12"/>
        </w:numPr>
        <w:spacing w:line="360" w:lineRule="auto"/>
        <w:rPr>
          <w:sz w:val="22"/>
          <w:szCs w:val="22"/>
        </w:rPr>
      </w:pPr>
      <w:r w:rsidRPr="00221943">
        <w:rPr>
          <w:sz w:val="22"/>
          <w:szCs w:val="22"/>
        </w:rPr>
        <w:t>RBCL (25.24%) and PRIN (24.96%) demonstrate superior claims management</w:t>
      </w:r>
    </w:p>
    <w:p w:rsidR="00221943" w:rsidRPr="00221943" w:rsidRDefault="00221943" w:rsidP="00221943">
      <w:pPr>
        <w:pStyle w:val="whitespace-normal"/>
        <w:numPr>
          <w:ilvl w:val="0"/>
          <w:numId w:val="12"/>
        </w:numPr>
        <w:spacing w:line="360" w:lineRule="auto"/>
        <w:rPr>
          <w:sz w:val="22"/>
          <w:szCs w:val="22"/>
        </w:rPr>
      </w:pPr>
      <w:r w:rsidRPr="00221943">
        <w:rPr>
          <w:sz w:val="22"/>
          <w:szCs w:val="22"/>
        </w:rPr>
        <w:t>NIL maintains balanced approach with high retention (56.81%) and moderate claims (48.94%)</w:t>
      </w:r>
    </w:p>
    <w:p w:rsidR="00221943" w:rsidRPr="00221943" w:rsidRDefault="00221943" w:rsidP="00221943">
      <w:pPr>
        <w:pStyle w:val="whitespace-normal"/>
        <w:numPr>
          <w:ilvl w:val="0"/>
          <w:numId w:val="12"/>
        </w:numPr>
        <w:spacing w:line="360" w:lineRule="auto"/>
        <w:rPr>
          <w:sz w:val="22"/>
          <w:szCs w:val="22"/>
        </w:rPr>
      </w:pPr>
      <w:r w:rsidRPr="00221943">
        <w:rPr>
          <w:sz w:val="22"/>
          <w:szCs w:val="22"/>
        </w:rPr>
        <w:t>Seven companies exceed industry average claim ratio of 55.60%</w:t>
      </w:r>
    </w:p>
    <w:p w:rsidR="00221943" w:rsidRPr="00221943" w:rsidRDefault="00221943" w:rsidP="002C037E">
      <w:pPr>
        <w:pStyle w:val="Heading3"/>
      </w:pPr>
      <w:bookmarkStart w:id="14" w:name="_Toc204787681"/>
      <w:r w:rsidRPr="00221943">
        <w:t>Industry Overview</w:t>
      </w:r>
      <w:bookmarkEnd w:id="14"/>
    </w:p>
    <w:p w:rsidR="00221943" w:rsidRPr="00221943" w:rsidRDefault="00221943" w:rsidP="00221943">
      <w:pPr>
        <w:pStyle w:val="whitespace-normal"/>
        <w:numPr>
          <w:ilvl w:val="0"/>
          <w:numId w:val="14"/>
        </w:numPr>
        <w:spacing w:line="360" w:lineRule="auto"/>
        <w:rPr>
          <w:sz w:val="22"/>
          <w:szCs w:val="22"/>
        </w:rPr>
      </w:pPr>
      <w:r w:rsidRPr="00221943">
        <w:rPr>
          <w:sz w:val="22"/>
          <w:szCs w:val="22"/>
        </w:rPr>
        <w:t>Sector shows clear strategic clustering across different operational approaches</w:t>
      </w:r>
    </w:p>
    <w:p w:rsidR="00221943" w:rsidRPr="00221943" w:rsidRDefault="00221943" w:rsidP="00221943">
      <w:pPr>
        <w:pStyle w:val="whitespace-normal"/>
        <w:numPr>
          <w:ilvl w:val="0"/>
          <w:numId w:val="14"/>
        </w:numPr>
        <w:spacing w:line="360" w:lineRule="auto"/>
        <w:rPr>
          <w:sz w:val="22"/>
          <w:szCs w:val="22"/>
        </w:rPr>
      </w:pPr>
      <w:r w:rsidRPr="00221943">
        <w:rPr>
          <w:sz w:val="22"/>
          <w:szCs w:val="22"/>
        </w:rPr>
        <w:t>Companies with balanced metrics (NIL, SICL, HEI) positioned for consistent results</w:t>
      </w:r>
    </w:p>
    <w:p w:rsidR="00221943" w:rsidRPr="00221943" w:rsidRDefault="00221943" w:rsidP="00221943">
      <w:pPr>
        <w:pStyle w:val="whitespace-normal"/>
        <w:numPr>
          <w:ilvl w:val="0"/>
          <w:numId w:val="14"/>
        </w:numPr>
        <w:spacing w:line="360" w:lineRule="auto"/>
        <w:rPr>
          <w:sz w:val="22"/>
          <w:szCs w:val="22"/>
        </w:rPr>
      </w:pPr>
      <w:r w:rsidRPr="00221943">
        <w:rPr>
          <w:sz w:val="22"/>
          <w:szCs w:val="22"/>
        </w:rPr>
        <w:t>Industry median combined ratio (67.81%) slightly higher than mean (65.22%), indicating negative skew</w:t>
      </w:r>
    </w:p>
    <w:p w:rsidR="00221943" w:rsidRPr="00221943" w:rsidRDefault="00221943" w:rsidP="00221943">
      <w:pPr>
        <w:pStyle w:val="whitespace-normal"/>
        <w:numPr>
          <w:ilvl w:val="0"/>
          <w:numId w:val="14"/>
        </w:numPr>
        <w:spacing w:line="360" w:lineRule="auto"/>
        <w:rPr>
          <w:sz w:val="22"/>
          <w:szCs w:val="22"/>
        </w:rPr>
      </w:pPr>
      <w:r w:rsidRPr="00221943">
        <w:rPr>
          <w:sz w:val="22"/>
          <w:szCs w:val="22"/>
        </w:rPr>
        <w:t>Four companies (SALICO, NLG, UAIL, NICL) face combined ratios above 70%, requiring strategic intervention</w:t>
      </w:r>
    </w:p>
    <w:p w:rsidR="00221943" w:rsidRPr="00221943" w:rsidRDefault="00221943" w:rsidP="00221943">
      <w:pPr>
        <w:pStyle w:val="whitespace-normal"/>
        <w:spacing w:line="360" w:lineRule="auto"/>
        <w:ind w:left="360"/>
        <w:rPr>
          <w:sz w:val="22"/>
          <w:szCs w:val="22"/>
        </w:rPr>
      </w:pPr>
    </w:p>
    <w:p w:rsidR="00221943" w:rsidRPr="00221943" w:rsidRDefault="00221943" w:rsidP="00221943">
      <w:pPr>
        <w:pStyle w:val="whitespace-normal"/>
        <w:spacing w:line="360" w:lineRule="auto"/>
        <w:ind w:left="360"/>
        <w:rPr>
          <w:sz w:val="22"/>
          <w:szCs w:val="22"/>
        </w:rPr>
      </w:pPr>
    </w:p>
    <w:p w:rsidR="00221943" w:rsidRPr="00221943" w:rsidRDefault="00221943" w:rsidP="00221943">
      <w:pPr>
        <w:pStyle w:val="whitespace-normal"/>
        <w:spacing w:line="360" w:lineRule="auto"/>
        <w:ind w:left="360"/>
        <w:rPr>
          <w:sz w:val="22"/>
          <w:szCs w:val="22"/>
        </w:rPr>
      </w:pPr>
    </w:p>
    <w:p w:rsidR="00221943" w:rsidRPr="00221943" w:rsidRDefault="00221943" w:rsidP="00221943">
      <w:pPr>
        <w:pStyle w:val="whitespace-normal"/>
        <w:spacing w:line="360" w:lineRule="auto"/>
        <w:ind w:left="360"/>
        <w:rPr>
          <w:sz w:val="22"/>
          <w:szCs w:val="22"/>
        </w:rPr>
      </w:pPr>
    </w:p>
    <w:p w:rsidR="00221943" w:rsidRDefault="00221943" w:rsidP="00221943">
      <w:pPr>
        <w:pStyle w:val="whitespace-normal"/>
        <w:spacing w:line="360" w:lineRule="auto"/>
        <w:ind w:left="360"/>
        <w:rPr>
          <w:sz w:val="22"/>
          <w:szCs w:val="22"/>
        </w:rPr>
      </w:pPr>
    </w:p>
    <w:p w:rsidR="002C037E" w:rsidRPr="00221943" w:rsidRDefault="002C037E" w:rsidP="00221943">
      <w:pPr>
        <w:pStyle w:val="whitespace-normal"/>
        <w:spacing w:line="360" w:lineRule="auto"/>
        <w:ind w:left="360"/>
        <w:rPr>
          <w:sz w:val="22"/>
          <w:szCs w:val="22"/>
        </w:rPr>
      </w:pPr>
    </w:p>
    <w:p w:rsidR="00221943" w:rsidRPr="00221943" w:rsidRDefault="00221943" w:rsidP="002C037E">
      <w:pPr>
        <w:pStyle w:val="Heading2"/>
        <w:rPr>
          <w:sz w:val="22"/>
          <w:szCs w:val="22"/>
        </w:rPr>
      </w:pPr>
      <w:bookmarkStart w:id="15" w:name="_Toc204787682"/>
      <w:r w:rsidRPr="00221943">
        <w:lastRenderedPageBreak/>
        <w:t>Solvency Ratio:</w:t>
      </w:r>
      <w:bookmarkEnd w:id="15"/>
    </w:p>
    <w:p w:rsidR="00221943" w:rsidRPr="00221943" w:rsidRDefault="00221943" w:rsidP="00221943">
      <w:pPr>
        <w:pStyle w:val="whitespace-normal"/>
        <w:spacing w:line="360" w:lineRule="auto"/>
        <w:ind w:left="360"/>
        <w:rPr>
          <w:b/>
          <w:sz w:val="28"/>
          <w:szCs w:val="28"/>
        </w:rPr>
      </w:pPr>
    </w:p>
    <w:tbl>
      <w:tblPr>
        <w:tblStyle w:val="PlainTable1"/>
        <w:tblpPr w:leftFromText="180" w:rightFromText="180" w:vertAnchor="page" w:horzAnchor="margin" w:tblpXSpec="center" w:tblpY="2296"/>
        <w:tblW w:w="10102" w:type="dxa"/>
        <w:tblLook w:val="04A0" w:firstRow="1" w:lastRow="0" w:firstColumn="1" w:lastColumn="0" w:noHBand="0" w:noVBand="1"/>
      </w:tblPr>
      <w:tblGrid>
        <w:gridCol w:w="1149"/>
        <w:gridCol w:w="1762"/>
        <w:gridCol w:w="7191"/>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49" w:type="dxa"/>
            <w:noWrap/>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Ticker</w:t>
            </w:r>
          </w:p>
        </w:tc>
        <w:tc>
          <w:tcPr>
            <w:tcW w:w="1762" w:type="dxa"/>
          </w:tcPr>
          <w:p w:rsidR="00221943" w:rsidRPr="00221943" w:rsidRDefault="00221943" w:rsidP="00221943">
            <w:pPr>
              <w:spacing w:before="60" w:after="6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Solvency Margin Ratio </w:t>
            </w:r>
          </w:p>
        </w:tc>
        <w:tc>
          <w:tcPr>
            <w:tcW w:w="7191" w:type="dxa"/>
          </w:tcPr>
          <w:p w:rsidR="00221943" w:rsidRPr="00221943" w:rsidRDefault="00221943" w:rsidP="00221943">
            <w:pPr>
              <w:spacing w:before="60" w:after="6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Description</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SICL </w:t>
            </w:r>
          </w:p>
        </w:tc>
        <w:tc>
          <w:tcPr>
            <w:tcW w:w="1762"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3.67</w:t>
            </w:r>
          </w:p>
        </w:tc>
        <w:tc>
          <w:tcPr>
            <w:tcW w:w="7191"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As per the LAFS, the solvency ratio of the company is 3.67 times as per new Risk Based Capital and Solvency Directives 2022, which is above the regulatory required limit</w:t>
            </w:r>
          </w:p>
        </w:tc>
      </w:tr>
      <w:tr w:rsidR="00221943" w:rsidRPr="00221943" w:rsidTr="00221943">
        <w:trPr>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HEI </w:t>
            </w:r>
          </w:p>
        </w:tc>
        <w:tc>
          <w:tcPr>
            <w:tcW w:w="1762"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3.324</w:t>
            </w:r>
          </w:p>
        </w:tc>
        <w:tc>
          <w:tcPr>
            <w:tcW w:w="7191"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is 3.324 as per the Audited Financial Statement of FY 2080-81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SPIL </w:t>
            </w:r>
          </w:p>
        </w:tc>
        <w:tc>
          <w:tcPr>
            <w:tcW w:w="1762"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3.188</w:t>
            </w:r>
          </w:p>
        </w:tc>
        <w:tc>
          <w:tcPr>
            <w:tcW w:w="7191"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is 3.188 as per the Audited Financial Statement of FY 2080-81</w:t>
            </w:r>
          </w:p>
        </w:tc>
      </w:tr>
      <w:tr w:rsidR="00221943" w:rsidRPr="00221943" w:rsidTr="00221943">
        <w:trPr>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SGIC </w:t>
            </w:r>
          </w:p>
        </w:tc>
        <w:tc>
          <w:tcPr>
            <w:tcW w:w="1762"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2.62</w:t>
            </w:r>
          </w:p>
        </w:tc>
        <w:tc>
          <w:tcPr>
            <w:tcW w:w="7191"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for FY 2080-81 is 2.62</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RBCL </w:t>
            </w:r>
          </w:p>
        </w:tc>
        <w:tc>
          <w:tcPr>
            <w:tcW w:w="1762"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w:t>
            </w:r>
          </w:p>
        </w:tc>
        <w:tc>
          <w:tcPr>
            <w:tcW w:w="7191"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w:t>
            </w:r>
          </w:p>
        </w:tc>
      </w:tr>
      <w:tr w:rsidR="00221943" w:rsidRPr="00221943" w:rsidTr="00221943">
        <w:trPr>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PRIN </w:t>
            </w:r>
          </w:p>
        </w:tc>
        <w:tc>
          <w:tcPr>
            <w:tcW w:w="1762"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3.92</w:t>
            </w:r>
          </w:p>
        </w:tc>
        <w:tc>
          <w:tcPr>
            <w:tcW w:w="7191"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is 3.92 as per the Actuary Valuation Report as on 15-07-2024 (FY 2080-81)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NIL </w:t>
            </w:r>
          </w:p>
        </w:tc>
        <w:tc>
          <w:tcPr>
            <w:tcW w:w="1762"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3.84</w:t>
            </w:r>
          </w:p>
        </w:tc>
        <w:tc>
          <w:tcPr>
            <w:tcW w:w="7191"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is 3.84 as per the Actuary Valuation Report of FY 2080-81</w:t>
            </w:r>
          </w:p>
        </w:tc>
      </w:tr>
      <w:tr w:rsidR="00221943" w:rsidRPr="00221943" w:rsidTr="00221943">
        <w:trPr>
          <w:trHeight w:val="94"/>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IGI </w:t>
            </w:r>
          </w:p>
        </w:tc>
        <w:tc>
          <w:tcPr>
            <w:tcW w:w="1762"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3.427</w:t>
            </w:r>
          </w:p>
        </w:tc>
        <w:tc>
          <w:tcPr>
            <w:tcW w:w="7191"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is 3.427 for FY 2080-81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NICL </w:t>
            </w:r>
          </w:p>
        </w:tc>
        <w:tc>
          <w:tcPr>
            <w:tcW w:w="1762"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4.34</w:t>
            </w:r>
          </w:p>
        </w:tc>
        <w:tc>
          <w:tcPr>
            <w:tcW w:w="7191"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The solvency ratio of the company is 4.34 based on RBC-S Valuation (FY 2080-81) </w:t>
            </w:r>
          </w:p>
        </w:tc>
      </w:tr>
      <w:tr w:rsidR="00221943" w:rsidRPr="00221943" w:rsidTr="00221943">
        <w:trPr>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UAIL </w:t>
            </w:r>
          </w:p>
        </w:tc>
        <w:tc>
          <w:tcPr>
            <w:tcW w:w="1762"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2.73</w:t>
            </w:r>
          </w:p>
        </w:tc>
        <w:tc>
          <w:tcPr>
            <w:tcW w:w="7191"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is 2.73 as per the Actuary Valuation Report for FY 2080-81</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SALICO </w:t>
            </w:r>
          </w:p>
        </w:tc>
        <w:tc>
          <w:tcPr>
            <w:tcW w:w="1762"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2.75</w:t>
            </w:r>
          </w:p>
        </w:tc>
        <w:tc>
          <w:tcPr>
            <w:tcW w:w="7191" w:type="dxa"/>
          </w:tcPr>
          <w:p w:rsidR="00221943" w:rsidRPr="00221943" w:rsidRDefault="00221943" w:rsidP="00221943">
            <w:pPr>
              <w:spacing w:before="60" w:after="6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is 2.75 as per the Latest Actuary Valuation Report for FY 2080-81</w:t>
            </w:r>
          </w:p>
        </w:tc>
      </w:tr>
      <w:tr w:rsidR="00221943" w:rsidRPr="00221943" w:rsidTr="00221943">
        <w:trPr>
          <w:trHeight w:val="247"/>
        </w:trPr>
        <w:tc>
          <w:tcPr>
            <w:cnfStyle w:val="001000000000" w:firstRow="0" w:lastRow="0" w:firstColumn="1" w:lastColumn="0" w:oddVBand="0" w:evenVBand="0" w:oddHBand="0" w:evenHBand="0" w:firstRowFirstColumn="0" w:firstRowLastColumn="0" w:lastRowFirstColumn="0" w:lastRowLastColumn="0"/>
            <w:tcW w:w="1149" w:type="dxa"/>
            <w:noWrap/>
            <w:hideMark/>
          </w:tcPr>
          <w:p w:rsidR="00221943" w:rsidRPr="00221943" w:rsidRDefault="00221943" w:rsidP="00221943">
            <w:pPr>
              <w:spacing w:before="60" w:after="60"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NLG </w:t>
            </w:r>
          </w:p>
        </w:tc>
        <w:tc>
          <w:tcPr>
            <w:tcW w:w="1762"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3.42</w:t>
            </w:r>
          </w:p>
        </w:tc>
        <w:tc>
          <w:tcPr>
            <w:tcW w:w="7191" w:type="dxa"/>
          </w:tcPr>
          <w:p w:rsidR="00221943" w:rsidRPr="00221943" w:rsidRDefault="00221943" w:rsidP="00221943">
            <w:pPr>
              <w:spacing w:before="60" w:after="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The solvency ratio of the company is 3.42 as of FY 2080-81</w:t>
            </w:r>
          </w:p>
        </w:tc>
      </w:tr>
    </w:tbl>
    <w:p w:rsidR="00221943" w:rsidRPr="00221943" w:rsidRDefault="00221943" w:rsidP="00221943">
      <w:pPr>
        <w:pStyle w:val="whitespace-normal"/>
        <w:spacing w:line="360" w:lineRule="auto"/>
        <w:rPr>
          <w:sz w:val="22"/>
          <w:szCs w:val="22"/>
        </w:rPr>
      </w:pPr>
    </w:p>
    <w:p w:rsidR="00221943" w:rsidRPr="00221943" w:rsidRDefault="00221943" w:rsidP="00221943">
      <w:pPr>
        <w:pStyle w:val="whitespace-normal"/>
        <w:spacing w:line="360" w:lineRule="auto"/>
        <w:rPr>
          <w:sz w:val="22"/>
          <w:szCs w:val="22"/>
        </w:rPr>
      </w:pPr>
    </w:p>
    <w:p w:rsidR="00221943" w:rsidRPr="00221943" w:rsidRDefault="00221943" w:rsidP="00221943">
      <w:pPr>
        <w:pStyle w:val="Heading1"/>
        <w:spacing w:line="360" w:lineRule="auto"/>
        <w:rPr>
          <w:rFonts w:cs="Times New Roman"/>
          <w:sz w:val="22"/>
          <w:szCs w:val="22"/>
        </w:rPr>
      </w:pPr>
    </w:p>
    <w:p w:rsidR="00221943" w:rsidRPr="00221943" w:rsidRDefault="00221943" w:rsidP="00221943">
      <w:pPr>
        <w:rPr>
          <w:rFonts w:ascii="Times New Roman" w:hAnsi="Times New Roman" w:cs="Times New Roman"/>
        </w:rPr>
      </w:pPr>
    </w:p>
    <w:p w:rsidR="00221943" w:rsidRPr="00221943" w:rsidRDefault="00221943" w:rsidP="00221943">
      <w:pPr>
        <w:rPr>
          <w:rFonts w:ascii="Times New Roman" w:hAnsi="Times New Roman" w:cs="Times New Roman"/>
        </w:rPr>
      </w:pPr>
    </w:p>
    <w:p w:rsidR="00221943" w:rsidRPr="00221943" w:rsidRDefault="00221943" w:rsidP="002C037E">
      <w:pPr>
        <w:pStyle w:val="Heading2"/>
      </w:pPr>
      <w:bookmarkStart w:id="16" w:name="_Toc204787683"/>
      <w:r w:rsidRPr="00221943">
        <w:t>Relative Valuation using PE and PB median multiples</w:t>
      </w:r>
      <w:bookmarkEnd w:id="16"/>
      <w:r w:rsidRPr="00221943">
        <w:t xml:space="preserve"> </w:t>
      </w:r>
    </w:p>
    <w:p w:rsidR="00221943" w:rsidRPr="00221943" w:rsidRDefault="00221943" w:rsidP="00221943">
      <w:pPr>
        <w:rPr>
          <w:rFonts w:ascii="Times New Roman" w:hAnsi="Times New Roman" w:cs="Times New Roman"/>
          <w:b/>
          <w:sz w:val="28"/>
          <w:szCs w:val="28"/>
        </w:rPr>
      </w:pPr>
    </w:p>
    <w:tbl>
      <w:tblPr>
        <w:tblStyle w:val="PlainTable1"/>
        <w:tblW w:w="11217" w:type="dxa"/>
        <w:jc w:val="center"/>
        <w:tblLook w:val="04A0" w:firstRow="1" w:lastRow="0" w:firstColumn="1" w:lastColumn="0" w:noHBand="0" w:noVBand="1"/>
      </w:tblPr>
      <w:tblGrid>
        <w:gridCol w:w="1080"/>
        <w:gridCol w:w="1170"/>
        <w:gridCol w:w="900"/>
        <w:gridCol w:w="996"/>
        <w:gridCol w:w="1084"/>
        <w:gridCol w:w="783"/>
        <w:gridCol w:w="1121"/>
        <w:gridCol w:w="1121"/>
        <w:gridCol w:w="1407"/>
        <w:gridCol w:w="1555"/>
      </w:tblGrid>
      <w:tr w:rsidR="00221943" w:rsidRPr="00221943" w:rsidTr="00221943">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Ticker</w:t>
            </w:r>
          </w:p>
        </w:tc>
        <w:tc>
          <w:tcPr>
            <w:tcW w:w="1170" w:type="dxa"/>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Last Close Price</w:t>
            </w:r>
          </w:p>
        </w:tc>
        <w:tc>
          <w:tcPr>
            <w:tcW w:w="900" w:type="dxa"/>
            <w:noWrap/>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EPS (D)</w:t>
            </w:r>
          </w:p>
        </w:tc>
        <w:tc>
          <w:tcPr>
            <w:tcW w:w="996" w:type="dxa"/>
            <w:noWrap/>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221943">
              <w:rPr>
                <w:rFonts w:ascii="Times New Roman" w:eastAsia="Times New Roman" w:hAnsi="Times New Roman" w:cs="Times New Roman"/>
                <w:color w:val="000000"/>
              </w:rPr>
              <w:t>Bvp</w:t>
            </w:r>
            <w:proofErr w:type="spellEnd"/>
          </w:p>
        </w:tc>
        <w:tc>
          <w:tcPr>
            <w:tcW w:w="1084" w:type="dxa"/>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PE (diluted)</w:t>
            </w:r>
          </w:p>
        </w:tc>
        <w:tc>
          <w:tcPr>
            <w:tcW w:w="783" w:type="dxa"/>
            <w:noWrap/>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PB</w:t>
            </w:r>
          </w:p>
        </w:tc>
        <w:tc>
          <w:tcPr>
            <w:tcW w:w="1121" w:type="dxa"/>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PE (Median) Multiple (60%)</w:t>
            </w:r>
          </w:p>
        </w:tc>
        <w:tc>
          <w:tcPr>
            <w:tcW w:w="1121" w:type="dxa"/>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PB (Median) Multiples (40%)</w:t>
            </w:r>
          </w:p>
        </w:tc>
        <w:tc>
          <w:tcPr>
            <w:tcW w:w="1407" w:type="dxa"/>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Relative valuation (PE (60%) +PB (40%)</w:t>
            </w:r>
          </w:p>
        </w:tc>
        <w:tc>
          <w:tcPr>
            <w:tcW w:w="1555" w:type="dxa"/>
            <w:hideMark/>
          </w:tcPr>
          <w:p w:rsidR="00221943" w:rsidRPr="00221943" w:rsidRDefault="00221943" w:rsidP="002219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Remarks</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SALICO </w:t>
            </w:r>
          </w:p>
        </w:tc>
        <w:tc>
          <w:tcPr>
            <w:tcW w:w="117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676.38 </w:t>
            </w:r>
          </w:p>
        </w:tc>
        <w:tc>
          <w:tcPr>
            <w:tcW w:w="9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12.81 </w:t>
            </w:r>
          </w:p>
        </w:tc>
        <w:tc>
          <w:tcPr>
            <w:tcW w:w="99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248.82 </w:t>
            </w:r>
          </w:p>
        </w:tc>
        <w:tc>
          <w:tcPr>
            <w:tcW w:w="108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52.80 </w:t>
            </w:r>
          </w:p>
        </w:tc>
        <w:tc>
          <w:tcPr>
            <w:tcW w:w="78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2.72 </w:t>
            </w:r>
          </w:p>
        </w:tc>
        <w:tc>
          <w:tcPr>
            <w:tcW w:w="1121"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612.05 </w:t>
            </w:r>
          </w:p>
        </w:tc>
        <w:tc>
          <w:tcPr>
            <w:tcW w:w="112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792.57 </w:t>
            </w:r>
          </w:p>
        </w:tc>
        <w:tc>
          <w:tcPr>
            <w:tcW w:w="14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684.26 </w:t>
            </w:r>
          </w:p>
        </w:tc>
        <w:tc>
          <w:tcPr>
            <w:tcW w:w="155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Undervalued </w:t>
            </w:r>
          </w:p>
        </w:tc>
      </w:tr>
      <w:tr w:rsidR="00221943" w:rsidRPr="00221943" w:rsidTr="00221943">
        <w:trPr>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SPIL </w:t>
            </w:r>
          </w:p>
        </w:tc>
        <w:tc>
          <w:tcPr>
            <w:tcW w:w="117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818.43 </w:t>
            </w:r>
          </w:p>
        </w:tc>
        <w:tc>
          <w:tcPr>
            <w:tcW w:w="9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21.55 </w:t>
            </w:r>
          </w:p>
        </w:tc>
        <w:tc>
          <w:tcPr>
            <w:tcW w:w="99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263.72 </w:t>
            </w:r>
          </w:p>
        </w:tc>
        <w:tc>
          <w:tcPr>
            <w:tcW w:w="108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37.98 </w:t>
            </w:r>
          </w:p>
        </w:tc>
        <w:tc>
          <w:tcPr>
            <w:tcW w:w="78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3.10 </w:t>
            </w:r>
          </w:p>
        </w:tc>
        <w:tc>
          <w:tcPr>
            <w:tcW w:w="1121"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1,029.63 </w:t>
            </w:r>
          </w:p>
        </w:tc>
        <w:tc>
          <w:tcPr>
            <w:tcW w:w="112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840.03 </w:t>
            </w:r>
          </w:p>
        </w:tc>
        <w:tc>
          <w:tcPr>
            <w:tcW w:w="14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953.79 </w:t>
            </w:r>
          </w:p>
        </w:tc>
        <w:tc>
          <w:tcPr>
            <w:tcW w:w="155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Undervalued </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NIL </w:t>
            </w:r>
          </w:p>
        </w:tc>
        <w:tc>
          <w:tcPr>
            <w:tcW w:w="117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700.91 </w:t>
            </w:r>
          </w:p>
        </w:tc>
        <w:tc>
          <w:tcPr>
            <w:tcW w:w="9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18.30 </w:t>
            </w:r>
          </w:p>
        </w:tc>
        <w:tc>
          <w:tcPr>
            <w:tcW w:w="99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267.40 </w:t>
            </w:r>
          </w:p>
        </w:tc>
        <w:tc>
          <w:tcPr>
            <w:tcW w:w="108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38.30 </w:t>
            </w:r>
          </w:p>
        </w:tc>
        <w:tc>
          <w:tcPr>
            <w:tcW w:w="78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2.62 </w:t>
            </w:r>
          </w:p>
        </w:tc>
        <w:tc>
          <w:tcPr>
            <w:tcW w:w="1121"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874.35 </w:t>
            </w:r>
          </w:p>
        </w:tc>
        <w:tc>
          <w:tcPr>
            <w:tcW w:w="112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851.75 </w:t>
            </w:r>
          </w:p>
        </w:tc>
        <w:tc>
          <w:tcPr>
            <w:tcW w:w="14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865.31 </w:t>
            </w:r>
          </w:p>
        </w:tc>
        <w:tc>
          <w:tcPr>
            <w:tcW w:w="155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Undervalued </w:t>
            </w:r>
          </w:p>
        </w:tc>
      </w:tr>
      <w:tr w:rsidR="00221943" w:rsidRPr="00221943" w:rsidTr="00221943">
        <w:trPr>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IGI </w:t>
            </w:r>
          </w:p>
        </w:tc>
        <w:tc>
          <w:tcPr>
            <w:tcW w:w="117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564.91 </w:t>
            </w:r>
          </w:p>
        </w:tc>
        <w:tc>
          <w:tcPr>
            <w:tcW w:w="9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11.67 </w:t>
            </w:r>
          </w:p>
        </w:tc>
        <w:tc>
          <w:tcPr>
            <w:tcW w:w="99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185.30 </w:t>
            </w:r>
          </w:p>
        </w:tc>
        <w:tc>
          <w:tcPr>
            <w:tcW w:w="108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48.41 </w:t>
            </w:r>
          </w:p>
        </w:tc>
        <w:tc>
          <w:tcPr>
            <w:tcW w:w="78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3.05 </w:t>
            </w:r>
          </w:p>
        </w:tc>
        <w:tc>
          <w:tcPr>
            <w:tcW w:w="1121"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557.58 </w:t>
            </w:r>
          </w:p>
        </w:tc>
        <w:tc>
          <w:tcPr>
            <w:tcW w:w="112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590.24 </w:t>
            </w:r>
          </w:p>
        </w:tc>
        <w:tc>
          <w:tcPr>
            <w:tcW w:w="14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570.64 </w:t>
            </w:r>
          </w:p>
        </w:tc>
        <w:tc>
          <w:tcPr>
            <w:tcW w:w="155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Undervalued </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HEI </w:t>
            </w:r>
          </w:p>
        </w:tc>
        <w:tc>
          <w:tcPr>
            <w:tcW w:w="117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585.68 </w:t>
            </w:r>
          </w:p>
        </w:tc>
        <w:tc>
          <w:tcPr>
            <w:tcW w:w="9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17.73 </w:t>
            </w:r>
          </w:p>
        </w:tc>
        <w:tc>
          <w:tcPr>
            <w:tcW w:w="99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201.46 </w:t>
            </w:r>
          </w:p>
        </w:tc>
        <w:tc>
          <w:tcPr>
            <w:tcW w:w="108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33.03 </w:t>
            </w:r>
          </w:p>
        </w:tc>
        <w:tc>
          <w:tcPr>
            <w:tcW w:w="78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2.91 </w:t>
            </w:r>
          </w:p>
        </w:tc>
        <w:tc>
          <w:tcPr>
            <w:tcW w:w="1121"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847.12 </w:t>
            </w:r>
          </w:p>
        </w:tc>
        <w:tc>
          <w:tcPr>
            <w:tcW w:w="112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641.71 </w:t>
            </w:r>
          </w:p>
        </w:tc>
        <w:tc>
          <w:tcPr>
            <w:tcW w:w="14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764.96 </w:t>
            </w:r>
          </w:p>
        </w:tc>
        <w:tc>
          <w:tcPr>
            <w:tcW w:w="155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Undervalued </w:t>
            </w:r>
          </w:p>
        </w:tc>
      </w:tr>
      <w:tr w:rsidR="00221943" w:rsidRPr="00221943" w:rsidTr="00221943">
        <w:trPr>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SGIC </w:t>
            </w:r>
          </w:p>
        </w:tc>
        <w:tc>
          <w:tcPr>
            <w:tcW w:w="117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571.38 </w:t>
            </w:r>
          </w:p>
        </w:tc>
        <w:tc>
          <w:tcPr>
            <w:tcW w:w="9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14.48 </w:t>
            </w:r>
          </w:p>
        </w:tc>
        <w:tc>
          <w:tcPr>
            <w:tcW w:w="99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158.32 </w:t>
            </w:r>
          </w:p>
        </w:tc>
        <w:tc>
          <w:tcPr>
            <w:tcW w:w="108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39.46 </w:t>
            </w:r>
          </w:p>
        </w:tc>
        <w:tc>
          <w:tcPr>
            <w:tcW w:w="78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3.61 </w:t>
            </w:r>
          </w:p>
        </w:tc>
        <w:tc>
          <w:tcPr>
            <w:tcW w:w="1121"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691.84 </w:t>
            </w:r>
          </w:p>
        </w:tc>
        <w:tc>
          <w:tcPr>
            <w:tcW w:w="112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504.30 </w:t>
            </w:r>
          </w:p>
        </w:tc>
        <w:tc>
          <w:tcPr>
            <w:tcW w:w="14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616.82 </w:t>
            </w:r>
          </w:p>
        </w:tc>
        <w:tc>
          <w:tcPr>
            <w:tcW w:w="155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Undervalued </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RBCL </w:t>
            </w:r>
          </w:p>
        </w:tc>
        <w:tc>
          <w:tcPr>
            <w:tcW w:w="117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14,670.03 </w:t>
            </w:r>
          </w:p>
        </w:tc>
        <w:tc>
          <w:tcPr>
            <w:tcW w:w="9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197.85 </w:t>
            </w:r>
          </w:p>
        </w:tc>
        <w:tc>
          <w:tcPr>
            <w:tcW w:w="99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6,321.44 </w:t>
            </w:r>
          </w:p>
        </w:tc>
        <w:tc>
          <w:tcPr>
            <w:tcW w:w="108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74.15 </w:t>
            </w:r>
          </w:p>
        </w:tc>
        <w:tc>
          <w:tcPr>
            <w:tcW w:w="78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2.32 </w:t>
            </w:r>
          </w:p>
        </w:tc>
        <w:tc>
          <w:tcPr>
            <w:tcW w:w="1121"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9,453.03 </w:t>
            </w:r>
          </w:p>
        </w:tc>
        <w:tc>
          <w:tcPr>
            <w:tcW w:w="112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20,135.72 </w:t>
            </w:r>
          </w:p>
        </w:tc>
        <w:tc>
          <w:tcPr>
            <w:tcW w:w="14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13,726.11 </w:t>
            </w:r>
          </w:p>
        </w:tc>
        <w:tc>
          <w:tcPr>
            <w:tcW w:w="155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Overvalued </w:t>
            </w:r>
          </w:p>
        </w:tc>
      </w:tr>
      <w:tr w:rsidR="00221943" w:rsidRPr="00221943" w:rsidTr="00221943">
        <w:trPr>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SICL </w:t>
            </w:r>
          </w:p>
        </w:tc>
        <w:tc>
          <w:tcPr>
            <w:tcW w:w="117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753.31 </w:t>
            </w:r>
          </w:p>
        </w:tc>
        <w:tc>
          <w:tcPr>
            <w:tcW w:w="9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16.29 </w:t>
            </w:r>
          </w:p>
        </w:tc>
        <w:tc>
          <w:tcPr>
            <w:tcW w:w="99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195.81 </w:t>
            </w:r>
          </w:p>
        </w:tc>
        <w:tc>
          <w:tcPr>
            <w:tcW w:w="108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46.24 </w:t>
            </w:r>
          </w:p>
        </w:tc>
        <w:tc>
          <w:tcPr>
            <w:tcW w:w="78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3.85 </w:t>
            </w:r>
          </w:p>
        </w:tc>
        <w:tc>
          <w:tcPr>
            <w:tcW w:w="1121"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778.32 </w:t>
            </w:r>
          </w:p>
        </w:tc>
        <w:tc>
          <w:tcPr>
            <w:tcW w:w="112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623.71 </w:t>
            </w:r>
          </w:p>
        </w:tc>
        <w:tc>
          <w:tcPr>
            <w:tcW w:w="14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716.48 </w:t>
            </w:r>
          </w:p>
        </w:tc>
        <w:tc>
          <w:tcPr>
            <w:tcW w:w="155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Overvalued </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NLG </w:t>
            </w:r>
          </w:p>
        </w:tc>
        <w:tc>
          <w:tcPr>
            <w:tcW w:w="117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828.71 </w:t>
            </w:r>
          </w:p>
        </w:tc>
        <w:tc>
          <w:tcPr>
            <w:tcW w:w="9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6.57 </w:t>
            </w:r>
          </w:p>
        </w:tc>
        <w:tc>
          <w:tcPr>
            <w:tcW w:w="99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180.32 </w:t>
            </w:r>
          </w:p>
        </w:tc>
        <w:tc>
          <w:tcPr>
            <w:tcW w:w="108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126.14 </w:t>
            </w:r>
          </w:p>
        </w:tc>
        <w:tc>
          <w:tcPr>
            <w:tcW w:w="78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4.60 </w:t>
            </w:r>
          </w:p>
        </w:tc>
        <w:tc>
          <w:tcPr>
            <w:tcW w:w="1121"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313.91 </w:t>
            </w:r>
          </w:p>
        </w:tc>
        <w:tc>
          <w:tcPr>
            <w:tcW w:w="112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574.37 </w:t>
            </w:r>
          </w:p>
        </w:tc>
        <w:tc>
          <w:tcPr>
            <w:tcW w:w="14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418.09 </w:t>
            </w:r>
          </w:p>
        </w:tc>
        <w:tc>
          <w:tcPr>
            <w:tcW w:w="155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Overvalued </w:t>
            </w:r>
          </w:p>
        </w:tc>
      </w:tr>
      <w:tr w:rsidR="00221943" w:rsidRPr="00221943" w:rsidTr="00221943">
        <w:trPr>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NICL </w:t>
            </w:r>
          </w:p>
        </w:tc>
        <w:tc>
          <w:tcPr>
            <w:tcW w:w="117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790.81 </w:t>
            </w:r>
          </w:p>
        </w:tc>
        <w:tc>
          <w:tcPr>
            <w:tcW w:w="9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12.58 </w:t>
            </w:r>
          </w:p>
        </w:tc>
        <w:tc>
          <w:tcPr>
            <w:tcW w:w="99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190.91 </w:t>
            </w:r>
          </w:p>
        </w:tc>
        <w:tc>
          <w:tcPr>
            <w:tcW w:w="108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62.86 </w:t>
            </w:r>
          </w:p>
        </w:tc>
        <w:tc>
          <w:tcPr>
            <w:tcW w:w="78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4.14 </w:t>
            </w:r>
          </w:p>
        </w:tc>
        <w:tc>
          <w:tcPr>
            <w:tcW w:w="1121"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601.06 </w:t>
            </w:r>
          </w:p>
        </w:tc>
        <w:tc>
          <w:tcPr>
            <w:tcW w:w="112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608.11 </w:t>
            </w:r>
          </w:p>
        </w:tc>
        <w:tc>
          <w:tcPr>
            <w:tcW w:w="14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603.88 </w:t>
            </w:r>
          </w:p>
        </w:tc>
        <w:tc>
          <w:tcPr>
            <w:tcW w:w="155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Overvalued </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UAIL </w:t>
            </w:r>
          </w:p>
        </w:tc>
        <w:tc>
          <w:tcPr>
            <w:tcW w:w="117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619.43 </w:t>
            </w:r>
          </w:p>
        </w:tc>
        <w:tc>
          <w:tcPr>
            <w:tcW w:w="9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7.37 </w:t>
            </w:r>
          </w:p>
        </w:tc>
        <w:tc>
          <w:tcPr>
            <w:tcW w:w="99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189.59 </w:t>
            </w:r>
          </w:p>
        </w:tc>
        <w:tc>
          <w:tcPr>
            <w:tcW w:w="108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84.05 </w:t>
            </w:r>
          </w:p>
        </w:tc>
        <w:tc>
          <w:tcPr>
            <w:tcW w:w="78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3.27 </w:t>
            </w:r>
          </w:p>
        </w:tc>
        <w:tc>
          <w:tcPr>
            <w:tcW w:w="1121"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352.13 </w:t>
            </w:r>
          </w:p>
        </w:tc>
        <w:tc>
          <w:tcPr>
            <w:tcW w:w="112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603.90 </w:t>
            </w:r>
          </w:p>
        </w:tc>
        <w:tc>
          <w:tcPr>
            <w:tcW w:w="14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452.84 </w:t>
            </w:r>
          </w:p>
        </w:tc>
        <w:tc>
          <w:tcPr>
            <w:tcW w:w="155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Overvalued </w:t>
            </w:r>
          </w:p>
        </w:tc>
      </w:tr>
      <w:tr w:rsidR="00221943" w:rsidRPr="00221943" w:rsidTr="00221943">
        <w:trPr>
          <w:trHeight w:val="29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PRIN </w:t>
            </w:r>
          </w:p>
        </w:tc>
        <w:tc>
          <w:tcPr>
            <w:tcW w:w="117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873.70 </w:t>
            </w:r>
          </w:p>
        </w:tc>
        <w:tc>
          <w:tcPr>
            <w:tcW w:w="9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18.53 </w:t>
            </w:r>
          </w:p>
        </w:tc>
        <w:tc>
          <w:tcPr>
            <w:tcW w:w="99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234.51 </w:t>
            </w:r>
          </w:p>
        </w:tc>
        <w:tc>
          <w:tcPr>
            <w:tcW w:w="108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47.15 </w:t>
            </w:r>
          </w:p>
        </w:tc>
        <w:tc>
          <w:tcPr>
            <w:tcW w:w="78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3.73 </w:t>
            </w:r>
          </w:p>
        </w:tc>
        <w:tc>
          <w:tcPr>
            <w:tcW w:w="1121"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885.34 </w:t>
            </w:r>
          </w:p>
        </w:tc>
        <w:tc>
          <w:tcPr>
            <w:tcW w:w="112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746.99 </w:t>
            </w:r>
          </w:p>
        </w:tc>
        <w:tc>
          <w:tcPr>
            <w:tcW w:w="14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830.00 </w:t>
            </w:r>
          </w:p>
        </w:tc>
        <w:tc>
          <w:tcPr>
            <w:tcW w:w="155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Overvalued </w:t>
            </w:r>
          </w:p>
        </w:tc>
      </w:tr>
      <w:tr w:rsidR="00221943" w:rsidRPr="00221943" w:rsidTr="00221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Industry Average </w:t>
            </w:r>
          </w:p>
        </w:tc>
        <w:tc>
          <w:tcPr>
            <w:tcW w:w="117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1,871.14 </w:t>
            </w:r>
          </w:p>
        </w:tc>
        <w:tc>
          <w:tcPr>
            <w:tcW w:w="900"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29.64 </w:t>
            </w:r>
          </w:p>
        </w:tc>
        <w:tc>
          <w:tcPr>
            <w:tcW w:w="996"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719.80 </w:t>
            </w:r>
          </w:p>
        </w:tc>
        <w:tc>
          <w:tcPr>
            <w:tcW w:w="1084"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57.55 </w:t>
            </w:r>
          </w:p>
        </w:tc>
        <w:tc>
          <w:tcPr>
            <w:tcW w:w="783"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3.33 </w:t>
            </w:r>
          </w:p>
        </w:tc>
        <w:tc>
          <w:tcPr>
            <w:tcW w:w="1121" w:type="dxa"/>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c>
          <w:tcPr>
            <w:tcW w:w="1121"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c>
          <w:tcPr>
            <w:tcW w:w="1407"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c>
          <w:tcPr>
            <w:tcW w:w="1555" w:type="dxa"/>
            <w:noWrap/>
            <w:hideMark/>
          </w:tcPr>
          <w:p w:rsidR="00221943" w:rsidRPr="00221943" w:rsidRDefault="00221943" w:rsidP="002219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r>
      <w:tr w:rsidR="00221943" w:rsidRPr="00221943" w:rsidTr="00221943">
        <w:trPr>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221943" w:rsidRPr="00221943" w:rsidRDefault="00221943" w:rsidP="00221943">
            <w:pPr>
              <w:spacing w:line="360" w:lineRule="auto"/>
              <w:rPr>
                <w:rFonts w:ascii="Times New Roman" w:eastAsia="Times New Roman" w:hAnsi="Times New Roman" w:cs="Times New Roman"/>
                <w:color w:val="000000"/>
              </w:rPr>
            </w:pPr>
            <w:r w:rsidRPr="00221943">
              <w:rPr>
                <w:rFonts w:ascii="Times New Roman" w:eastAsia="Times New Roman" w:hAnsi="Times New Roman" w:cs="Times New Roman"/>
                <w:color w:val="000000"/>
              </w:rPr>
              <w:t>Industry Median</w:t>
            </w:r>
          </w:p>
        </w:tc>
        <w:tc>
          <w:tcPr>
            <w:tcW w:w="117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727.11 </w:t>
            </w:r>
          </w:p>
        </w:tc>
        <w:tc>
          <w:tcPr>
            <w:tcW w:w="900"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15.39 </w:t>
            </w:r>
          </w:p>
        </w:tc>
        <w:tc>
          <w:tcPr>
            <w:tcW w:w="996"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198.64 </w:t>
            </w:r>
          </w:p>
        </w:tc>
        <w:tc>
          <w:tcPr>
            <w:tcW w:w="1084"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47.78 </w:t>
            </w:r>
          </w:p>
        </w:tc>
        <w:tc>
          <w:tcPr>
            <w:tcW w:w="783"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xml:space="preserve"> 3.19 </w:t>
            </w:r>
          </w:p>
        </w:tc>
        <w:tc>
          <w:tcPr>
            <w:tcW w:w="1121" w:type="dxa"/>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c>
          <w:tcPr>
            <w:tcW w:w="1121"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c>
          <w:tcPr>
            <w:tcW w:w="1407"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c>
          <w:tcPr>
            <w:tcW w:w="1555" w:type="dxa"/>
            <w:noWrap/>
            <w:hideMark/>
          </w:tcPr>
          <w:p w:rsidR="00221943" w:rsidRPr="00221943" w:rsidRDefault="00221943" w:rsidP="002219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21943">
              <w:rPr>
                <w:rFonts w:ascii="Times New Roman" w:eastAsia="Times New Roman" w:hAnsi="Times New Roman" w:cs="Times New Roman"/>
                <w:color w:val="000000"/>
              </w:rPr>
              <w:t> </w:t>
            </w:r>
          </w:p>
        </w:tc>
      </w:tr>
    </w:tbl>
    <w:p w:rsidR="00221943" w:rsidRP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rPr>
      </w:pP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The table shows the relative Valuation of companies using the diluted EPS and P/E assigning 60% weightage to the P/E median multiple and 40% weightage to the P/B median multiple. Fundamentally sound performers like NIL, SPIL, and HEI trade at compelling valuations with P/E ratios of 38.30, 37.98, and 33.03 respectively—well below the industry median of 47.78—while maintaining reasonable operational metrics. </w:t>
      </w:r>
    </w:p>
    <w:p w:rsidR="00221943" w:rsidRPr="00221943" w:rsidRDefault="00221943" w:rsidP="00221943">
      <w:pPr>
        <w:rPr>
          <w:rFonts w:ascii="Times New Roman" w:hAnsi="Times New Roman" w:cs="Times New Roman"/>
          <w:b/>
          <w:sz w:val="28"/>
          <w:szCs w:val="28"/>
        </w:rPr>
      </w:pPr>
    </w:p>
    <w:p w:rsidR="00221943" w:rsidRPr="00221943" w:rsidRDefault="00221943" w:rsidP="002C037E">
      <w:pPr>
        <w:pStyle w:val="Heading1"/>
      </w:pPr>
      <w:bookmarkStart w:id="17" w:name="_Toc204787684"/>
      <w:r w:rsidRPr="00221943">
        <w:lastRenderedPageBreak/>
        <w:t>Overall Analysis and Conclusion</w:t>
      </w:r>
      <w:bookmarkEnd w:id="17"/>
      <w:r w:rsidRPr="00221943">
        <w:t xml:space="preserve">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Nepal's non-life insurance sector exhibits significant polarization across operational performance, regulatory compliance, and market valuation. The industry faces substantial headwinds with a 35.1% year-over-year profit decline, compressed investment yields (5.16% average), and ongoing capital adequacy challenges for several players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rPr>
        <w:t xml:space="preserve">All insurers are required to fully adopt ORSA processes by 2026. Which might indicate increase in capital further in the future for business expansion for RBC requirements. However, the solvency ratio shows very comfortable position.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b/>
        </w:rPr>
        <w:t>NIL</w:t>
      </w:r>
      <w:r w:rsidRPr="00221943">
        <w:rPr>
          <w:rFonts w:ascii="Times New Roman" w:hAnsi="Times New Roman" w:cs="Times New Roman"/>
        </w:rPr>
        <w:t>: It emerges as the most compelling investment opportunity. NIL demonstrates exceptional operational metrics with industry-leading ROA (6.37%) and ROE (26.11%), strong premium growth (11.7%), and consistent profitability with minimal decline (-2.2%) in a challenging environment where the industry average fell 35.1%. ROA.</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b/>
        </w:rPr>
        <w:t>SICL</w:t>
      </w:r>
      <w:r w:rsidRPr="00221943">
        <w:rPr>
          <w:rFonts w:ascii="Times New Roman" w:hAnsi="Times New Roman" w:cs="Times New Roman"/>
        </w:rPr>
        <w:t xml:space="preserve">: It is a market leader maintaining its #1 rank in premium volume (NPR 3.73B) and market share (14.51%), SICL offers stability and established market dominance. The company has already fulfilled capital requirements and moderate premium growth (4.5%) and revenue expansion (4.2%), SICL maintains solid profitability metrics with a reasonable combined ratio of 63.28% and balanced underwriting approach (loss ratio: 59.18%, expense ratio: 4.10%).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b/>
        </w:rPr>
        <w:t>HEI</w:t>
      </w:r>
      <w:r w:rsidRPr="00221943">
        <w:rPr>
          <w:rFonts w:ascii="Times New Roman" w:hAnsi="Times New Roman" w:cs="Times New Roman"/>
        </w:rPr>
        <w:t>: The company demonstrates exceptional premium growth momentum (32.0% YoY), the highest in the sector, propelling it from 5th to 3rd rank with substantial market share gains (+24.5%). HEI has already fulfilled the NPR 2.5 billion capital requirement, positioning it favorably from a regulatory compliance standpoint.</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b/>
        </w:rPr>
        <w:t>SPIL</w:t>
      </w:r>
      <w:r w:rsidRPr="00221943">
        <w:rPr>
          <w:rFonts w:ascii="Times New Roman" w:hAnsi="Times New Roman" w:cs="Times New Roman"/>
        </w:rPr>
        <w:t>: SPIL has special reserve above 2.5 billion hence is not liable to transfer 50% of insurance fund. The company maintains a reasonable combined ratio of 70.43%, though slightly above industry average, with the sector's lowest expense ratio (2.59%), highlighting exceptional operational efficiency. SPIL presents an attractive opportunity, trading at a favorable P/E of 37.98 (below industry median) with strong EPS (21.55)</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b/>
        </w:rPr>
        <w:t>PRIN</w:t>
      </w:r>
      <w:r w:rsidRPr="00221943">
        <w:rPr>
          <w:rFonts w:ascii="Times New Roman" w:hAnsi="Times New Roman" w:cs="Times New Roman"/>
        </w:rPr>
        <w:t xml:space="preserve">: Capital requirement and for trading point of view. </w:t>
      </w:r>
    </w:p>
    <w:p w:rsidR="00221943" w:rsidRPr="00221943" w:rsidRDefault="00221943" w:rsidP="00221943">
      <w:pPr>
        <w:spacing w:after="0"/>
        <w:jc w:val="both"/>
        <w:rPr>
          <w:rFonts w:ascii="Times New Roman" w:hAnsi="Times New Roman" w:cs="Times New Roman"/>
        </w:rPr>
      </w:pPr>
      <w:r w:rsidRPr="00221943">
        <w:rPr>
          <w:rFonts w:ascii="Times New Roman" w:hAnsi="Times New Roman" w:cs="Times New Roman"/>
          <w:i/>
        </w:rPr>
        <w:t>NIL, SPIL, HEI, PRIN</w:t>
      </w:r>
      <w:r w:rsidRPr="00221943">
        <w:rPr>
          <w:rFonts w:ascii="Times New Roman" w:hAnsi="Times New Roman" w:cs="Times New Roman"/>
        </w:rPr>
        <w:t xml:space="preserve"> should be added to watchlist. </w:t>
      </w:r>
    </w:p>
    <w:p w:rsidR="00221943" w:rsidRPr="00221943" w:rsidRDefault="00221943" w:rsidP="00221943">
      <w:pPr>
        <w:rPr>
          <w:rFonts w:ascii="Times New Roman" w:hAnsi="Times New Roman" w:cs="Times New Roman"/>
          <w:highlight w:val="yellow"/>
        </w:rPr>
      </w:pPr>
    </w:p>
    <w:p w:rsidR="00221943" w:rsidRPr="00221943" w:rsidRDefault="00221943" w:rsidP="00221943">
      <w:pPr>
        <w:rPr>
          <w:rFonts w:ascii="Times New Roman" w:hAnsi="Times New Roman" w:cs="Times New Roman"/>
          <w:highlight w:val="yellow"/>
        </w:rPr>
      </w:pPr>
    </w:p>
    <w:p w:rsidR="001F68AC" w:rsidRPr="00221943" w:rsidRDefault="001F68AC" w:rsidP="00221943">
      <w:pPr>
        <w:spacing w:after="0"/>
        <w:jc w:val="both"/>
        <w:rPr>
          <w:rFonts w:ascii="Times New Roman" w:hAnsi="Times New Roman" w:cs="Times New Roman"/>
          <w:b/>
        </w:rPr>
      </w:pPr>
      <w:bookmarkStart w:id="18" w:name="_GoBack"/>
      <w:bookmarkEnd w:id="18"/>
    </w:p>
    <w:p w:rsidR="00061C29" w:rsidRPr="00221943" w:rsidRDefault="00061C29" w:rsidP="002C037E">
      <w:pPr>
        <w:pStyle w:val="Heading1"/>
      </w:pPr>
      <w:bookmarkStart w:id="19" w:name="_Toc204787685"/>
      <w:r w:rsidRPr="00221943">
        <w:t>Disclaimer:</w:t>
      </w:r>
      <w:bookmarkEnd w:id="19"/>
    </w:p>
    <w:p w:rsidR="006F0B49" w:rsidRPr="00221943" w:rsidRDefault="00061C29" w:rsidP="00221943">
      <w:pPr>
        <w:pStyle w:val="ListParagraph"/>
        <w:numPr>
          <w:ilvl w:val="0"/>
          <w:numId w:val="6"/>
        </w:numPr>
        <w:spacing w:after="120" w:line="360" w:lineRule="auto"/>
        <w:ind w:left="0" w:firstLine="0"/>
        <w:rPr>
          <w:rFonts w:ascii="Times New Roman" w:hAnsi="Times New Roman" w:cs="Times New Roman"/>
          <w:i/>
          <w:u w:val="single"/>
        </w:rPr>
      </w:pPr>
      <w:r w:rsidRPr="00221943">
        <w:rPr>
          <w:rFonts w:ascii="Times New Roman" w:hAnsi="Times New Roman" w:cs="Times New Roman"/>
          <w:i/>
          <w:u w:val="single"/>
        </w:rPr>
        <w:t>This report is based on publicly available data and is intended for informational purposes only. Any decision made based on this report are solely at the viewer discretion.</w:t>
      </w:r>
      <w:bookmarkEnd w:id="1"/>
    </w:p>
    <w:sectPr w:rsidR="006F0B49" w:rsidRPr="00221943" w:rsidSect="000602F7">
      <w:headerReference w:type="default" r:id="rId22"/>
      <w:footerReference w:type="default" r:id="rId23"/>
      <w:pgSz w:w="12240" w:h="15840"/>
      <w:pgMar w:top="1080" w:right="1440" w:bottom="720" w:left="1440" w:header="720" w:footer="3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943" w:rsidRDefault="00221943" w:rsidP="00863DD8">
      <w:pPr>
        <w:spacing w:after="0" w:line="240" w:lineRule="auto"/>
      </w:pPr>
      <w:r>
        <w:separator/>
      </w:r>
    </w:p>
  </w:endnote>
  <w:endnote w:type="continuationSeparator" w:id="0">
    <w:p w:rsidR="00221943" w:rsidRDefault="00221943" w:rsidP="0086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148849"/>
      <w:docPartObj>
        <w:docPartGallery w:val="Page Numbers (Bottom of Page)"/>
        <w:docPartUnique/>
      </w:docPartObj>
    </w:sdtPr>
    <w:sdtEndPr>
      <w:rPr>
        <w:color w:val="7F7F7F" w:themeColor="background1" w:themeShade="7F"/>
        <w:spacing w:val="60"/>
      </w:rPr>
    </w:sdtEndPr>
    <w:sdtContent>
      <w:p w:rsidR="00221943" w:rsidRDefault="0022194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221943" w:rsidRDefault="00221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943" w:rsidRDefault="00221943" w:rsidP="00863DD8">
      <w:pPr>
        <w:spacing w:after="0" w:line="240" w:lineRule="auto"/>
      </w:pPr>
      <w:r>
        <w:separator/>
      </w:r>
    </w:p>
  </w:footnote>
  <w:footnote w:type="continuationSeparator" w:id="0">
    <w:p w:rsidR="00221943" w:rsidRDefault="00221943" w:rsidP="00863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943" w:rsidRDefault="00221943">
    <w:pPr>
      <w:pStyle w:val="Header"/>
    </w:pPr>
    <w:r>
      <w:rPr>
        <w:noProof/>
      </w:rPr>
      <w:drawing>
        <wp:anchor distT="0" distB="0" distL="114300" distR="114300" simplePos="0" relativeHeight="251659264" behindDoc="0" locked="0" layoutInCell="1" allowOverlap="1" wp14:anchorId="3700F0C2" wp14:editId="3A2102FE">
          <wp:simplePos x="0" y="0"/>
          <wp:positionH relativeFrom="column">
            <wp:posOffset>4281463</wp:posOffset>
          </wp:positionH>
          <wp:positionV relativeFrom="paragraph">
            <wp:posOffset>-281012</wp:posOffset>
          </wp:positionV>
          <wp:extent cx="2297619" cy="494754"/>
          <wp:effectExtent l="0" t="0" r="762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7619" cy="4947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01A"/>
    <w:multiLevelType w:val="hybridMultilevel"/>
    <w:tmpl w:val="3D38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E601A"/>
    <w:multiLevelType w:val="hybridMultilevel"/>
    <w:tmpl w:val="1F1A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625A7"/>
    <w:multiLevelType w:val="multilevel"/>
    <w:tmpl w:val="540CB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A2408"/>
    <w:multiLevelType w:val="multilevel"/>
    <w:tmpl w:val="1FD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222C0"/>
    <w:multiLevelType w:val="hybridMultilevel"/>
    <w:tmpl w:val="62ACDC48"/>
    <w:lvl w:ilvl="0" w:tplc="74FEC9E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61F3D"/>
    <w:multiLevelType w:val="hybridMultilevel"/>
    <w:tmpl w:val="076C2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678B0"/>
    <w:multiLevelType w:val="hybridMultilevel"/>
    <w:tmpl w:val="94C2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E7310"/>
    <w:multiLevelType w:val="hybridMultilevel"/>
    <w:tmpl w:val="E5F6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C27A5"/>
    <w:multiLevelType w:val="hybridMultilevel"/>
    <w:tmpl w:val="485A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6511B"/>
    <w:multiLevelType w:val="hybridMultilevel"/>
    <w:tmpl w:val="5B84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E5730"/>
    <w:multiLevelType w:val="hybridMultilevel"/>
    <w:tmpl w:val="0520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51672"/>
    <w:multiLevelType w:val="hybridMultilevel"/>
    <w:tmpl w:val="091C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E523F"/>
    <w:multiLevelType w:val="hybridMultilevel"/>
    <w:tmpl w:val="22B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B67E9"/>
    <w:multiLevelType w:val="multilevel"/>
    <w:tmpl w:val="367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B398A"/>
    <w:multiLevelType w:val="hybridMultilevel"/>
    <w:tmpl w:val="232C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4424D"/>
    <w:multiLevelType w:val="hybridMultilevel"/>
    <w:tmpl w:val="8EE6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9200F"/>
    <w:multiLevelType w:val="hybridMultilevel"/>
    <w:tmpl w:val="10CC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36D20"/>
    <w:multiLevelType w:val="multilevel"/>
    <w:tmpl w:val="598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57FD8"/>
    <w:multiLevelType w:val="hybridMultilevel"/>
    <w:tmpl w:val="4BAA4250"/>
    <w:lvl w:ilvl="0" w:tplc="70CE1282">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32F9436B"/>
    <w:multiLevelType w:val="hybridMultilevel"/>
    <w:tmpl w:val="3D68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543D7D"/>
    <w:multiLevelType w:val="hybridMultilevel"/>
    <w:tmpl w:val="4F08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E0396"/>
    <w:multiLevelType w:val="multilevel"/>
    <w:tmpl w:val="A252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C2BCE"/>
    <w:multiLevelType w:val="multilevel"/>
    <w:tmpl w:val="7ED0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34F97"/>
    <w:multiLevelType w:val="hybridMultilevel"/>
    <w:tmpl w:val="523C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21555D"/>
    <w:multiLevelType w:val="hybridMultilevel"/>
    <w:tmpl w:val="71A0793E"/>
    <w:lvl w:ilvl="0" w:tplc="9C5C239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9F3939"/>
    <w:multiLevelType w:val="multilevel"/>
    <w:tmpl w:val="E0C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85945"/>
    <w:multiLevelType w:val="hybridMultilevel"/>
    <w:tmpl w:val="0846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595E17"/>
    <w:multiLevelType w:val="hybridMultilevel"/>
    <w:tmpl w:val="C3EC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B833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0B023B6"/>
    <w:multiLevelType w:val="multilevel"/>
    <w:tmpl w:val="8B7C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0171C"/>
    <w:multiLevelType w:val="multilevel"/>
    <w:tmpl w:val="65C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E0A2A"/>
    <w:multiLevelType w:val="hybridMultilevel"/>
    <w:tmpl w:val="367A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57B9D"/>
    <w:multiLevelType w:val="hybridMultilevel"/>
    <w:tmpl w:val="1332B03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990D16"/>
    <w:multiLevelType w:val="hybridMultilevel"/>
    <w:tmpl w:val="562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AC1865"/>
    <w:multiLevelType w:val="hybridMultilevel"/>
    <w:tmpl w:val="01E2B8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F6AA5"/>
    <w:multiLevelType w:val="multilevel"/>
    <w:tmpl w:val="FD1C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554E7"/>
    <w:multiLevelType w:val="multilevel"/>
    <w:tmpl w:val="DF86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F477F"/>
    <w:multiLevelType w:val="hybridMultilevel"/>
    <w:tmpl w:val="E154E800"/>
    <w:lvl w:ilvl="0" w:tplc="DEE0DE44">
      <w:start w:val="9"/>
      <w:numFmt w:val="bullet"/>
      <w:lvlText w:val=""/>
      <w:lvlJc w:val="left"/>
      <w:pPr>
        <w:ind w:left="410" w:hanging="360"/>
      </w:pPr>
      <w:rPr>
        <w:rFonts w:ascii="Symbol" w:eastAsiaTheme="minorHAnsi" w:hAnsi="Symbol" w:cstheme="minorBidi" w:hint="default"/>
      </w:rPr>
    </w:lvl>
    <w:lvl w:ilvl="1" w:tplc="0409000B">
      <w:start w:val="1"/>
      <w:numFmt w:val="bullet"/>
      <w:lvlText w:val=""/>
      <w:lvlJc w:val="left"/>
      <w:pPr>
        <w:ind w:left="1130" w:hanging="360"/>
      </w:pPr>
      <w:rPr>
        <w:rFonts w:ascii="Wingdings" w:hAnsi="Wingdings"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8" w15:restartNumberingAfterBreak="0">
    <w:nsid w:val="62367D6F"/>
    <w:multiLevelType w:val="hybridMultilevel"/>
    <w:tmpl w:val="A2CC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191427"/>
    <w:multiLevelType w:val="hybridMultilevel"/>
    <w:tmpl w:val="13D4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C30440"/>
    <w:multiLevelType w:val="hybridMultilevel"/>
    <w:tmpl w:val="59D240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7A4567"/>
    <w:multiLevelType w:val="hybridMultilevel"/>
    <w:tmpl w:val="7C6E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5398A"/>
    <w:multiLevelType w:val="hybridMultilevel"/>
    <w:tmpl w:val="497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91F78"/>
    <w:multiLevelType w:val="hybridMultilevel"/>
    <w:tmpl w:val="D600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B02C57"/>
    <w:multiLevelType w:val="multilevel"/>
    <w:tmpl w:val="88D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3A6C06"/>
    <w:multiLevelType w:val="multilevel"/>
    <w:tmpl w:val="BF46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765F39"/>
    <w:multiLevelType w:val="multilevel"/>
    <w:tmpl w:val="9538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B042B9"/>
    <w:multiLevelType w:val="hybridMultilevel"/>
    <w:tmpl w:val="0926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115401"/>
    <w:multiLevelType w:val="hybridMultilevel"/>
    <w:tmpl w:val="C44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1"/>
  </w:num>
  <w:num w:numId="4">
    <w:abstractNumId w:val="2"/>
  </w:num>
  <w:num w:numId="5">
    <w:abstractNumId w:val="44"/>
  </w:num>
  <w:num w:numId="6">
    <w:abstractNumId w:val="12"/>
  </w:num>
  <w:num w:numId="7">
    <w:abstractNumId w:val="42"/>
  </w:num>
  <w:num w:numId="8">
    <w:abstractNumId w:val="31"/>
  </w:num>
  <w:num w:numId="9">
    <w:abstractNumId w:val="26"/>
  </w:num>
  <w:num w:numId="10">
    <w:abstractNumId w:val="46"/>
  </w:num>
  <w:num w:numId="11">
    <w:abstractNumId w:val="35"/>
  </w:num>
  <w:num w:numId="12">
    <w:abstractNumId w:val="25"/>
  </w:num>
  <w:num w:numId="13">
    <w:abstractNumId w:val="36"/>
  </w:num>
  <w:num w:numId="14">
    <w:abstractNumId w:val="3"/>
  </w:num>
  <w:num w:numId="15">
    <w:abstractNumId w:val="20"/>
  </w:num>
  <w:num w:numId="16">
    <w:abstractNumId w:val="32"/>
  </w:num>
  <w:num w:numId="17">
    <w:abstractNumId w:val="40"/>
  </w:num>
  <w:num w:numId="18">
    <w:abstractNumId w:val="34"/>
  </w:num>
  <w:num w:numId="19">
    <w:abstractNumId w:val="5"/>
  </w:num>
  <w:num w:numId="20">
    <w:abstractNumId w:val="24"/>
  </w:num>
  <w:num w:numId="21">
    <w:abstractNumId w:val="4"/>
  </w:num>
  <w:num w:numId="22">
    <w:abstractNumId w:val="39"/>
  </w:num>
  <w:num w:numId="23">
    <w:abstractNumId w:val="22"/>
  </w:num>
  <w:num w:numId="24">
    <w:abstractNumId w:val="19"/>
  </w:num>
  <w:num w:numId="25">
    <w:abstractNumId w:val="37"/>
  </w:num>
  <w:num w:numId="26">
    <w:abstractNumId w:val="28"/>
  </w:num>
  <w:num w:numId="27">
    <w:abstractNumId w:val="43"/>
  </w:num>
  <w:num w:numId="28">
    <w:abstractNumId w:val="10"/>
  </w:num>
  <w:num w:numId="29">
    <w:abstractNumId w:val="48"/>
  </w:num>
  <w:num w:numId="30">
    <w:abstractNumId w:val="41"/>
  </w:num>
  <w:num w:numId="31">
    <w:abstractNumId w:val="15"/>
  </w:num>
  <w:num w:numId="32">
    <w:abstractNumId w:val="8"/>
  </w:num>
  <w:num w:numId="33">
    <w:abstractNumId w:val="16"/>
  </w:num>
  <w:num w:numId="34">
    <w:abstractNumId w:val="1"/>
  </w:num>
  <w:num w:numId="35">
    <w:abstractNumId w:val="33"/>
  </w:num>
  <w:num w:numId="36">
    <w:abstractNumId w:val="11"/>
  </w:num>
  <w:num w:numId="37">
    <w:abstractNumId w:val="6"/>
  </w:num>
  <w:num w:numId="38">
    <w:abstractNumId w:val="47"/>
  </w:num>
  <w:num w:numId="39">
    <w:abstractNumId w:val="14"/>
  </w:num>
  <w:num w:numId="40">
    <w:abstractNumId w:val="17"/>
  </w:num>
  <w:num w:numId="41">
    <w:abstractNumId w:val="29"/>
  </w:num>
  <w:num w:numId="42">
    <w:abstractNumId w:val="7"/>
  </w:num>
  <w:num w:numId="43">
    <w:abstractNumId w:val="27"/>
  </w:num>
  <w:num w:numId="44">
    <w:abstractNumId w:val="38"/>
  </w:num>
  <w:num w:numId="45">
    <w:abstractNumId w:val="23"/>
  </w:num>
  <w:num w:numId="46">
    <w:abstractNumId w:val="0"/>
  </w:num>
  <w:num w:numId="47">
    <w:abstractNumId w:val="9"/>
  </w:num>
  <w:num w:numId="48">
    <w:abstractNumId w:val="18"/>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25"/>
    <w:rsid w:val="000075BC"/>
    <w:rsid w:val="000107F5"/>
    <w:rsid w:val="000157B1"/>
    <w:rsid w:val="00017068"/>
    <w:rsid w:val="000215BF"/>
    <w:rsid w:val="00027DDC"/>
    <w:rsid w:val="000309E9"/>
    <w:rsid w:val="000328C1"/>
    <w:rsid w:val="00036DF7"/>
    <w:rsid w:val="00053A93"/>
    <w:rsid w:val="000602F7"/>
    <w:rsid w:val="00061282"/>
    <w:rsid w:val="00061C29"/>
    <w:rsid w:val="00061C9E"/>
    <w:rsid w:val="00062678"/>
    <w:rsid w:val="0006764B"/>
    <w:rsid w:val="00072D27"/>
    <w:rsid w:val="00076FF4"/>
    <w:rsid w:val="00091777"/>
    <w:rsid w:val="00095ED3"/>
    <w:rsid w:val="000D03A7"/>
    <w:rsid w:val="000D4B20"/>
    <w:rsid w:val="000F25B2"/>
    <w:rsid w:val="000F7725"/>
    <w:rsid w:val="001079C3"/>
    <w:rsid w:val="00111B88"/>
    <w:rsid w:val="00130992"/>
    <w:rsid w:val="00130EE3"/>
    <w:rsid w:val="00144B22"/>
    <w:rsid w:val="0016337C"/>
    <w:rsid w:val="001740AD"/>
    <w:rsid w:val="0018738A"/>
    <w:rsid w:val="001902DD"/>
    <w:rsid w:val="00191BAB"/>
    <w:rsid w:val="001A006F"/>
    <w:rsid w:val="001D1974"/>
    <w:rsid w:val="001D7A81"/>
    <w:rsid w:val="001E3D33"/>
    <w:rsid w:val="001F68AC"/>
    <w:rsid w:val="00201C22"/>
    <w:rsid w:val="002029CC"/>
    <w:rsid w:val="00221725"/>
    <w:rsid w:val="00221943"/>
    <w:rsid w:val="002257F2"/>
    <w:rsid w:val="002318C4"/>
    <w:rsid w:val="00246369"/>
    <w:rsid w:val="00261825"/>
    <w:rsid w:val="00276588"/>
    <w:rsid w:val="002848E5"/>
    <w:rsid w:val="002972D0"/>
    <w:rsid w:val="002A195B"/>
    <w:rsid w:val="002A2C1E"/>
    <w:rsid w:val="002A723E"/>
    <w:rsid w:val="002A7D05"/>
    <w:rsid w:val="002B0F4C"/>
    <w:rsid w:val="002C037E"/>
    <w:rsid w:val="002E64C6"/>
    <w:rsid w:val="002F4DA5"/>
    <w:rsid w:val="002F4DD5"/>
    <w:rsid w:val="002F61DE"/>
    <w:rsid w:val="0030590C"/>
    <w:rsid w:val="00307701"/>
    <w:rsid w:val="00316942"/>
    <w:rsid w:val="0032769F"/>
    <w:rsid w:val="00353828"/>
    <w:rsid w:val="00355177"/>
    <w:rsid w:val="00376A81"/>
    <w:rsid w:val="00384374"/>
    <w:rsid w:val="00391DA5"/>
    <w:rsid w:val="003A324B"/>
    <w:rsid w:val="003B1BF4"/>
    <w:rsid w:val="003B3452"/>
    <w:rsid w:val="003B38C5"/>
    <w:rsid w:val="003C7B82"/>
    <w:rsid w:val="003D546A"/>
    <w:rsid w:val="003E3FBD"/>
    <w:rsid w:val="003E53FD"/>
    <w:rsid w:val="00402961"/>
    <w:rsid w:val="004103A9"/>
    <w:rsid w:val="004144E5"/>
    <w:rsid w:val="00427D77"/>
    <w:rsid w:val="00441A42"/>
    <w:rsid w:val="004471C6"/>
    <w:rsid w:val="00454576"/>
    <w:rsid w:val="00472B34"/>
    <w:rsid w:val="004829AB"/>
    <w:rsid w:val="00486736"/>
    <w:rsid w:val="00495863"/>
    <w:rsid w:val="004C5CEB"/>
    <w:rsid w:val="004C72C6"/>
    <w:rsid w:val="004D2D21"/>
    <w:rsid w:val="004E00FC"/>
    <w:rsid w:val="004F6270"/>
    <w:rsid w:val="0052107A"/>
    <w:rsid w:val="005374CF"/>
    <w:rsid w:val="00546606"/>
    <w:rsid w:val="0054700A"/>
    <w:rsid w:val="00550926"/>
    <w:rsid w:val="00557E30"/>
    <w:rsid w:val="00581280"/>
    <w:rsid w:val="00582720"/>
    <w:rsid w:val="005873C6"/>
    <w:rsid w:val="00597F3B"/>
    <w:rsid w:val="005A35C3"/>
    <w:rsid w:val="005A3873"/>
    <w:rsid w:val="005A4B6A"/>
    <w:rsid w:val="005D4549"/>
    <w:rsid w:val="005F4737"/>
    <w:rsid w:val="00616931"/>
    <w:rsid w:val="00624762"/>
    <w:rsid w:val="006263E4"/>
    <w:rsid w:val="006518FE"/>
    <w:rsid w:val="006544CD"/>
    <w:rsid w:val="0065551C"/>
    <w:rsid w:val="00660BA3"/>
    <w:rsid w:val="00661D9F"/>
    <w:rsid w:val="00674EF9"/>
    <w:rsid w:val="006856AF"/>
    <w:rsid w:val="006A266C"/>
    <w:rsid w:val="006C016E"/>
    <w:rsid w:val="006F0B49"/>
    <w:rsid w:val="006F39B2"/>
    <w:rsid w:val="00715C46"/>
    <w:rsid w:val="00741A36"/>
    <w:rsid w:val="00744A9D"/>
    <w:rsid w:val="0074577C"/>
    <w:rsid w:val="00773969"/>
    <w:rsid w:val="00796EF7"/>
    <w:rsid w:val="007C69E0"/>
    <w:rsid w:val="007E243C"/>
    <w:rsid w:val="0081647C"/>
    <w:rsid w:val="008338C0"/>
    <w:rsid w:val="00844849"/>
    <w:rsid w:val="00845038"/>
    <w:rsid w:val="008530F3"/>
    <w:rsid w:val="00861E7D"/>
    <w:rsid w:val="00863DD8"/>
    <w:rsid w:val="00867CC2"/>
    <w:rsid w:val="00877C9A"/>
    <w:rsid w:val="00877D1A"/>
    <w:rsid w:val="008A2194"/>
    <w:rsid w:val="008B06DF"/>
    <w:rsid w:val="008B0B6E"/>
    <w:rsid w:val="008B3201"/>
    <w:rsid w:val="008C0F69"/>
    <w:rsid w:val="008C71FB"/>
    <w:rsid w:val="008D7CE3"/>
    <w:rsid w:val="009077CD"/>
    <w:rsid w:val="00912BC6"/>
    <w:rsid w:val="00915506"/>
    <w:rsid w:val="009252ED"/>
    <w:rsid w:val="009278AA"/>
    <w:rsid w:val="00932E7B"/>
    <w:rsid w:val="009419E4"/>
    <w:rsid w:val="00945DE5"/>
    <w:rsid w:val="00964FDB"/>
    <w:rsid w:val="009818E0"/>
    <w:rsid w:val="00987B57"/>
    <w:rsid w:val="009907DE"/>
    <w:rsid w:val="0099595F"/>
    <w:rsid w:val="009A26F0"/>
    <w:rsid w:val="009A3A74"/>
    <w:rsid w:val="009B4B60"/>
    <w:rsid w:val="009C6F4D"/>
    <w:rsid w:val="009C706C"/>
    <w:rsid w:val="009D1BCB"/>
    <w:rsid w:val="009D5E44"/>
    <w:rsid w:val="009E489B"/>
    <w:rsid w:val="009E7445"/>
    <w:rsid w:val="00A1095F"/>
    <w:rsid w:val="00A10B10"/>
    <w:rsid w:val="00A34A4F"/>
    <w:rsid w:val="00A454A3"/>
    <w:rsid w:val="00A86567"/>
    <w:rsid w:val="00AB58D2"/>
    <w:rsid w:val="00AC7D7B"/>
    <w:rsid w:val="00AD51F4"/>
    <w:rsid w:val="00B11270"/>
    <w:rsid w:val="00B130AC"/>
    <w:rsid w:val="00B15B25"/>
    <w:rsid w:val="00B16CDA"/>
    <w:rsid w:val="00B3590D"/>
    <w:rsid w:val="00B40EA5"/>
    <w:rsid w:val="00B8574E"/>
    <w:rsid w:val="00BA1C3D"/>
    <w:rsid w:val="00BA661D"/>
    <w:rsid w:val="00BA7F1A"/>
    <w:rsid w:val="00BB5FA0"/>
    <w:rsid w:val="00BC1438"/>
    <w:rsid w:val="00BC2653"/>
    <w:rsid w:val="00BD119E"/>
    <w:rsid w:val="00BE16B5"/>
    <w:rsid w:val="00C0284E"/>
    <w:rsid w:val="00C22E78"/>
    <w:rsid w:val="00C2579E"/>
    <w:rsid w:val="00C31837"/>
    <w:rsid w:val="00C325E0"/>
    <w:rsid w:val="00C340EB"/>
    <w:rsid w:val="00C437CF"/>
    <w:rsid w:val="00C45918"/>
    <w:rsid w:val="00C56787"/>
    <w:rsid w:val="00C679B2"/>
    <w:rsid w:val="00C74392"/>
    <w:rsid w:val="00C806DD"/>
    <w:rsid w:val="00C86886"/>
    <w:rsid w:val="00CD5850"/>
    <w:rsid w:val="00CD7A2F"/>
    <w:rsid w:val="00D03A77"/>
    <w:rsid w:val="00D13DA3"/>
    <w:rsid w:val="00D525D8"/>
    <w:rsid w:val="00D70081"/>
    <w:rsid w:val="00D7165D"/>
    <w:rsid w:val="00D8220D"/>
    <w:rsid w:val="00D92207"/>
    <w:rsid w:val="00D9745B"/>
    <w:rsid w:val="00DA21BC"/>
    <w:rsid w:val="00DD5825"/>
    <w:rsid w:val="00DD5A52"/>
    <w:rsid w:val="00DD6C88"/>
    <w:rsid w:val="00DD7FDA"/>
    <w:rsid w:val="00E468A2"/>
    <w:rsid w:val="00E55990"/>
    <w:rsid w:val="00E65433"/>
    <w:rsid w:val="00E90EDE"/>
    <w:rsid w:val="00E97302"/>
    <w:rsid w:val="00EA2831"/>
    <w:rsid w:val="00EB57FE"/>
    <w:rsid w:val="00EB5B10"/>
    <w:rsid w:val="00EF7DF1"/>
    <w:rsid w:val="00F05C45"/>
    <w:rsid w:val="00F153D7"/>
    <w:rsid w:val="00F1635F"/>
    <w:rsid w:val="00F30C9D"/>
    <w:rsid w:val="00F51D57"/>
    <w:rsid w:val="00F7223C"/>
    <w:rsid w:val="00F8339A"/>
    <w:rsid w:val="00F851CC"/>
    <w:rsid w:val="00FA4FFB"/>
    <w:rsid w:val="00FC000B"/>
    <w:rsid w:val="00FD01A6"/>
    <w:rsid w:val="00FE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7049AA1"/>
  <w15:chartTrackingRefBased/>
  <w15:docId w15:val="{EB587161-ED1C-487E-B2B7-5F3BE53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9A"/>
  </w:style>
  <w:style w:type="paragraph" w:styleId="Heading1">
    <w:name w:val="heading 1"/>
    <w:basedOn w:val="Normal"/>
    <w:next w:val="Normal"/>
    <w:link w:val="Heading1Char"/>
    <w:uiPriority w:val="9"/>
    <w:qFormat/>
    <w:rsid w:val="003B1BF4"/>
    <w:pPr>
      <w:keepNext/>
      <w:keepLines/>
      <w:spacing w:before="240" w:after="240" w:line="240" w:lineRule="auto"/>
      <w:outlineLvl w:val="0"/>
    </w:pPr>
    <w:rPr>
      <w:rFonts w:ascii="Times New Roman" w:eastAsiaTheme="majorEastAsia" w:hAnsi="Times New Roman"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5F4737"/>
    <w:pPr>
      <w:keepNext/>
      <w:keepLines/>
      <w:spacing w:before="160"/>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autoRedefine/>
    <w:uiPriority w:val="9"/>
    <w:unhideWhenUsed/>
    <w:qFormat/>
    <w:rsid w:val="00221943"/>
    <w:pPr>
      <w:keepNext/>
      <w:keepLines/>
      <w:spacing w:before="40" w:after="0" w:line="259" w:lineRule="auto"/>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link w:val="Heading4Char"/>
    <w:uiPriority w:val="9"/>
    <w:qFormat/>
    <w:rsid w:val="00651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FE"/>
    <w:rPr>
      <w:b/>
      <w:bCs/>
    </w:rPr>
  </w:style>
  <w:style w:type="character" w:customStyle="1" w:styleId="Heading4Char">
    <w:name w:val="Heading 4 Char"/>
    <w:basedOn w:val="DefaultParagraphFont"/>
    <w:link w:val="Heading4"/>
    <w:uiPriority w:val="9"/>
    <w:rsid w:val="006518FE"/>
    <w:rPr>
      <w:rFonts w:ascii="Times New Roman" w:eastAsia="Times New Roman" w:hAnsi="Times New Roman" w:cs="Times New Roman"/>
      <w:b/>
      <w:bCs/>
      <w:sz w:val="24"/>
      <w:szCs w:val="24"/>
    </w:rPr>
  </w:style>
  <w:style w:type="table" w:styleId="TableGridLight">
    <w:name w:val="Grid Table Light"/>
    <w:basedOn w:val="TableNormal"/>
    <w:uiPriority w:val="40"/>
    <w:rsid w:val="005374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59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63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DD8"/>
  </w:style>
  <w:style w:type="paragraph" w:styleId="Footer">
    <w:name w:val="footer"/>
    <w:basedOn w:val="Normal"/>
    <w:link w:val="FooterChar"/>
    <w:uiPriority w:val="99"/>
    <w:unhideWhenUsed/>
    <w:rsid w:val="0086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DD8"/>
  </w:style>
  <w:style w:type="character" w:styleId="Hyperlink">
    <w:name w:val="Hyperlink"/>
    <w:basedOn w:val="DefaultParagraphFont"/>
    <w:uiPriority w:val="99"/>
    <w:unhideWhenUsed/>
    <w:rsid w:val="00945DE5"/>
    <w:rPr>
      <w:color w:val="0563C1"/>
      <w:u w:val="single"/>
    </w:rPr>
  </w:style>
  <w:style w:type="table" w:styleId="GridTable4-Accent2">
    <w:name w:val="Grid Table 4 Accent 2"/>
    <w:basedOn w:val="TableNormal"/>
    <w:uiPriority w:val="49"/>
    <w:rsid w:val="00945DE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loonText">
    <w:name w:val="Balloon Text"/>
    <w:basedOn w:val="Normal"/>
    <w:link w:val="BalloonTextChar"/>
    <w:uiPriority w:val="99"/>
    <w:semiHidden/>
    <w:unhideWhenUsed/>
    <w:rsid w:val="00BC1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438"/>
    <w:rPr>
      <w:rFonts w:ascii="Segoe UI" w:hAnsi="Segoe UI" w:cs="Segoe UI"/>
      <w:sz w:val="18"/>
      <w:szCs w:val="18"/>
    </w:rPr>
  </w:style>
  <w:style w:type="character" w:customStyle="1" w:styleId="Heading1Char">
    <w:name w:val="Heading 1 Char"/>
    <w:basedOn w:val="DefaultParagraphFont"/>
    <w:link w:val="Heading1"/>
    <w:uiPriority w:val="9"/>
    <w:rsid w:val="003B1BF4"/>
    <w:rPr>
      <w:rFonts w:ascii="Times New Roman" w:eastAsiaTheme="majorEastAsia" w:hAnsi="Times New Roman" w:cstheme="majorBidi"/>
      <w:b/>
      <w:color w:val="2F5496" w:themeColor="accent1" w:themeShade="BF"/>
      <w:sz w:val="24"/>
      <w:szCs w:val="32"/>
    </w:rPr>
  </w:style>
  <w:style w:type="character" w:customStyle="1" w:styleId="Heading2Char">
    <w:name w:val="Heading 2 Char"/>
    <w:basedOn w:val="DefaultParagraphFont"/>
    <w:link w:val="Heading2"/>
    <w:uiPriority w:val="9"/>
    <w:rsid w:val="005F4737"/>
    <w:rPr>
      <w:rFonts w:ascii="Times New Roman" w:eastAsiaTheme="majorEastAsia" w:hAnsi="Times New Roman" w:cs="Times New Roman"/>
      <w:b/>
      <w:sz w:val="28"/>
      <w:szCs w:val="26"/>
    </w:rPr>
  </w:style>
  <w:style w:type="paragraph" w:styleId="NoSpacing">
    <w:name w:val="No Spacing"/>
    <w:link w:val="NoSpacingChar"/>
    <w:uiPriority w:val="1"/>
    <w:qFormat/>
    <w:rsid w:val="000602F7"/>
    <w:pPr>
      <w:spacing w:after="0" w:line="240" w:lineRule="auto"/>
    </w:pPr>
    <w:rPr>
      <w:rFonts w:eastAsiaTheme="minorEastAsia"/>
    </w:rPr>
  </w:style>
  <w:style w:type="character" w:customStyle="1" w:styleId="NoSpacingChar">
    <w:name w:val="No Spacing Char"/>
    <w:basedOn w:val="DefaultParagraphFont"/>
    <w:link w:val="NoSpacing"/>
    <w:uiPriority w:val="1"/>
    <w:rsid w:val="000602F7"/>
    <w:rPr>
      <w:rFonts w:eastAsiaTheme="minorEastAsia"/>
    </w:rPr>
  </w:style>
  <w:style w:type="paragraph" w:styleId="ListParagraph">
    <w:name w:val="List Paragraph"/>
    <w:basedOn w:val="Normal"/>
    <w:uiPriority w:val="34"/>
    <w:qFormat/>
    <w:rsid w:val="00061C29"/>
    <w:pPr>
      <w:spacing w:after="0" w:line="240" w:lineRule="auto"/>
      <w:ind w:left="720"/>
      <w:contextualSpacing/>
      <w:jc w:val="both"/>
    </w:pPr>
  </w:style>
  <w:style w:type="character" w:styleId="PlaceholderText">
    <w:name w:val="Placeholder Text"/>
    <w:basedOn w:val="DefaultParagraphFont"/>
    <w:uiPriority w:val="99"/>
    <w:semiHidden/>
    <w:rsid w:val="002E64C6"/>
    <w:rPr>
      <w:color w:val="808080"/>
    </w:rPr>
  </w:style>
  <w:style w:type="table" w:styleId="PlainTable2">
    <w:name w:val="Plain Table 2"/>
    <w:basedOn w:val="TableNormal"/>
    <w:uiPriority w:val="42"/>
    <w:rsid w:val="00130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hitespace-normal">
    <w:name w:val="whitespace-normal"/>
    <w:basedOn w:val="Normal"/>
    <w:rsid w:val="00867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1943"/>
    <w:rPr>
      <w:rFonts w:asciiTheme="majorHAnsi" w:eastAsiaTheme="majorEastAsia" w:hAnsiTheme="majorHAnsi" w:cstheme="majorBidi"/>
      <w:b/>
      <w:color w:val="000000" w:themeColor="text1"/>
      <w:sz w:val="24"/>
      <w:szCs w:val="24"/>
    </w:rPr>
  </w:style>
  <w:style w:type="table" w:styleId="TableGrid">
    <w:name w:val="Table Grid"/>
    <w:basedOn w:val="TableNormal"/>
    <w:uiPriority w:val="39"/>
    <w:rsid w:val="0022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219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22194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ljs-keyword">
    <w:name w:val="hljs-keyword"/>
    <w:basedOn w:val="DefaultParagraphFont"/>
    <w:rsid w:val="00221943"/>
  </w:style>
  <w:style w:type="character" w:customStyle="1" w:styleId="hljs-builtin">
    <w:name w:val="hljs-built_in"/>
    <w:basedOn w:val="DefaultParagraphFont"/>
    <w:rsid w:val="00221943"/>
  </w:style>
  <w:style w:type="table" w:styleId="PlainTable3">
    <w:name w:val="Plain Table 3"/>
    <w:basedOn w:val="TableNormal"/>
    <w:uiPriority w:val="43"/>
    <w:rsid w:val="002219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219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hitespace-pre-wrap">
    <w:name w:val="whitespace-pre-wrap"/>
    <w:basedOn w:val="Normal"/>
    <w:rsid w:val="002219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empty">
    <w:name w:val="is-empty"/>
    <w:basedOn w:val="Normal"/>
    <w:rsid w:val="0022194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338C0"/>
    <w:pPr>
      <w:spacing w:after="0" w:line="259" w:lineRule="auto"/>
      <w:outlineLvl w:val="9"/>
    </w:pPr>
    <w:rPr>
      <w:rFonts w:asciiTheme="majorHAnsi" w:hAnsiTheme="majorHAnsi"/>
      <w:b w:val="0"/>
      <w:sz w:val="32"/>
    </w:rPr>
  </w:style>
  <w:style w:type="paragraph" w:styleId="TOC2">
    <w:name w:val="toc 2"/>
    <w:basedOn w:val="Normal"/>
    <w:next w:val="Normal"/>
    <w:autoRedefine/>
    <w:uiPriority w:val="39"/>
    <w:unhideWhenUsed/>
    <w:rsid w:val="008338C0"/>
    <w:pPr>
      <w:spacing w:after="100"/>
      <w:ind w:left="220"/>
    </w:pPr>
  </w:style>
  <w:style w:type="paragraph" w:styleId="TOC3">
    <w:name w:val="toc 3"/>
    <w:basedOn w:val="Normal"/>
    <w:next w:val="Normal"/>
    <w:autoRedefine/>
    <w:uiPriority w:val="39"/>
    <w:unhideWhenUsed/>
    <w:rsid w:val="008338C0"/>
    <w:pPr>
      <w:spacing w:after="100"/>
      <w:ind w:left="440"/>
    </w:pPr>
  </w:style>
  <w:style w:type="paragraph" w:styleId="TOC1">
    <w:name w:val="toc 1"/>
    <w:basedOn w:val="Normal"/>
    <w:next w:val="Normal"/>
    <w:autoRedefine/>
    <w:uiPriority w:val="39"/>
    <w:unhideWhenUsed/>
    <w:rsid w:val="008338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14432370">
      <w:bodyDiv w:val="1"/>
      <w:marLeft w:val="0"/>
      <w:marRight w:val="0"/>
      <w:marTop w:val="0"/>
      <w:marBottom w:val="0"/>
      <w:divBdr>
        <w:top w:val="none" w:sz="0" w:space="0" w:color="auto"/>
        <w:left w:val="none" w:sz="0" w:space="0" w:color="auto"/>
        <w:bottom w:val="none" w:sz="0" w:space="0" w:color="auto"/>
        <w:right w:val="none" w:sz="0" w:space="0" w:color="auto"/>
      </w:divBdr>
    </w:div>
    <w:div w:id="19281240">
      <w:bodyDiv w:val="1"/>
      <w:marLeft w:val="0"/>
      <w:marRight w:val="0"/>
      <w:marTop w:val="0"/>
      <w:marBottom w:val="0"/>
      <w:divBdr>
        <w:top w:val="none" w:sz="0" w:space="0" w:color="auto"/>
        <w:left w:val="none" w:sz="0" w:space="0" w:color="auto"/>
        <w:bottom w:val="none" w:sz="0" w:space="0" w:color="auto"/>
        <w:right w:val="none" w:sz="0" w:space="0" w:color="auto"/>
      </w:divBdr>
    </w:div>
    <w:div w:id="126510935">
      <w:bodyDiv w:val="1"/>
      <w:marLeft w:val="0"/>
      <w:marRight w:val="0"/>
      <w:marTop w:val="0"/>
      <w:marBottom w:val="0"/>
      <w:divBdr>
        <w:top w:val="none" w:sz="0" w:space="0" w:color="auto"/>
        <w:left w:val="none" w:sz="0" w:space="0" w:color="auto"/>
        <w:bottom w:val="none" w:sz="0" w:space="0" w:color="auto"/>
        <w:right w:val="none" w:sz="0" w:space="0" w:color="auto"/>
      </w:divBdr>
    </w:div>
    <w:div w:id="200482722">
      <w:bodyDiv w:val="1"/>
      <w:marLeft w:val="0"/>
      <w:marRight w:val="0"/>
      <w:marTop w:val="0"/>
      <w:marBottom w:val="0"/>
      <w:divBdr>
        <w:top w:val="none" w:sz="0" w:space="0" w:color="auto"/>
        <w:left w:val="none" w:sz="0" w:space="0" w:color="auto"/>
        <w:bottom w:val="none" w:sz="0" w:space="0" w:color="auto"/>
        <w:right w:val="none" w:sz="0" w:space="0" w:color="auto"/>
      </w:divBdr>
    </w:div>
    <w:div w:id="258375181">
      <w:bodyDiv w:val="1"/>
      <w:marLeft w:val="0"/>
      <w:marRight w:val="0"/>
      <w:marTop w:val="0"/>
      <w:marBottom w:val="0"/>
      <w:divBdr>
        <w:top w:val="none" w:sz="0" w:space="0" w:color="auto"/>
        <w:left w:val="none" w:sz="0" w:space="0" w:color="auto"/>
        <w:bottom w:val="none" w:sz="0" w:space="0" w:color="auto"/>
        <w:right w:val="none" w:sz="0" w:space="0" w:color="auto"/>
      </w:divBdr>
    </w:div>
    <w:div w:id="269167470">
      <w:bodyDiv w:val="1"/>
      <w:marLeft w:val="0"/>
      <w:marRight w:val="0"/>
      <w:marTop w:val="0"/>
      <w:marBottom w:val="0"/>
      <w:divBdr>
        <w:top w:val="none" w:sz="0" w:space="0" w:color="auto"/>
        <w:left w:val="none" w:sz="0" w:space="0" w:color="auto"/>
        <w:bottom w:val="none" w:sz="0" w:space="0" w:color="auto"/>
        <w:right w:val="none" w:sz="0" w:space="0" w:color="auto"/>
      </w:divBdr>
    </w:div>
    <w:div w:id="370693168">
      <w:bodyDiv w:val="1"/>
      <w:marLeft w:val="0"/>
      <w:marRight w:val="0"/>
      <w:marTop w:val="0"/>
      <w:marBottom w:val="0"/>
      <w:divBdr>
        <w:top w:val="none" w:sz="0" w:space="0" w:color="auto"/>
        <w:left w:val="none" w:sz="0" w:space="0" w:color="auto"/>
        <w:bottom w:val="none" w:sz="0" w:space="0" w:color="auto"/>
        <w:right w:val="none" w:sz="0" w:space="0" w:color="auto"/>
      </w:divBdr>
    </w:div>
    <w:div w:id="384064913">
      <w:bodyDiv w:val="1"/>
      <w:marLeft w:val="0"/>
      <w:marRight w:val="0"/>
      <w:marTop w:val="0"/>
      <w:marBottom w:val="0"/>
      <w:divBdr>
        <w:top w:val="none" w:sz="0" w:space="0" w:color="auto"/>
        <w:left w:val="none" w:sz="0" w:space="0" w:color="auto"/>
        <w:bottom w:val="none" w:sz="0" w:space="0" w:color="auto"/>
        <w:right w:val="none" w:sz="0" w:space="0" w:color="auto"/>
      </w:divBdr>
    </w:div>
    <w:div w:id="433135874">
      <w:bodyDiv w:val="1"/>
      <w:marLeft w:val="0"/>
      <w:marRight w:val="0"/>
      <w:marTop w:val="0"/>
      <w:marBottom w:val="0"/>
      <w:divBdr>
        <w:top w:val="none" w:sz="0" w:space="0" w:color="auto"/>
        <w:left w:val="none" w:sz="0" w:space="0" w:color="auto"/>
        <w:bottom w:val="none" w:sz="0" w:space="0" w:color="auto"/>
        <w:right w:val="none" w:sz="0" w:space="0" w:color="auto"/>
      </w:divBdr>
    </w:div>
    <w:div w:id="436758168">
      <w:bodyDiv w:val="1"/>
      <w:marLeft w:val="0"/>
      <w:marRight w:val="0"/>
      <w:marTop w:val="0"/>
      <w:marBottom w:val="0"/>
      <w:divBdr>
        <w:top w:val="none" w:sz="0" w:space="0" w:color="auto"/>
        <w:left w:val="none" w:sz="0" w:space="0" w:color="auto"/>
        <w:bottom w:val="none" w:sz="0" w:space="0" w:color="auto"/>
        <w:right w:val="none" w:sz="0" w:space="0" w:color="auto"/>
      </w:divBdr>
    </w:div>
    <w:div w:id="551114666">
      <w:bodyDiv w:val="1"/>
      <w:marLeft w:val="0"/>
      <w:marRight w:val="0"/>
      <w:marTop w:val="0"/>
      <w:marBottom w:val="0"/>
      <w:divBdr>
        <w:top w:val="none" w:sz="0" w:space="0" w:color="auto"/>
        <w:left w:val="none" w:sz="0" w:space="0" w:color="auto"/>
        <w:bottom w:val="none" w:sz="0" w:space="0" w:color="auto"/>
        <w:right w:val="none" w:sz="0" w:space="0" w:color="auto"/>
      </w:divBdr>
    </w:div>
    <w:div w:id="578639696">
      <w:bodyDiv w:val="1"/>
      <w:marLeft w:val="0"/>
      <w:marRight w:val="0"/>
      <w:marTop w:val="0"/>
      <w:marBottom w:val="0"/>
      <w:divBdr>
        <w:top w:val="none" w:sz="0" w:space="0" w:color="auto"/>
        <w:left w:val="none" w:sz="0" w:space="0" w:color="auto"/>
        <w:bottom w:val="none" w:sz="0" w:space="0" w:color="auto"/>
        <w:right w:val="none" w:sz="0" w:space="0" w:color="auto"/>
      </w:divBdr>
    </w:div>
    <w:div w:id="767698591">
      <w:bodyDiv w:val="1"/>
      <w:marLeft w:val="0"/>
      <w:marRight w:val="0"/>
      <w:marTop w:val="0"/>
      <w:marBottom w:val="0"/>
      <w:divBdr>
        <w:top w:val="none" w:sz="0" w:space="0" w:color="auto"/>
        <w:left w:val="none" w:sz="0" w:space="0" w:color="auto"/>
        <w:bottom w:val="none" w:sz="0" w:space="0" w:color="auto"/>
        <w:right w:val="none" w:sz="0" w:space="0" w:color="auto"/>
      </w:divBdr>
    </w:div>
    <w:div w:id="768159989">
      <w:bodyDiv w:val="1"/>
      <w:marLeft w:val="0"/>
      <w:marRight w:val="0"/>
      <w:marTop w:val="0"/>
      <w:marBottom w:val="0"/>
      <w:divBdr>
        <w:top w:val="none" w:sz="0" w:space="0" w:color="auto"/>
        <w:left w:val="none" w:sz="0" w:space="0" w:color="auto"/>
        <w:bottom w:val="none" w:sz="0" w:space="0" w:color="auto"/>
        <w:right w:val="none" w:sz="0" w:space="0" w:color="auto"/>
      </w:divBdr>
    </w:div>
    <w:div w:id="815924081">
      <w:bodyDiv w:val="1"/>
      <w:marLeft w:val="0"/>
      <w:marRight w:val="0"/>
      <w:marTop w:val="0"/>
      <w:marBottom w:val="0"/>
      <w:divBdr>
        <w:top w:val="none" w:sz="0" w:space="0" w:color="auto"/>
        <w:left w:val="none" w:sz="0" w:space="0" w:color="auto"/>
        <w:bottom w:val="none" w:sz="0" w:space="0" w:color="auto"/>
        <w:right w:val="none" w:sz="0" w:space="0" w:color="auto"/>
      </w:divBdr>
    </w:div>
    <w:div w:id="842400692">
      <w:bodyDiv w:val="1"/>
      <w:marLeft w:val="0"/>
      <w:marRight w:val="0"/>
      <w:marTop w:val="0"/>
      <w:marBottom w:val="0"/>
      <w:divBdr>
        <w:top w:val="none" w:sz="0" w:space="0" w:color="auto"/>
        <w:left w:val="none" w:sz="0" w:space="0" w:color="auto"/>
        <w:bottom w:val="none" w:sz="0" w:space="0" w:color="auto"/>
        <w:right w:val="none" w:sz="0" w:space="0" w:color="auto"/>
      </w:divBdr>
    </w:div>
    <w:div w:id="857735981">
      <w:bodyDiv w:val="1"/>
      <w:marLeft w:val="0"/>
      <w:marRight w:val="0"/>
      <w:marTop w:val="0"/>
      <w:marBottom w:val="0"/>
      <w:divBdr>
        <w:top w:val="none" w:sz="0" w:space="0" w:color="auto"/>
        <w:left w:val="none" w:sz="0" w:space="0" w:color="auto"/>
        <w:bottom w:val="none" w:sz="0" w:space="0" w:color="auto"/>
        <w:right w:val="none" w:sz="0" w:space="0" w:color="auto"/>
      </w:divBdr>
    </w:div>
    <w:div w:id="885684620">
      <w:bodyDiv w:val="1"/>
      <w:marLeft w:val="0"/>
      <w:marRight w:val="0"/>
      <w:marTop w:val="0"/>
      <w:marBottom w:val="0"/>
      <w:divBdr>
        <w:top w:val="none" w:sz="0" w:space="0" w:color="auto"/>
        <w:left w:val="none" w:sz="0" w:space="0" w:color="auto"/>
        <w:bottom w:val="none" w:sz="0" w:space="0" w:color="auto"/>
        <w:right w:val="none" w:sz="0" w:space="0" w:color="auto"/>
      </w:divBdr>
    </w:div>
    <w:div w:id="899704952">
      <w:bodyDiv w:val="1"/>
      <w:marLeft w:val="0"/>
      <w:marRight w:val="0"/>
      <w:marTop w:val="0"/>
      <w:marBottom w:val="0"/>
      <w:divBdr>
        <w:top w:val="none" w:sz="0" w:space="0" w:color="auto"/>
        <w:left w:val="none" w:sz="0" w:space="0" w:color="auto"/>
        <w:bottom w:val="none" w:sz="0" w:space="0" w:color="auto"/>
        <w:right w:val="none" w:sz="0" w:space="0" w:color="auto"/>
      </w:divBdr>
    </w:div>
    <w:div w:id="975599699">
      <w:bodyDiv w:val="1"/>
      <w:marLeft w:val="0"/>
      <w:marRight w:val="0"/>
      <w:marTop w:val="0"/>
      <w:marBottom w:val="0"/>
      <w:divBdr>
        <w:top w:val="none" w:sz="0" w:space="0" w:color="auto"/>
        <w:left w:val="none" w:sz="0" w:space="0" w:color="auto"/>
        <w:bottom w:val="none" w:sz="0" w:space="0" w:color="auto"/>
        <w:right w:val="none" w:sz="0" w:space="0" w:color="auto"/>
      </w:divBdr>
    </w:div>
    <w:div w:id="986130511">
      <w:bodyDiv w:val="1"/>
      <w:marLeft w:val="0"/>
      <w:marRight w:val="0"/>
      <w:marTop w:val="0"/>
      <w:marBottom w:val="0"/>
      <w:divBdr>
        <w:top w:val="none" w:sz="0" w:space="0" w:color="auto"/>
        <w:left w:val="none" w:sz="0" w:space="0" w:color="auto"/>
        <w:bottom w:val="none" w:sz="0" w:space="0" w:color="auto"/>
        <w:right w:val="none" w:sz="0" w:space="0" w:color="auto"/>
      </w:divBdr>
    </w:div>
    <w:div w:id="1055472332">
      <w:bodyDiv w:val="1"/>
      <w:marLeft w:val="0"/>
      <w:marRight w:val="0"/>
      <w:marTop w:val="0"/>
      <w:marBottom w:val="0"/>
      <w:divBdr>
        <w:top w:val="none" w:sz="0" w:space="0" w:color="auto"/>
        <w:left w:val="none" w:sz="0" w:space="0" w:color="auto"/>
        <w:bottom w:val="none" w:sz="0" w:space="0" w:color="auto"/>
        <w:right w:val="none" w:sz="0" w:space="0" w:color="auto"/>
      </w:divBdr>
    </w:div>
    <w:div w:id="1060906848">
      <w:bodyDiv w:val="1"/>
      <w:marLeft w:val="0"/>
      <w:marRight w:val="0"/>
      <w:marTop w:val="0"/>
      <w:marBottom w:val="0"/>
      <w:divBdr>
        <w:top w:val="none" w:sz="0" w:space="0" w:color="auto"/>
        <w:left w:val="none" w:sz="0" w:space="0" w:color="auto"/>
        <w:bottom w:val="none" w:sz="0" w:space="0" w:color="auto"/>
        <w:right w:val="none" w:sz="0" w:space="0" w:color="auto"/>
      </w:divBdr>
    </w:div>
    <w:div w:id="1066496034">
      <w:bodyDiv w:val="1"/>
      <w:marLeft w:val="0"/>
      <w:marRight w:val="0"/>
      <w:marTop w:val="0"/>
      <w:marBottom w:val="0"/>
      <w:divBdr>
        <w:top w:val="none" w:sz="0" w:space="0" w:color="auto"/>
        <w:left w:val="none" w:sz="0" w:space="0" w:color="auto"/>
        <w:bottom w:val="none" w:sz="0" w:space="0" w:color="auto"/>
        <w:right w:val="none" w:sz="0" w:space="0" w:color="auto"/>
      </w:divBdr>
    </w:div>
    <w:div w:id="1114128312">
      <w:bodyDiv w:val="1"/>
      <w:marLeft w:val="0"/>
      <w:marRight w:val="0"/>
      <w:marTop w:val="0"/>
      <w:marBottom w:val="0"/>
      <w:divBdr>
        <w:top w:val="none" w:sz="0" w:space="0" w:color="auto"/>
        <w:left w:val="none" w:sz="0" w:space="0" w:color="auto"/>
        <w:bottom w:val="none" w:sz="0" w:space="0" w:color="auto"/>
        <w:right w:val="none" w:sz="0" w:space="0" w:color="auto"/>
      </w:divBdr>
    </w:div>
    <w:div w:id="1175805528">
      <w:bodyDiv w:val="1"/>
      <w:marLeft w:val="0"/>
      <w:marRight w:val="0"/>
      <w:marTop w:val="0"/>
      <w:marBottom w:val="0"/>
      <w:divBdr>
        <w:top w:val="none" w:sz="0" w:space="0" w:color="auto"/>
        <w:left w:val="none" w:sz="0" w:space="0" w:color="auto"/>
        <w:bottom w:val="none" w:sz="0" w:space="0" w:color="auto"/>
        <w:right w:val="none" w:sz="0" w:space="0" w:color="auto"/>
      </w:divBdr>
    </w:div>
    <w:div w:id="1281911120">
      <w:bodyDiv w:val="1"/>
      <w:marLeft w:val="0"/>
      <w:marRight w:val="0"/>
      <w:marTop w:val="0"/>
      <w:marBottom w:val="0"/>
      <w:divBdr>
        <w:top w:val="none" w:sz="0" w:space="0" w:color="auto"/>
        <w:left w:val="none" w:sz="0" w:space="0" w:color="auto"/>
        <w:bottom w:val="none" w:sz="0" w:space="0" w:color="auto"/>
        <w:right w:val="none" w:sz="0" w:space="0" w:color="auto"/>
      </w:divBdr>
    </w:div>
    <w:div w:id="1358236381">
      <w:bodyDiv w:val="1"/>
      <w:marLeft w:val="0"/>
      <w:marRight w:val="0"/>
      <w:marTop w:val="0"/>
      <w:marBottom w:val="0"/>
      <w:divBdr>
        <w:top w:val="none" w:sz="0" w:space="0" w:color="auto"/>
        <w:left w:val="none" w:sz="0" w:space="0" w:color="auto"/>
        <w:bottom w:val="none" w:sz="0" w:space="0" w:color="auto"/>
        <w:right w:val="none" w:sz="0" w:space="0" w:color="auto"/>
      </w:divBdr>
    </w:div>
    <w:div w:id="1398362785">
      <w:bodyDiv w:val="1"/>
      <w:marLeft w:val="0"/>
      <w:marRight w:val="0"/>
      <w:marTop w:val="0"/>
      <w:marBottom w:val="0"/>
      <w:divBdr>
        <w:top w:val="none" w:sz="0" w:space="0" w:color="auto"/>
        <w:left w:val="none" w:sz="0" w:space="0" w:color="auto"/>
        <w:bottom w:val="none" w:sz="0" w:space="0" w:color="auto"/>
        <w:right w:val="none" w:sz="0" w:space="0" w:color="auto"/>
      </w:divBdr>
    </w:div>
    <w:div w:id="1403334745">
      <w:bodyDiv w:val="1"/>
      <w:marLeft w:val="0"/>
      <w:marRight w:val="0"/>
      <w:marTop w:val="0"/>
      <w:marBottom w:val="0"/>
      <w:divBdr>
        <w:top w:val="none" w:sz="0" w:space="0" w:color="auto"/>
        <w:left w:val="none" w:sz="0" w:space="0" w:color="auto"/>
        <w:bottom w:val="none" w:sz="0" w:space="0" w:color="auto"/>
        <w:right w:val="none" w:sz="0" w:space="0" w:color="auto"/>
      </w:divBdr>
    </w:div>
    <w:div w:id="1512836110">
      <w:bodyDiv w:val="1"/>
      <w:marLeft w:val="0"/>
      <w:marRight w:val="0"/>
      <w:marTop w:val="0"/>
      <w:marBottom w:val="0"/>
      <w:divBdr>
        <w:top w:val="none" w:sz="0" w:space="0" w:color="auto"/>
        <w:left w:val="none" w:sz="0" w:space="0" w:color="auto"/>
        <w:bottom w:val="none" w:sz="0" w:space="0" w:color="auto"/>
        <w:right w:val="none" w:sz="0" w:space="0" w:color="auto"/>
      </w:divBdr>
    </w:div>
    <w:div w:id="1545946320">
      <w:bodyDiv w:val="1"/>
      <w:marLeft w:val="0"/>
      <w:marRight w:val="0"/>
      <w:marTop w:val="0"/>
      <w:marBottom w:val="0"/>
      <w:divBdr>
        <w:top w:val="none" w:sz="0" w:space="0" w:color="auto"/>
        <w:left w:val="none" w:sz="0" w:space="0" w:color="auto"/>
        <w:bottom w:val="none" w:sz="0" w:space="0" w:color="auto"/>
        <w:right w:val="none" w:sz="0" w:space="0" w:color="auto"/>
      </w:divBdr>
    </w:div>
    <w:div w:id="1596088018">
      <w:bodyDiv w:val="1"/>
      <w:marLeft w:val="0"/>
      <w:marRight w:val="0"/>
      <w:marTop w:val="0"/>
      <w:marBottom w:val="0"/>
      <w:divBdr>
        <w:top w:val="none" w:sz="0" w:space="0" w:color="auto"/>
        <w:left w:val="none" w:sz="0" w:space="0" w:color="auto"/>
        <w:bottom w:val="none" w:sz="0" w:space="0" w:color="auto"/>
        <w:right w:val="none" w:sz="0" w:space="0" w:color="auto"/>
      </w:divBdr>
    </w:div>
    <w:div w:id="1641380299">
      <w:bodyDiv w:val="1"/>
      <w:marLeft w:val="0"/>
      <w:marRight w:val="0"/>
      <w:marTop w:val="0"/>
      <w:marBottom w:val="0"/>
      <w:divBdr>
        <w:top w:val="none" w:sz="0" w:space="0" w:color="auto"/>
        <w:left w:val="none" w:sz="0" w:space="0" w:color="auto"/>
        <w:bottom w:val="none" w:sz="0" w:space="0" w:color="auto"/>
        <w:right w:val="none" w:sz="0" w:space="0" w:color="auto"/>
      </w:divBdr>
    </w:div>
    <w:div w:id="1656571223">
      <w:bodyDiv w:val="1"/>
      <w:marLeft w:val="0"/>
      <w:marRight w:val="0"/>
      <w:marTop w:val="0"/>
      <w:marBottom w:val="0"/>
      <w:divBdr>
        <w:top w:val="none" w:sz="0" w:space="0" w:color="auto"/>
        <w:left w:val="none" w:sz="0" w:space="0" w:color="auto"/>
        <w:bottom w:val="none" w:sz="0" w:space="0" w:color="auto"/>
        <w:right w:val="none" w:sz="0" w:space="0" w:color="auto"/>
      </w:divBdr>
    </w:div>
    <w:div w:id="1753576945">
      <w:bodyDiv w:val="1"/>
      <w:marLeft w:val="0"/>
      <w:marRight w:val="0"/>
      <w:marTop w:val="0"/>
      <w:marBottom w:val="0"/>
      <w:divBdr>
        <w:top w:val="none" w:sz="0" w:space="0" w:color="auto"/>
        <w:left w:val="none" w:sz="0" w:space="0" w:color="auto"/>
        <w:bottom w:val="none" w:sz="0" w:space="0" w:color="auto"/>
        <w:right w:val="none" w:sz="0" w:space="0" w:color="auto"/>
      </w:divBdr>
    </w:div>
    <w:div w:id="1844590647">
      <w:bodyDiv w:val="1"/>
      <w:marLeft w:val="0"/>
      <w:marRight w:val="0"/>
      <w:marTop w:val="0"/>
      <w:marBottom w:val="0"/>
      <w:divBdr>
        <w:top w:val="none" w:sz="0" w:space="0" w:color="auto"/>
        <w:left w:val="none" w:sz="0" w:space="0" w:color="auto"/>
        <w:bottom w:val="none" w:sz="0" w:space="0" w:color="auto"/>
        <w:right w:val="none" w:sz="0" w:space="0" w:color="auto"/>
      </w:divBdr>
    </w:div>
    <w:div w:id="1855921335">
      <w:bodyDiv w:val="1"/>
      <w:marLeft w:val="0"/>
      <w:marRight w:val="0"/>
      <w:marTop w:val="0"/>
      <w:marBottom w:val="0"/>
      <w:divBdr>
        <w:top w:val="none" w:sz="0" w:space="0" w:color="auto"/>
        <w:left w:val="none" w:sz="0" w:space="0" w:color="auto"/>
        <w:bottom w:val="none" w:sz="0" w:space="0" w:color="auto"/>
        <w:right w:val="none" w:sz="0" w:space="0" w:color="auto"/>
      </w:divBdr>
    </w:div>
    <w:div w:id="1898470228">
      <w:bodyDiv w:val="1"/>
      <w:marLeft w:val="0"/>
      <w:marRight w:val="0"/>
      <w:marTop w:val="0"/>
      <w:marBottom w:val="0"/>
      <w:divBdr>
        <w:top w:val="none" w:sz="0" w:space="0" w:color="auto"/>
        <w:left w:val="none" w:sz="0" w:space="0" w:color="auto"/>
        <w:bottom w:val="none" w:sz="0" w:space="0" w:color="auto"/>
        <w:right w:val="none" w:sz="0" w:space="0" w:color="auto"/>
      </w:divBdr>
    </w:div>
    <w:div w:id="1923488949">
      <w:bodyDiv w:val="1"/>
      <w:marLeft w:val="0"/>
      <w:marRight w:val="0"/>
      <w:marTop w:val="0"/>
      <w:marBottom w:val="0"/>
      <w:divBdr>
        <w:top w:val="none" w:sz="0" w:space="0" w:color="auto"/>
        <w:left w:val="none" w:sz="0" w:space="0" w:color="auto"/>
        <w:bottom w:val="none" w:sz="0" w:space="0" w:color="auto"/>
        <w:right w:val="none" w:sz="0" w:space="0" w:color="auto"/>
      </w:divBdr>
    </w:div>
    <w:div w:id="1932277232">
      <w:bodyDiv w:val="1"/>
      <w:marLeft w:val="0"/>
      <w:marRight w:val="0"/>
      <w:marTop w:val="0"/>
      <w:marBottom w:val="0"/>
      <w:divBdr>
        <w:top w:val="none" w:sz="0" w:space="0" w:color="auto"/>
        <w:left w:val="none" w:sz="0" w:space="0" w:color="auto"/>
        <w:bottom w:val="none" w:sz="0" w:space="0" w:color="auto"/>
        <w:right w:val="none" w:sz="0" w:space="0" w:color="auto"/>
      </w:divBdr>
    </w:div>
    <w:div w:id="1958170745">
      <w:bodyDiv w:val="1"/>
      <w:marLeft w:val="0"/>
      <w:marRight w:val="0"/>
      <w:marTop w:val="0"/>
      <w:marBottom w:val="0"/>
      <w:divBdr>
        <w:top w:val="none" w:sz="0" w:space="0" w:color="auto"/>
        <w:left w:val="none" w:sz="0" w:space="0" w:color="auto"/>
        <w:bottom w:val="none" w:sz="0" w:space="0" w:color="auto"/>
        <w:right w:val="none" w:sz="0" w:space="0" w:color="auto"/>
      </w:divBdr>
    </w:div>
    <w:div w:id="2005236438">
      <w:bodyDiv w:val="1"/>
      <w:marLeft w:val="0"/>
      <w:marRight w:val="0"/>
      <w:marTop w:val="0"/>
      <w:marBottom w:val="0"/>
      <w:divBdr>
        <w:top w:val="none" w:sz="0" w:space="0" w:color="auto"/>
        <w:left w:val="none" w:sz="0" w:space="0" w:color="auto"/>
        <w:bottom w:val="none" w:sz="0" w:space="0" w:color="auto"/>
        <w:right w:val="none" w:sz="0" w:space="0" w:color="auto"/>
      </w:divBdr>
    </w:div>
    <w:div w:id="2057392395">
      <w:bodyDiv w:val="1"/>
      <w:marLeft w:val="0"/>
      <w:marRight w:val="0"/>
      <w:marTop w:val="0"/>
      <w:marBottom w:val="0"/>
      <w:divBdr>
        <w:top w:val="none" w:sz="0" w:space="0" w:color="auto"/>
        <w:left w:val="none" w:sz="0" w:space="0" w:color="auto"/>
        <w:bottom w:val="none" w:sz="0" w:space="0" w:color="auto"/>
        <w:right w:val="none" w:sz="0" w:space="0" w:color="auto"/>
      </w:divBdr>
    </w:div>
    <w:div w:id="2103644054">
      <w:bodyDiv w:val="1"/>
      <w:marLeft w:val="0"/>
      <w:marRight w:val="0"/>
      <w:marTop w:val="0"/>
      <w:marBottom w:val="0"/>
      <w:divBdr>
        <w:top w:val="none" w:sz="0" w:space="0" w:color="auto"/>
        <w:left w:val="none" w:sz="0" w:space="0" w:color="auto"/>
        <w:bottom w:val="none" w:sz="0" w:space="0" w:color="auto"/>
        <w:right w:val="none" w:sz="0" w:space="0" w:color="auto"/>
      </w:divBdr>
    </w:div>
    <w:div w:id="2140756821">
      <w:bodyDiv w:val="1"/>
      <w:marLeft w:val="0"/>
      <w:marRight w:val="0"/>
      <w:marTop w:val="0"/>
      <w:marBottom w:val="0"/>
      <w:divBdr>
        <w:top w:val="none" w:sz="0" w:space="0" w:color="auto"/>
        <w:left w:val="none" w:sz="0" w:space="0" w:color="auto"/>
        <w:bottom w:val="none" w:sz="0" w:space="0" w:color="auto"/>
        <w:right w:val="none" w:sz="0" w:space="0" w:color="auto"/>
      </w:divBdr>
    </w:div>
    <w:div w:id="214527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aresansar.com/company/nil" TargetMode="External"/><Relationship Id="rId18" Type="http://schemas.openxmlformats.org/officeDocument/2006/relationships/hyperlink" Target="https://www.sharesansar.com/company/igi"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sharesansar.com/company/nlg" TargetMode="External"/><Relationship Id="rId17" Type="http://schemas.openxmlformats.org/officeDocument/2006/relationships/hyperlink" Target="https://www.sharesansar.com/company/sgi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haresansar.com/company/hei" TargetMode="External"/><Relationship Id="rId20" Type="http://schemas.openxmlformats.org/officeDocument/2006/relationships/hyperlink" Target="https://www.sharesansar.com/company/si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aresansar.com/company/he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haresansar.com/company/nicl" TargetMode="External"/><Relationship Id="rId23" Type="http://schemas.openxmlformats.org/officeDocument/2006/relationships/footer" Target="footer1.xml"/><Relationship Id="rId10" Type="http://schemas.openxmlformats.org/officeDocument/2006/relationships/hyperlink" Target="https://www.sharesansar.com/company/uail" TargetMode="External"/><Relationship Id="rId19" Type="http://schemas.openxmlformats.org/officeDocument/2006/relationships/hyperlink" Target="https://www.sharesansar.com/company/spil" TargetMode="External"/><Relationship Id="rId4" Type="http://schemas.openxmlformats.org/officeDocument/2006/relationships/settings" Target="settings.xml"/><Relationship Id="rId9" Type="http://schemas.openxmlformats.org/officeDocument/2006/relationships/hyperlink" Target="https://www.sharesansar.com/company/igi" TargetMode="External"/><Relationship Id="rId14" Type="http://schemas.openxmlformats.org/officeDocument/2006/relationships/hyperlink" Target="https://www.sharesansar.com/company/salico"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2849C-8556-48C5-B92D-EBCFCB11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sanimacapital@sanimabank.com</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BIKRAM ST</dc:creator>
  <cp:keywords/>
  <dc:description/>
  <cp:lastModifiedBy>AKHILESH BIKRAM STHAPIT</cp:lastModifiedBy>
  <cp:revision>9</cp:revision>
  <cp:lastPrinted>2025-05-21T10:37:00Z</cp:lastPrinted>
  <dcterms:created xsi:type="dcterms:W3CDTF">2025-05-21T10:36:00Z</dcterms:created>
  <dcterms:modified xsi:type="dcterms:W3CDTF">2025-08-11T08:17:00Z</dcterms:modified>
</cp:coreProperties>
</file>