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04869999" w:displacedByCustomXml="next"/>
    <w:sdt>
      <w:sdtPr>
        <w:rPr>
          <w:rFonts w:asciiTheme="minorHAnsi" w:eastAsiaTheme="minorHAnsi" w:hAnsiTheme="minorHAnsi" w:cs="Times New Roman"/>
          <w:b w:val="0"/>
          <w:sz w:val="24"/>
          <w:szCs w:val="24"/>
          <w:highlight w:val="yellow"/>
        </w:rPr>
        <w:id w:val="1459690333"/>
        <w:docPartObj>
          <w:docPartGallery w:val="Cover Pages"/>
          <w:docPartUnique/>
        </w:docPartObj>
      </w:sdtPr>
      <w:sdtEndPr>
        <w:rPr>
          <w:rFonts w:eastAsiaTheme="minorEastAsia"/>
          <w:color w:val="FFFFFF" w:themeColor="background1"/>
        </w:rPr>
      </w:sdtEndPr>
      <w:sdtContent>
        <w:p w:rsidR="00C41F7C" w:rsidRPr="004557E6" w:rsidRDefault="00C41F7C" w:rsidP="004557E6">
          <w:pPr>
            <w:pStyle w:val="Heading2"/>
            <w:rPr>
              <w:rFonts w:cs="Times New Roman"/>
              <w:sz w:val="24"/>
              <w:szCs w:val="24"/>
              <w:highlight w:val="yellow"/>
            </w:rPr>
          </w:pPr>
          <w:r w:rsidRPr="004557E6">
            <w:rPr>
              <w:rFonts w:cs="Times New Roman"/>
              <w:noProof/>
              <w:sz w:val="24"/>
              <w:szCs w:val="24"/>
              <w:highlight w:val="yellow"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>
                    <wp:simplePos x="0" y="0"/>
                    <wp:positionH relativeFrom="page">
                      <wp:posOffset>233045</wp:posOffset>
                    </wp:positionH>
                    <wp:positionV relativeFrom="page">
                      <wp:posOffset>243070</wp:posOffset>
                    </wp:positionV>
                    <wp:extent cx="7315200" cy="1215390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0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26DAC59" id="Group 149" o:spid="_x0000_s1026" style="position:absolute;margin-left:18.35pt;margin-top:19.15pt;width:8in;height:95.7pt;z-index:-251654144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bookmarkEnd w:id="0"/>
        </w:p>
        <w:p w:rsidR="00C41F7C" w:rsidRPr="004557E6" w:rsidRDefault="00C41F7C" w:rsidP="004557E6">
          <w:pPr>
            <w:spacing w:line="360" w:lineRule="auto"/>
            <w:rPr>
              <w:rFonts w:ascii="Times New Roman" w:eastAsiaTheme="minorEastAsia" w:hAnsi="Times New Roman" w:cs="Times New Roman"/>
              <w:color w:val="FFFFFF" w:themeColor="background1"/>
              <w:sz w:val="24"/>
              <w:szCs w:val="24"/>
              <w:highlight w:val="yellow"/>
            </w:rPr>
          </w:pPr>
        </w:p>
        <w:p w:rsidR="00C41F7C" w:rsidRPr="004557E6" w:rsidRDefault="00C41F7C" w:rsidP="004557E6">
          <w:pPr>
            <w:spacing w:line="360" w:lineRule="auto"/>
            <w:rPr>
              <w:rFonts w:ascii="Times New Roman" w:eastAsiaTheme="minorEastAsia" w:hAnsi="Times New Roman" w:cs="Times New Roman"/>
              <w:color w:val="FFFFFF" w:themeColor="background1"/>
              <w:sz w:val="24"/>
              <w:szCs w:val="24"/>
              <w:highlight w:val="yellow"/>
            </w:rPr>
          </w:pPr>
        </w:p>
        <w:p w:rsidR="00C41F7C" w:rsidRPr="004557E6" w:rsidRDefault="00C41F7C" w:rsidP="004557E6">
          <w:pPr>
            <w:spacing w:line="360" w:lineRule="auto"/>
            <w:rPr>
              <w:rFonts w:ascii="Times New Roman" w:eastAsiaTheme="minorEastAsia" w:hAnsi="Times New Roman" w:cs="Times New Roman"/>
              <w:color w:val="FFFFFF" w:themeColor="background1"/>
              <w:sz w:val="24"/>
              <w:szCs w:val="24"/>
              <w:highlight w:val="yellow"/>
            </w:rPr>
          </w:pPr>
        </w:p>
        <w:p w:rsidR="00C41F7C" w:rsidRPr="003148FE" w:rsidRDefault="00C41F7C" w:rsidP="003148FE">
          <w:pPr>
            <w:pStyle w:val="Heading1"/>
            <w:jc w:val="center"/>
          </w:pPr>
          <w:bookmarkStart w:id="1" w:name="_Toc204870000"/>
          <w:r w:rsidRPr="003148FE">
            <w:t>Mutual Fund Performance</w:t>
          </w:r>
          <w:bookmarkEnd w:id="1"/>
        </w:p>
        <w:p w:rsidR="00C41F7C" w:rsidRPr="003148FE" w:rsidRDefault="00C41F7C" w:rsidP="003148FE">
          <w:pPr>
            <w:pStyle w:val="NoSpacing"/>
            <w:rPr>
              <w:i/>
              <w:sz w:val="28"/>
              <w:szCs w:val="28"/>
              <w:u w:val="single"/>
            </w:rPr>
          </w:pPr>
          <w:bookmarkStart w:id="2" w:name="_Toc204870001"/>
          <w:r w:rsidRPr="003148FE">
            <w:rPr>
              <w:i/>
              <w:sz w:val="28"/>
              <w:szCs w:val="28"/>
              <w:u w:val="single"/>
            </w:rPr>
            <w:t xml:space="preserve">As on </w:t>
          </w:r>
          <w:r w:rsidR="00647B9E" w:rsidRPr="003148FE">
            <w:rPr>
              <w:i/>
              <w:sz w:val="28"/>
              <w:szCs w:val="28"/>
              <w:u w:val="single"/>
            </w:rPr>
            <w:t>Baishak</w:t>
          </w:r>
          <w:r w:rsidRPr="003148FE">
            <w:rPr>
              <w:i/>
              <w:sz w:val="28"/>
              <w:szCs w:val="28"/>
              <w:u w:val="single"/>
            </w:rPr>
            <w:t xml:space="preserve"> end, 208</w:t>
          </w:r>
          <w:r w:rsidR="00647B9E" w:rsidRPr="003148FE">
            <w:rPr>
              <w:i/>
              <w:sz w:val="28"/>
              <w:szCs w:val="28"/>
              <w:u w:val="single"/>
            </w:rPr>
            <w:t>2</w:t>
          </w:r>
          <w:bookmarkEnd w:id="2"/>
        </w:p>
        <w:p w:rsidR="00C41F7C" w:rsidRPr="004557E6" w:rsidRDefault="00C41F7C" w:rsidP="004557E6">
          <w:pPr>
            <w:pStyle w:val="Heading1"/>
            <w:tabs>
              <w:tab w:val="left" w:pos="3345"/>
            </w:tabs>
            <w:rPr>
              <w:rFonts w:eastAsiaTheme="minorHAnsi" w:cs="Times New Roman"/>
              <w:b w:val="0"/>
              <w:szCs w:val="24"/>
            </w:rPr>
          </w:pPr>
        </w:p>
        <w:p w:rsidR="00C41F7C" w:rsidRPr="004557E6" w:rsidRDefault="00C41F7C" w:rsidP="004557E6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C41F7C" w:rsidRPr="004557E6" w:rsidRDefault="00C41F7C" w:rsidP="004557E6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C41F7C" w:rsidRPr="004557E6" w:rsidRDefault="00C41F7C" w:rsidP="004557E6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C41F7C" w:rsidRPr="004557E6" w:rsidRDefault="00C41F7C" w:rsidP="004557E6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C41F7C" w:rsidRPr="004557E6" w:rsidRDefault="00C41F7C" w:rsidP="004557E6">
          <w:pPr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:rsidR="00C41F7C" w:rsidRPr="004557E6" w:rsidRDefault="00C41F7C" w:rsidP="004557E6">
          <w:pPr>
            <w:tabs>
              <w:tab w:val="left" w:pos="5220"/>
            </w:tabs>
            <w:spacing w:line="36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557E6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C41F7C" w:rsidRPr="004557E6" w:rsidRDefault="00C41F7C" w:rsidP="004557E6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highlight w:val="yellow"/>
            </w:rPr>
          </w:pPr>
        </w:p>
        <w:p w:rsidR="00C41F7C" w:rsidRPr="004557E6" w:rsidRDefault="000D7594" w:rsidP="004557E6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highlight w:val="yellow"/>
            </w:rPr>
          </w:pPr>
          <w:r w:rsidRPr="004557E6">
            <w:rPr>
              <w:rFonts w:ascii="Times New Roman" w:hAnsi="Times New Roman" w:cs="Times New Roman"/>
              <w:noProof/>
              <w:sz w:val="24"/>
              <w:szCs w:val="24"/>
              <w:highlight w:val="yellow"/>
            </w:rPr>
            <w:drawing>
              <wp:anchor distT="0" distB="0" distL="114300" distR="114300" simplePos="0" relativeHeight="251666432" behindDoc="0" locked="0" layoutInCell="1" allowOverlap="1" wp14:anchorId="7F96F3A7" wp14:editId="5D0E46FA">
                <wp:simplePos x="0" y="0"/>
                <wp:positionH relativeFrom="margin">
                  <wp:posOffset>-223283</wp:posOffset>
                </wp:positionH>
                <wp:positionV relativeFrom="margin">
                  <wp:posOffset>3389468</wp:posOffset>
                </wp:positionV>
                <wp:extent cx="6400800" cy="1378305"/>
                <wp:effectExtent l="0" t="0" r="0" b="0"/>
                <wp:wrapSquare wrapText="bothSides"/>
                <wp:docPr id="140" name="Pictur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anima capital high resolution final - Copy.jp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00800" cy="13783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C41F7C" w:rsidRPr="004557E6" w:rsidRDefault="00C41F7C" w:rsidP="004557E6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highlight w:val="yellow"/>
            </w:rPr>
          </w:pPr>
        </w:p>
        <w:p w:rsidR="00C41F7C" w:rsidRPr="004557E6" w:rsidRDefault="00C41F7C" w:rsidP="004557E6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highlight w:val="yellow"/>
            </w:rPr>
          </w:pPr>
        </w:p>
        <w:p w:rsidR="00C41F7C" w:rsidRPr="004557E6" w:rsidRDefault="00C41F7C" w:rsidP="004557E6">
          <w:pPr>
            <w:spacing w:line="360" w:lineRule="auto"/>
            <w:jc w:val="center"/>
            <w:rPr>
              <w:rFonts w:ascii="Times New Roman" w:hAnsi="Times New Roman" w:cs="Times New Roman"/>
              <w:sz w:val="24"/>
              <w:szCs w:val="24"/>
              <w:highlight w:val="yellow"/>
            </w:rPr>
          </w:pPr>
          <w:r w:rsidRPr="004557E6">
            <w:rPr>
              <w:rFonts w:ascii="Times New Roman" w:hAnsi="Times New Roman" w:cs="Times New Roman"/>
              <w:noProof/>
              <w:sz w:val="24"/>
              <w:szCs w:val="24"/>
              <w:highlight w:val="yellow"/>
            </w:rPr>
            <mc:AlternateContent>
              <mc:Choice Requires="wps">
                <w:drawing>
                  <wp:anchor distT="0" distB="0" distL="114300" distR="114300" simplePos="0" relativeHeight="251664384" behindDoc="1" locked="0" layoutInCell="1" allowOverlap="1" wp14:anchorId="4E059E61" wp14:editId="4899D30B">
                    <wp:simplePos x="0" y="0"/>
                    <wp:positionH relativeFrom="margin">
                      <wp:posOffset>-538370</wp:posOffset>
                    </wp:positionH>
                    <wp:positionV relativeFrom="margin">
                      <wp:posOffset>5741891</wp:posOffset>
                    </wp:positionV>
                    <wp:extent cx="7067550" cy="615950"/>
                    <wp:effectExtent l="0" t="0" r="0" b="1270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67550" cy="6159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557E6" w:rsidRPr="00FE7557" w:rsidRDefault="004557E6" w:rsidP="00C41F7C">
                                <w:pPr>
                                  <w:pStyle w:val="NoSpacing"/>
                                  <w:ind w:left="-1530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18"/>
                                  </w:rPr>
                                </w:pPr>
                                <w:r w:rsidRPr="00FE7557">
                                  <w:rPr>
                                    <w:rFonts w:ascii="Times New Roman" w:hAnsi="Times New Roman" w:cs="Times New Roman"/>
                                    <w:sz w:val="24"/>
                                    <w:szCs w:val="18"/>
                                  </w:rPr>
                                  <w:t>Prepared By:</w:t>
                                </w:r>
                              </w:p>
                              <w:p w:rsidR="004557E6" w:rsidRPr="00FE7557" w:rsidRDefault="004557E6" w:rsidP="00C41F7C">
                                <w:pPr>
                                  <w:pStyle w:val="NoSpacing"/>
                                  <w:ind w:left="-1530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18"/>
                                  </w:rPr>
                                </w:pPr>
                                <w:r w:rsidRPr="00FE7557">
                                  <w:rPr>
                                    <w:rFonts w:ascii="Times New Roman" w:hAnsi="Times New Roman" w:cs="Times New Roman"/>
                                    <w:sz w:val="24"/>
                                    <w:szCs w:val="18"/>
                                  </w:rPr>
                                  <w:t>Research Department</w:t>
                                </w:r>
                              </w:p>
                              <w:p w:rsidR="004557E6" w:rsidRPr="00FE7557" w:rsidRDefault="004557E6" w:rsidP="00C41F7C">
                                <w:pPr>
                                  <w:pStyle w:val="NoSpacing"/>
                                  <w:ind w:left="-1530"/>
                                  <w:jc w:val="right"/>
                                  <w:rPr>
                                    <w:rFonts w:ascii="Times New Roman" w:hAnsi="Times New Roman" w:cs="Times New Roman"/>
                                    <w:sz w:val="24"/>
                                    <w:szCs w:val="18"/>
                                  </w:rPr>
                                </w:pPr>
                                <w:r w:rsidRPr="00FE7557">
                                  <w:rPr>
                                    <w:rFonts w:ascii="Times New Roman" w:hAnsi="Times New Roman" w:cs="Times New Roman"/>
                                    <w:sz w:val="24"/>
                                    <w:szCs w:val="18"/>
                                  </w:rPr>
                                  <w:t>Sanima Capital Limited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059E6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left:0;text-align:left;margin-left:-42.4pt;margin-top:452.1pt;width:556.5pt;height:48.5pt;z-index:-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" filled="f" stroked="f" strokeweight=".5pt">
                    <v:textbox inset="126pt,0,54pt,0">
                      <w:txbxContent>
                        <w:p w:rsidR="004557E6" w:rsidRPr="00FE7557" w:rsidRDefault="004557E6" w:rsidP="00C41F7C">
                          <w:pPr>
                            <w:pStyle w:val="NoSpacing"/>
                            <w:ind w:left="-1530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18"/>
                            </w:rPr>
                          </w:pPr>
                          <w:r w:rsidRPr="00FE7557">
                            <w:rPr>
                              <w:rFonts w:ascii="Times New Roman" w:hAnsi="Times New Roman" w:cs="Times New Roman"/>
                              <w:sz w:val="24"/>
                              <w:szCs w:val="18"/>
                            </w:rPr>
                            <w:t>Prepared By:</w:t>
                          </w:r>
                        </w:p>
                        <w:p w:rsidR="004557E6" w:rsidRPr="00FE7557" w:rsidRDefault="004557E6" w:rsidP="00C41F7C">
                          <w:pPr>
                            <w:pStyle w:val="NoSpacing"/>
                            <w:ind w:left="-1530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18"/>
                            </w:rPr>
                          </w:pPr>
                          <w:r w:rsidRPr="00FE7557">
                            <w:rPr>
                              <w:rFonts w:ascii="Times New Roman" w:hAnsi="Times New Roman" w:cs="Times New Roman"/>
                              <w:sz w:val="24"/>
                              <w:szCs w:val="18"/>
                            </w:rPr>
                            <w:t>Research Department</w:t>
                          </w:r>
                        </w:p>
                        <w:p w:rsidR="004557E6" w:rsidRPr="00FE7557" w:rsidRDefault="004557E6" w:rsidP="00C41F7C">
                          <w:pPr>
                            <w:pStyle w:val="NoSpacing"/>
                            <w:ind w:left="-1530"/>
                            <w:jc w:val="right"/>
                            <w:rPr>
                              <w:rFonts w:ascii="Times New Roman" w:hAnsi="Times New Roman" w:cs="Times New Roman"/>
                              <w:sz w:val="24"/>
                              <w:szCs w:val="18"/>
                            </w:rPr>
                          </w:pPr>
                          <w:r w:rsidRPr="00FE7557">
                            <w:rPr>
                              <w:rFonts w:ascii="Times New Roman" w:hAnsi="Times New Roman" w:cs="Times New Roman"/>
                              <w:sz w:val="24"/>
                              <w:szCs w:val="18"/>
                            </w:rPr>
                            <w:t>Sanima Capital Limited</w:t>
                          </w: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C41F7C" w:rsidRPr="004557E6" w:rsidRDefault="00C41F7C" w:rsidP="004557E6">
          <w:pPr>
            <w:spacing w:line="360" w:lineRule="auto"/>
            <w:rPr>
              <w:rFonts w:ascii="Times New Roman" w:hAnsi="Times New Roman" w:cs="Times New Roman"/>
              <w:sz w:val="24"/>
              <w:szCs w:val="24"/>
              <w:highlight w:val="yellow"/>
            </w:rPr>
          </w:pPr>
        </w:p>
        <w:p w:rsidR="00C41F7C" w:rsidRPr="004557E6" w:rsidRDefault="0041157F" w:rsidP="004557E6">
          <w:pPr>
            <w:spacing w:line="360" w:lineRule="auto"/>
            <w:rPr>
              <w:rFonts w:ascii="Times New Roman" w:eastAsiaTheme="minorEastAsia" w:hAnsi="Times New Roman" w:cs="Times New Roman"/>
              <w:b/>
              <w:color w:val="FFFFFF" w:themeColor="background1"/>
              <w:sz w:val="24"/>
              <w:szCs w:val="24"/>
              <w:highlight w:val="yellow"/>
            </w:rPr>
          </w:pPr>
        </w:p>
      </w:sdtContent>
    </w:sdt>
    <w:p w:rsidR="00E517DB" w:rsidRPr="004557E6" w:rsidRDefault="00E517DB" w:rsidP="004557E6">
      <w:pPr>
        <w:pStyle w:val="Heading1"/>
        <w:rPr>
          <w:rFonts w:cs="Times New Roman"/>
          <w:szCs w:val="24"/>
          <w:highlight w:val="yellow"/>
        </w:rPr>
      </w:pPr>
    </w:p>
    <w:p w:rsidR="004557E6" w:rsidRPr="004557E6" w:rsidRDefault="004557E6" w:rsidP="003148FE">
      <w:pPr>
        <w:pStyle w:val="NoSpacing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0558D" w:rsidRPr="004557E6" w:rsidRDefault="0060558D" w:rsidP="004557E6">
      <w:pPr>
        <w:pStyle w:val="Heading2"/>
        <w:rPr>
          <w:rFonts w:cs="Times New Roman"/>
          <w:sz w:val="24"/>
          <w:szCs w:val="24"/>
        </w:rPr>
      </w:pPr>
      <w:bookmarkStart w:id="3" w:name="_Toc204870002"/>
      <w:r w:rsidRPr="004557E6">
        <w:rPr>
          <w:rFonts w:cs="Times New Roman"/>
          <w:sz w:val="24"/>
          <w:szCs w:val="24"/>
        </w:rPr>
        <w:lastRenderedPageBreak/>
        <w:t>Overall mutual fund equity exposer trend</w:t>
      </w:r>
      <w:r w:rsidR="004557E6" w:rsidRPr="004557E6">
        <w:rPr>
          <w:rFonts w:cs="Times New Roman"/>
          <w:sz w:val="24"/>
          <w:szCs w:val="24"/>
        </w:rPr>
        <w:t>:</w:t>
      </w:r>
      <w:bookmarkEnd w:id="3"/>
    </w:p>
    <w:p w:rsidR="00E517DB" w:rsidRPr="004557E6" w:rsidRDefault="00E517DB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E517DB" w:rsidRPr="004557E6" w:rsidRDefault="0028599C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5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82E789" wp14:editId="560D342B">
            <wp:extent cx="5943600" cy="4514850"/>
            <wp:effectExtent l="0" t="0" r="0" b="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0558D" w:rsidRPr="004557E6" w:rsidRDefault="0060558D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D13C9" w:rsidRPr="004557E6" w:rsidRDefault="00E53751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557E6">
        <w:rPr>
          <w:rFonts w:ascii="Times New Roman" w:hAnsi="Times New Roman" w:cs="Times New Roman"/>
          <w:sz w:val="24"/>
          <w:szCs w:val="24"/>
        </w:rPr>
        <w:t>This chart provides a time series analysis of the Nepalese mutual fund industry’s asset allocation, showing the distribution of assets per NAV (Net Asset Value) across different investment types: Listed Stocks, Cash, Fixed Deposits, and Bonds</w:t>
      </w:r>
      <w:r w:rsidR="006D13C9" w:rsidRPr="004557E6">
        <w:rPr>
          <w:rFonts w:ascii="Times New Roman" w:hAnsi="Times New Roman" w:cs="Times New Roman"/>
          <w:sz w:val="24"/>
          <w:szCs w:val="24"/>
        </w:rPr>
        <w:t>.</w:t>
      </w:r>
    </w:p>
    <w:p w:rsidR="00B94391" w:rsidRPr="004557E6" w:rsidRDefault="0028599C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557E6">
        <w:rPr>
          <w:rFonts w:ascii="Times New Roman" w:hAnsi="Times New Roman" w:cs="Times New Roman"/>
          <w:sz w:val="24"/>
          <w:szCs w:val="24"/>
        </w:rPr>
        <w:t xml:space="preserve">Increase </w:t>
      </w:r>
      <w:r w:rsidR="006D13C9" w:rsidRPr="004557E6">
        <w:rPr>
          <w:rFonts w:ascii="Times New Roman" w:hAnsi="Times New Roman" w:cs="Times New Roman"/>
          <w:sz w:val="24"/>
          <w:szCs w:val="24"/>
        </w:rPr>
        <w:t>in Listed stocks per NAV,</w:t>
      </w:r>
      <w:r w:rsidRPr="004557E6">
        <w:rPr>
          <w:rFonts w:ascii="Times New Roman" w:hAnsi="Times New Roman" w:cs="Times New Roman"/>
          <w:sz w:val="24"/>
          <w:szCs w:val="24"/>
        </w:rPr>
        <w:t xml:space="preserve"> represents a significant shift toward equity investments</w:t>
      </w:r>
      <w:r w:rsidR="001E020C" w:rsidRPr="004557E6">
        <w:rPr>
          <w:rFonts w:ascii="Times New Roman" w:hAnsi="Times New Roman" w:cs="Times New Roman"/>
          <w:sz w:val="24"/>
          <w:szCs w:val="24"/>
        </w:rPr>
        <w:t xml:space="preserve">. </w:t>
      </w:r>
      <w:r w:rsidRPr="004557E6">
        <w:rPr>
          <w:rFonts w:ascii="Times New Roman" w:hAnsi="Times New Roman" w:cs="Times New Roman"/>
          <w:sz w:val="24"/>
          <w:szCs w:val="24"/>
        </w:rPr>
        <w:t>Decreased Cash from about 23% in 2022 to around 12.1% by 2025. The overall industry shows reveals a shift toward equities at the expense of more conservative assets like cash, fixed deposits, and bonds.</w:t>
      </w:r>
    </w:p>
    <w:p w:rsidR="00B94391" w:rsidRPr="004557E6" w:rsidRDefault="00B94391" w:rsidP="004557E6">
      <w:pPr>
        <w:spacing w:before="12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60558D" w:rsidRPr="004557E6" w:rsidRDefault="0060558D" w:rsidP="004557E6">
      <w:pPr>
        <w:pStyle w:val="Heading2"/>
        <w:rPr>
          <w:rFonts w:cs="Times New Roman"/>
          <w:sz w:val="24"/>
          <w:szCs w:val="24"/>
        </w:rPr>
      </w:pPr>
      <w:bookmarkStart w:id="4" w:name="_Toc204870003"/>
      <w:r w:rsidRPr="004557E6">
        <w:rPr>
          <w:rFonts w:cs="Times New Roman"/>
          <w:sz w:val="24"/>
          <w:szCs w:val="24"/>
        </w:rPr>
        <w:lastRenderedPageBreak/>
        <w:t>Open end fund size</w:t>
      </w:r>
      <w:r w:rsidR="004557E6">
        <w:rPr>
          <w:rFonts w:cs="Times New Roman"/>
          <w:sz w:val="24"/>
          <w:szCs w:val="24"/>
        </w:rPr>
        <w:t>:</w:t>
      </w:r>
      <w:bookmarkEnd w:id="4"/>
    </w:p>
    <w:p w:rsidR="0060558D" w:rsidRPr="004557E6" w:rsidRDefault="00E43ED8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5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906A42" wp14:editId="425AAE0B">
            <wp:extent cx="6457950" cy="6121400"/>
            <wp:effectExtent l="0" t="0" r="0" b="1270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3DF7664D-4754-4C0A-80F8-0DDDBF062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922613" w:rsidRPr="004557E6" w:rsidRDefault="00E43ED8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57E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6016DF6" wp14:editId="74EA0831">
            <wp:extent cx="5943600" cy="3975100"/>
            <wp:effectExtent l="0" t="0" r="0" b="635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64C85524-9AAB-4918-9CE3-7470BECD0F6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D4F4A" w:rsidRPr="004557E6" w:rsidRDefault="005D4F4A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557E6">
        <w:rPr>
          <w:rFonts w:ascii="Times New Roman" w:hAnsi="Times New Roman" w:cs="Times New Roman"/>
          <w:sz w:val="24"/>
          <w:szCs w:val="24"/>
        </w:rPr>
        <w:t>This chart represents the outstanding shares (in millions) for various mutual funds or companies over the fiscal years from 2077-78 to the latest data in 2081-82. NMBSBFE</w:t>
      </w:r>
      <w:r w:rsidR="00456A9F" w:rsidRPr="004557E6">
        <w:rPr>
          <w:rFonts w:ascii="Times New Roman" w:hAnsi="Times New Roman" w:cs="Times New Roman"/>
          <w:sz w:val="24"/>
          <w:szCs w:val="24"/>
        </w:rPr>
        <w:t xml:space="preserve">, NADDF and SSIS </w:t>
      </w:r>
      <w:r w:rsidRPr="004557E6">
        <w:rPr>
          <w:rFonts w:ascii="Times New Roman" w:hAnsi="Times New Roman" w:cs="Times New Roman"/>
          <w:sz w:val="24"/>
          <w:szCs w:val="24"/>
        </w:rPr>
        <w:t>stand out for their significant growth in outstanding shares</w:t>
      </w:r>
      <w:r w:rsidR="00456A9F" w:rsidRPr="004557E6">
        <w:rPr>
          <w:rFonts w:ascii="Times New Roman" w:hAnsi="Times New Roman" w:cs="Times New Roman"/>
          <w:sz w:val="24"/>
          <w:szCs w:val="24"/>
        </w:rPr>
        <w:t xml:space="preserve"> in current year</w:t>
      </w:r>
      <w:r w:rsidRPr="004557E6">
        <w:rPr>
          <w:rFonts w:ascii="Times New Roman" w:hAnsi="Times New Roman" w:cs="Times New Roman"/>
          <w:sz w:val="24"/>
          <w:szCs w:val="24"/>
        </w:rPr>
        <w:t>, which might indicate aggressive expansion strategies or high demand from investors</w:t>
      </w:r>
      <w:r w:rsidR="00163C2C" w:rsidRPr="004557E6">
        <w:rPr>
          <w:rFonts w:ascii="Times New Roman" w:hAnsi="Times New Roman" w:cs="Times New Roman"/>
          <w:sz w:val="24"/>
          <w:szCs w:val="24"/>
        </w:rPr>
        <w:t>.</w:t>
      </w:r>
      <w:r w:rsidR="00456A9F" w:rsidRPr="004557E6">
        <w:rPr>
          <w:rFonts w:ascii="Times New Roman" w:hAnsi="Times New Roman" w:cs="Times New Roman"/>
          <w:sz w:val="24"/>
          <w:szCs w:val="24"/>
        </w:rPr>
        <w:t xml:space="preserve"> NIBLSF has the highest number of shares outstanding </w:t>
      </w:r>
    </w:p>
    <w:p w:rsidR="004557E6" w:rsidRP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P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P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P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P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P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P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P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P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60558D" w:rsidRPr="004557E6" w:rsidRDefault="00163C2C" w:rsidP="004557E6">
      <w:pPr>
        <w:pStyle w:val="Heading2"/>
      </w:pPr>
      <w:bookmarkStart w:id="5" w:name="_Toc204870004"/>
      <w:r w:rsidRPr="004557E6">
        <w:lastRenderedPageBreak/>
        <w:t>Closed</w:t>
      </w:r>
      <w:r w:rsidR="0060558D" w:rsidRPr="004557E6">
        <w:t xml:space="preserve"> end mutual fund</w:t>
      </w:r>
      <w:bookmarkEnd w:id="5"/>
      <w:r w:rsidR="0060558D" w:rsidRPr="004557E6">
        <w:t xml:space="preserve"> </w:t>
      </w:r>
    </w:p>
    <w:p w:rsidR="00E43ED8" w:rsidRPr="004557E6" w:rsidRDefault="00E43ED8" w:rsidP="0045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57E6">
        <w:rPr>
          <w:rFonts w:ascii="Times New Roman" w:hAnsi="Times New Roman" w:cs="Times New Roman"/>
          <w:sz w:val="24"/>
          <w:szCs w:val="24"/>
        </w:rPr>
        <w:t>Currently there are no mutual fund that are maturing within one year. Latest maturity being CMF2 which is maturing at 8-july-2026, and NMB50 which is maturing at 1-sep-2026</w:t>
      </w:r>
      <w:r w:rsidR="004557E6" w:rsidRPr="004557E6">
        <w:rPr>
          <w:rFonts w:ascii="Times New Roman" w:hAnsi="Times New Roman" w:cs="Times New Roman"/>
          <w:sz w:val="24"/>
          <w:szCs w:val="24"/>
        </w:rPr>
        <w:t>.</w:t>
      </w:r>
    </w:p>
    <w:p w:rsidR="00E43ED8" w:rsidRPr="004557E6" w:rsidRDefault="00E43ED8" w:rsidP="0045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3ED8" w:rsidRPr="004557E6" w:rsidRDefault="00E43ED8" w:rsidP="004557E6">
      <w:pPr>
        <w:pStyle w:val="Heading2"/>
      </w:pPr>
      <w:bookmarkStart w:id="6" w:name="_Toc204870005"/>
      <w:r w:rsidRPr="004557E6">
        <w:t>Mutual fund performance</w:t>
      </w:r>
      <w:bookmarkEnd w:id="6"/>
      <w:r w:rsidRPr="004557E6">
        <w:t xml:space="preserve"> </w:t>
      </w:r>
    </w:p>
    <w:p w:rsidR="00300CE3" w:rsidRPr="004557E6" w:rsidRDefault="007F652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5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5138A9" wp14:editId="4FA810E4">
            <wp:extent cx="5943600" cy="5248275"/>
            <wp:effectExtent l="0" t="0" r="0" b="9525"/>
            <wp:docPr id="6" name="Chart 6">
              <a:extLst xmlns:a="http://schemas.openxmlformats.org/drawingml/2006/main">
                <a:ext uri="{FF2B5EF4-FFF2-40B4-BE49-F238E27FC236}">
                  <a16:creationId xmlns:a16="http://schemas.microsoft.com/office/drawing/2014/main" id="{1717C988-6D09-4C64-9E8C-44216B3321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587F10" w:rsidRPr="004557E6" w:rsidRDefault="007F6526" w:rsidP="004557E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557E6">
        <w:rPr>
          <w:rFonts w:ascii="Times New Roman" w:hAnsi="Times New Roman" w:cs="Times New Roman"/>
          <w:sz w:val="24"/>
          <w:szCs w:val="24"/>
        </w:rPr>
        <w:t xml:space="preserve">This chart shows the Internal Rate of Return (IRR) performance of various mutual </w:t>
      </w:r>
      <w:r w:rsidR="004557E6" w:rsidRPr="004557E6">
        <w:rPr>
          <w:rFonts w:ascii="Times New Roman" w:hAnsi="Times New Roman" w:cs="Times New Roman"/>
          <w:sz w:val="24"/>
          <w:szCs w:val="24"/>
        </w:rPr>
        <w:t>funds closed</w:t>
      </w:r>
      <w:r w:rsidRPr="004557E6">
        <w:rPr>
          <w:rFonts w:ascii="Times New Roman" w:hAnsi="Times New Roman" w:cs="Times New Roman"/>
          <w:sz w:val="24"/>
          <w:szCs w:val="24"/>
        </w:rPr>
        <w:t xml:space="preserve"> end in Nepal as of Baisakh 2082 ranked from highest to lowest performing. As of now compared SAGF lies in the </w:t>
      </w:r>
      <w:r w:rsidR="004557E6" w:rsidRPr="004557E6">
        <w:rPr>
          <w:rFonts w:ascii="Times New Roman" w:hAnsi="Times New Roman" w:cs="Times New Roman"/>
          <w:sz w:val="24"/>
          <w:szCs w:val="24"/>
        </w:rPr>
        <w:t>mid-level</w:t>
      </w:r>
      <w:r w:rsidRPr="004557E6">
        <w:rPr>
          <w:rFonts w:ascii="Times New Roman" w:hAnsi="Times New Roman" w:cs="Times New Roman"/>
          <w:sz w:val="24"/>
          <w:szCs w:val="24"/>
        </w:rPr>
        <w:t xml:space="preserve">. and SLCF lies in lower level. </w:t>
      </w:r>
      <w:r w:rsidR="000F4374" w:rsidRPr="004557E6">
        <w:rPr>
          <w:rFonts w:ascii="Times New Roman" w:hAnsi="Times New Roman" w:cs="Times New Roman"/>
          <w:sz w:val="24"/>
          <w:szCs w:val="24"/>
        </w:rPr>
        <w:t>SFMF leads with an impressive 20.79% IRR, significantly outperforming others. H8020 follows at 18.71%. NMB50 rounds out the top three at 16.93%</w:t>
      </w:r>
      <w:r w:rsidR="00FF0CC2" w:rsidRPr="004557E6">
        <w:rPr>
          <w:rFonts w:ascii="Times New Roman" w:hAnsi="Times New Roman" w:cs="Times New Roman"/>
          <w:sz w:val="24"/>
          <w:szCs w:val="24"/>
        </w:rPr>
        <w:t>. NIBSF2 and NIBLSTF is not preforming well overall.</w:t>
      </w:r>
      <w:r w:rsidR="00587F10" w:rsidRPr="004557E6">
        <w:rPr>
          <w:rFonts w:ascii="Times New Roman" w:hAnsi="Times New Roman" w:cs="Times New Roman"/>
          <w:sz w:val="24"/>
          <w:szCs w:val="24"/>
        </w:rPr>
        <w:t xml:space="preserve"> Overall</w:t>
      </w:r>
      <w:r w:rsidR="00FF0CC2" w:rsidRPr="004557E6">
        <w:rPr>
          <w:rFonts w:ascii="Times New Roman" w:hAnsi="Times New Roman" w:cs="Times New Roman"/>
          <w:sz w:val="24"/>
          <w:szCs w:val="24"/>
        </w:rPr>
        <w:t xml:space="preserve">, the IRR </w:t>
      </w:r>
      <w:r w:rsidR="00FF0CC2" w:rsidRPr="004557E6">
        <w:rPr>
          <w:rFonts w:ascii="Times New Roman" w:hAnsi="Times New Roman" w:cs="Times New Roman"/>
          <w:sz w:val="24"/>
          <w:szCs w:val="24"/>
        </w:rPr>
        <w:lastRenderedPageBreak/>
        <w:t xml:space="preserve">in NAV is will greater than IRR in LTP as there is significant discount between monthly Nav and LTP. </w:t>
      </w:r>
    </w:p>
    <w:p w:rsidR="00FF0CC2" w:rsidRPr="004557E6" w:rsidRDefault="004557E6" w:rsidP="004557E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557E6">
        <w:rPr>
          <w:rFonts w:ascii="Times New Roman" w:hAnsi="Times New Roman" w:cs="Times New Roman"/>
          <w:b/>
          <w:sz w:val="24"/>
          <w:szCs w:val="24"/>
        </w:rPr>
        <w:t>1-month</w:t>
      </w:r>
      <w:r w:rsidR="00FF0CC2" w:rsidRPr="004557E6">
        <w:rPr>
          <w:rFonts w:ascii="Times New Roman" w:hAnsi="Times New Roman" w:cs="Times New Roman"/>
          <w:b/>
          <w:sz w:val="24"/>
          <w:szCs w:val="24"/>
        </w:rPr>
        <w:t xml:space="preserve"> vs </w:t>
      </w:r>
      <w:r w:rsidRPr="004557E6">
        <w:rPr>
          <w:rFonts w:ascii="Times New Roman" w:hAnsi="Times New Roman" w:cs="Times New Roman"/>
          <w:b/>
          <w:sz w:val="24"/>
          <w:szCs w:val="24"/>
        </w:rPr>
        <w:t>3-month</w:t>
      </w:r>
      <w:r w:rsidR="00FF0CC2" w:rsidRPr="004557E6">
        <w:rPr>
          <w:rFonts w:ascii="Times New Roman" w:hAnsi="Times New Roman" w:cs="Times New Roman"/>
          <w:b/>
          <w:sz w:val="24"/>
          <w:szCs w:val="24"/>
        </w:rPr>
        <w:t xml:space="preserve"> fund performance </w:t>
      </w:r>
    </w:p>
    <w:p w:rsidR="00FF0CC2" w:rsidRPr="004557E6" w:rsidRDefault="00FF0CC2" w:rsidP="004557E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CC2" w:rsidRPr="004557E6" w:rsidRDefault="00FF0CC2" w:rsidP="004557E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CC2" w:rsidRPr="004557E6" w:rsidRDefault="00FF0CC2" w:rsidP="004557E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:rsidR="00FF0CC2" w:rsidRPr="004557E6" w:rsidRDefault="00FF0CC2" w:rsidP="004557E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557E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F39353" wp14:editId="5A1429CE">
            <wp:extent cx="6388100" cy="6286500"/>
            <wp:effectExtent l="0" t="0" r="12700" b="0"/>
            <wp:docPr id="7" name="Chart 7">
              <a:extLst xmlns:a="http://schemas.openxmlformats.org/drawingml/2006/main">
                <a:ext uri="{FF2B5EF4-FFF2-40B4-BE49-F238E27FC236}">
                  <a16:creationId xmlns:a16="http://schemas.microsoft.com/office/drawing/2014/main" id="{3720E599-B976-4AEE-9431-E9E458CD719B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FF0CC2" w:rsidRPr="004557E6" w:rsidRDefault="00FF0CC2" w:rsidP="004557E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:rsidR="00FF0CC2" w:rsidRPr="004557E6" w:rsidRDefault="00FF0CC2" w:rsidP="004557E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557E6">
        <w:rPr>
          <w:rFonts w:ascii="Times New Roman" w:hAnsi="Times New Roman" w:cs="Times New Roman"/>
          <w:sz w:val="24"/>
          <w:szCs w:val="24"/>
        </w:rPr>
        <w:t xml:space="preserve">This chart compares the 3-month versus 1-month NAV performance of mutual funds, adjusted for dividends, revealing distinct patterns in short-term versus medium-term momentum. </w:t>
      </w:r>
    </w:p>
    <w:p w:rsidR="00FF0CC2" w:rsidRPr="004557E6" w:rsidRDefault="00FF0CC2" w:rsidP="004557E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4557E6">
        <w:rPr>
          <w:rFonts w:ascii="Times New Roman" w:hAnsi="Times New Roman" w:cs="Times New Roman"/>
          <w:sz w:val="24"/>
          <w:szCs w:val="24"/>
        </w:rPr>
        <w:lastRenderedPageBreak/>
        <w:t>The left side shows funds with positive performance in both timeframes, led by RMF1 with exceptional 3-month gains of 5.6% and solid 1-month performance of 1.7%. H8020, GIBF1, KSY, and C30MF also demonstrate strong positive momentum across both periods, suggesting sustained performance trend.</w:t>
      </w:r>
      <w:r w:rsidR="00587F10" w:rsidRPr="004557E6">
        <w:rPr>
          <w:rFonts w:ascii="Times New Roman" w:hAnsi="Times New Roman" w:cs="Times New Roman"/>
          <w:sz w:val="24"/>
          <w:szCs w:val="24"/>
        </w:rPr>
        <w:t xml:space="preserve"> H8020 and GIBF1 having single fund is an advantage as it get all the IPO share. </w:t>
      </w:r>
    </w:p>
    <w:p w:rsidR="00D23DBE" w:rsidRPr="004557E6" w:rsidRDefault="00587F10" w:rsidP="004557E6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557E6">
        <w:rPr>
          <w:rFonts w:ascii="Times New Roman" w:hAnsi="Times New Roman" w:cs="Times New Roman"/>
          <w:b/>
          <w:sz w:val="24"/>
          <w:szCs w:val="24"/>
        </w:rPr>
        <w:t xml:space="preserve">Equity exposer. </w:t>
      </w:r>
    </w:p>
    <w:p w:rsidR="00FF0CC2" w:rsidRPr="004557E6" w:rsidRDefault="00D23DBE" w:rsidP="004557E6">
      <w:pPr>
        <w:spacing w:line="360" w:lineRule="auto"/>
        <w:jc w:val="left"/>
        <w:rPr>
          <w:rFonts w:ascii="Times New Roman" w:hAnsi="Times New Roman" w:cs="Times New Roman"/>
          <w:sz w:val="24"/>
          <w:szCs w:val="24"/>
          <w:highlight w:val="yellow"/>
        </w:rPr>
      </w:pPr>
      <w:r w:rsidRPr="004557E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54"/>
        <w:gridCol w:w="2179"/>
        <w:gridCol w:w="1874"/>
        <w:gridCol w:w="2120"/>
        <w:gridCol w:w="1323"/>
      </w:tblGrid>
      <w:tr w:rsidR="00FF0CC2" w:rsidRPr="004557E6" w:rsidTr="00FF0CC2">
        <w:trPr>
          <w:trHeight w:val="29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Listed stocks Per NAV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Friday, November 15, 2024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Sunday, April 13,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Wednesday, May 14, 2025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E1F2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1Month change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94.07%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90.17%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-3.90%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93.66%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92.37%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89.75%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-2.62%</w:t>
            </w:r>
          </w:p>
        </w:tc>
      </w:tr>
      <w:tr w:rsidR="00FF0CC2" w:rsidRPr="004557E6" w:rsidTr="00FF0CC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NIBSF2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84.15%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89.56%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89.54%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-0.02%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92.35%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89.43%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-2.92%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LVF2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82.09%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91.97%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87.36%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-4.61%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78.00%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87.34%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-2.86%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75.92%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90.05%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87.00%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-3.05%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SBCF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83.44%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92.04%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-5.13%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GIBF1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87.01%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-0.26%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NIBLSTF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78.71%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84.11%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86.34%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2.23%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82.89%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84.59%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1.25%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84.68%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1.16%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NSIF2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88.50%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85.61%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-0.82%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88.49%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87.32%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85.55%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-1.77%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NIBLGF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82.40%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83.76%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1.67%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85.83%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84.46%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83.25%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-1.20%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76.12%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76.01%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82.78%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6.77%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RMF2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77.31%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83.49%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81.75%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-1.74%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77.00%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78.97%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1.84%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83.11%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81.22%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-0.62%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79.32%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85.06%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-4.93%</w:t>
            </w:r>
          </w:p>
        </w:tc>
      </w:tr>
      <w:tr w:rsidR="00FF0CC2" w:rsidRPr="004557E6" w:rsidTr="00FF0CC2">
        <w:trPr>
          <w:trHeight w:val="27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NMB50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83.56%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81.48%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79.94%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-1.54%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NICGF2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71.97%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77.36%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79.46%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2.09%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RMF1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76.24%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79.94%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79.25%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-0.68%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SLCF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73.14%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77.15%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78.72%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1.57%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MNMF1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73.98%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78.65%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4.66%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64.19%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71.63%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78.64%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7.01%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C30MF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68.39%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71.93%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76.83%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4.90%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58.40%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75.78%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17.38%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SAGF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73.77%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74.93%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highlight w:val="yellow"/>
              </w:rPr>
              <w:t>75.66%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yellow"/>
              </w:rPr>
              <w:t>0.73%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81.91%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86.97%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75.46%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-11.50%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79.10%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74.76%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-4.33%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80.51%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73.72%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71.18%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-2.55%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H8020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76.71%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68.06%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70.76%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2.70%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63.79%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53.69%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59.74%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6.05%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NMBHF2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35.82%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54.97%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19.14%</w:t>
            </w:r>
          </w:p>
        </w:tc>
      </w:tr>
      <w:tr w:rsidR="00FF0CC2" w:rsidRPr="004557E6" w:rsidTr="00FF0CC2">
        <w:trPr>
          <w:trHeight w:val="29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MBLEF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16.67%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36.18%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F0CC2" w:rsidRPr="004557E6" w:rsidRDefault="00FF0CC2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19.51%</w:t>
            </w:r>
          </w:p>
        </w:tc>
      </w:tr>
    </w:tbl>
    <w:p w:rsidR="00BA507E" w:rsidRPr="004557E6" w:rsidRDefault="00587F10" w:rsidP="0045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57E6">
        <w:rPr>
          <w:rFonts w:ascii="Times New Roman" w:hAnsi="Times New Roman" w:cs="Times New Roman"/>
          <w:sz w:val="24"/>
          <w:szCs w:val="24"/>
        </w:rPr>
        <w:t>Funds maintain exceptionally high equity allocations, with the majority holding between 75-95% of their portfolios in listed stocks. New fund such as MNMF1 and GSY has already increase the equity exposer MBLEF</w:t>
      </w:r>
      <w:r w:rsidR="00BA507E" w:rsidRPr="004557E6">
        <w:rPr>
          <w:rFonts w:ascii="Times New Roman" w:hAnsi="Times New Roman" w:cs="Times New Roman"/>
          <w:sz w:val="24"/>
          <w:szCs w:val="24"/>
        </w:rPr>
        <w:t xml:space="preserve"> and NMBHF2</w:t>
      </w:r>
      <w:r w:rsidRPr="004557E6">
        <w:rPr>
          <w:rFonts w:ascii="Times New Roman" w:hAnsi="Times New Roman" w:cs="Times New Roman"/>
          <w:sz w:val="24"/>
          <w:szCs w:val="24"/>
        </w:rPr>
        <w:t xml:space="preserve"> is yet to increase the equity exposer. PRSF, KSY, and PSF consistently maintained equity exposures above 85-90%</w:t>
      </w:r>
      <w:r w:rsidR="00BA507E" w:rsidRPr="004557E6">
        <w:rPr>
          <w:rFonts w:ascii="Times New Roman" w:hAnsi="Times New Roman" w:cs="Times New Roman"/>
          <w:sz w:val="24"/>
          <w:szCs w:val="24"/>
        </w:rPr>
        <w:t xml:space="preserve">. SLCF and SAGF is on the lower side of the equity exposer with 78.72% and 75. 66% respectively. </w:t>
      </w:r>
    </w:p>
    <w:p w:rsidR="009D2138" w:rsidRPr="004557E6" w:rsidRDefault="009D2138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57E6">
        <w:rPr>
          <w:rFonts w:ascii="Times New Roman" w:hAnsi="Times New Roman" w:cs="Times New Roman"/>
          <w:sz w:val="24"/>
          <w:szCs w:val="24"/>
          <w:highlight w:val="yellow"/>
        </w:rPr>
        <w:br w:type="page"/>
      </w:r>
    </w:p>
    <w:p w:rsidR="001A61B0" w:rsidRPr="004557E6" w:rsidRDefault="00823C24" w:rsidP="004557E6">
      <w:pPr>
        <w:pStyle w:val="Heading2"/>
      </w:pPr>
      <w:bookmarkStart w:id="7" w:name="_Toc204870006"/>
      <w:r w:rsidRPr="004557E6">
        <w:lastRenderedPageBreak/>
        <w:t>Summary</w:t>
      </w:r>
      <w:r w:rsidR="001A61B0" w:rsidRPr="004557E6">
        <w:t xml:space="preserve"> of the asset allocation</w:t>
      </w:r>
      <w:r w:rsidR="008B59AE" w:rsidRPr="004557E6">
        <w:t xml:space="preserve"> as of </w:t>
      </w:r>
      <w:r w:rsidR="00C40139" w:rsidRPr="004557E6">
        <w:t>14 May</w:t>
      </w:r>
      <w:r w:rsidR="008B59AE" w:rsidRPr="004557E6">
        <w:t>, 202</w:t>
      </w:r>
      <w:r w:rsidR="00C40139" w:rsidRPr="004557E6">
        <w:t>5</w:t>
      </w:r>
      <w:r w:rsidR="001A61B0" w:rsidRPr="004557E6">
        <w:t>.</w:t>
      </w:r>
      <w:bookmarkEnd w:id="7"/>
      <w:r w:rsidR="001A61B0" w:rsidRPr="004557E6">
        <w:t xml:space="preserve"> </w:t>
      </w:r>
    </w:p>
    <w:tbl>
      <w:tblPr>
        <w:tblW w:w="9777" w:type="dxa"/>
        <w:tblLook w:val="04A0" w:firstRow="1" w:lastRow="0" w:firstColumn="1" w:lastColumn="0" w:noHBand="0" w:noVBand="1"/>
      </w:tblPr>
      <w:tblGrid>
        <w:gridCol w:w="1190"/>
        <w:gridCol w:w="1172"/>
        <w:gridCol w:w="1201"/>
        <w:gridCol w:w="1163"/>
        <w:gridCol w:w="1072"/>
        <w:gridCol w:w="1056"/>
        <w:gridCol w:w="1337"/>
        <w:gridCol w:w="1586"/>
      </w:tblGrid>
      <w:tr w:rsidR="00326733" w:rsidRPr="004557E6" w:rsidTr="00326733">
        <w:trPr>
          <w:trHeight w:val="74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D6DCE4"/>
            <w:vAlign w:val="center"/>
            <w:hideMark/>
          </w:tcPr>
          <w:p w:rsidR="00326733" w:rsidRPr="004557E6" w:rsidRDefault="00326733" w:rsidP="004557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Ticker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326733" w:rsidRPr="004557E6" w:rsidRDefault="00326733" w:rsidP="004557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Monthly NAV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326733" w:rsidRPr="004557E6" w:rsidRDefault="00326733" w:rsidP="004557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Fixed Deposit per NAV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326733" w:rsidRPr="004557E6" w:rsidRDefault="00326733" w:rsidP="004557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Listed stocks Per NAV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326733" w:rsidRPr="004557E6" w:rsidRDefault="00326733" w:rsidP="004557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Bonds per NAV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326733" w:rsidRPr="004557E6" w:rsidRDefault="00326733" w:rsidP="004557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Cash per NAV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326733" w:rsidRPr="004557E6" w:rsidRDefault="00326733" w:rsidP="004557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Realised</w:t>
            </w:r>
            <w:proofErr w:type="spellEnd"/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gain per Par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vAlign w:val="center"/>
            <w:hideMark/>
          </w:tcPr>
          <w:p w:rsidR="00326733" w:rsidRPr="004557E6" w:rsidRDefault="00326733" w:rsidP="004557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proofErr w:type="spellStart"/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Unrealised</w:t>
            </w:r>
            <w:proofErr w:type="spellEnd"/>
            <w:r w:rsidRPr="004557E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Gain per Par value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PRSF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12.46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90.17%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9.83%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20.26%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-0.46%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H8020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70.76%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5.33%</w:t>
            </w:r>
          </w:p>
        </w:tc>
      </w:tr>
      <w:tr w:rsidR="00326733" w:rsidRPr="004557E6" w:rsidTr="00326733">
        <w:trPr>
          <w:trHeight w:val="27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SIGS3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11.73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13.26%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16.51%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-2.40%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LVF2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11.43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0.39%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NSIF2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12.24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85.61%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13.15%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-0.98%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7.69%</w:t>
            </w:r>
          </w:p>
        </w:tc>
      </w:tr>
      <w:tr w:rsidR="00326733" w:rsidRPr="004557E6" w:rsidTr="00326733">
        <w:trPr>
          <w:trHeight w:val="238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NMB50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11.31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0.42%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C30MF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10.95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76.83%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0.21%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-1.48%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LUK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11.55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23.10%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4.62%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10.42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12.23%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-6.60%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SAGF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11.46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75.66%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12.12%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SIGS2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11.63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85.55%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2.88%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GIBF1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12.18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11.51%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11.54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11.39%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2.30%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11.45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71.18%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11.20%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4.78%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NBF3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11.19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74.76%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14.18%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4.29%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11.53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3.68%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SFMF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80.13%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10.50%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2.74%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11.34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87.34%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0.77%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11.89%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5.90%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RMF2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11.21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7.37%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81.75%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2.71%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SBCF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11.23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86.92%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9.83%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-6.35%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NIBLGF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10.36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85.43%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3.38%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-4.31%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10.38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80.81%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7.98%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-12.18%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NICSF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10.66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0.62%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10.62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89.75%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7.64%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-4.71%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NIBLSTF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9.70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86.34%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13.61%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7.49%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-9.18%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KDBY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11.32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83.25%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7.41%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1.99%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RMF1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11.04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6.95%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5.10%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KEF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10.58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80.60%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14.97%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1.98%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NICBF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10.75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3.69%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59.74%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9.79%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3.81%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NIBSF2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9.92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89.54%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8.58%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1.88%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-17.12%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10.20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75.78%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10.08%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3.07%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0.60%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NICFC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10.90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8.62%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82.78%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1.35%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7.25%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3.01%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7.78%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NICGF2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10.25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13.45%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79.46%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0.00%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7.09%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2.40%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2.30%</w:t>
            </w:r>
          </w:p>
        </w:tc>
      </w:tr>
      <w:tr w:rsidR="00326733" w:rsidRPr="004557E6" w:rsidTr="00326733">
        <w:trPr>
          <w:trHeight w:val="247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MNMF1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10.13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4.73%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78.65%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0.68%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15.94%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1.54%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326733" w:rsidRPr="004557E6" w:rsidRDefault="00326733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0.88%</w:t>
            </w:r>
          </w:p>
        </w:tc>
      </w:tr>
    </w:tbl>
    <w:p w:rsidR="00326733" w:rsidRPr="004557E6" w:rsidRDefault="00326733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AB4A77" w:rsidRPr="004557E6" w:rsidRDefault="00AB4A77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557E6">
        <w:rPr>
          <w:rFonts w:ascii="Times New Roman" w:hAnsi="Times New Roman" w:cs="Times New Roman"/>
          <w:sz w:val="24"/>
          <w:szCs w:val="24"/>
        </w:rPr>
        <w:t xml:space="preserve">This table provides a detailed breakdown of various mutual funds and their asset allocation per NAV in the </w:t>
      </w:r>
      <w:r w:rsidR="00CE0C02" w:rsidRPr="004557E6">
        <w:rPr>
          <w:rFonts w:ascii="Times New Roman" w:hAnsi="Times New Roman" w:cs="Times New Roman"/>
          <w:sz w:val="24"/>
          <w:szCs w:val="24"/>
        </w:rPr>
        <w:t>Close end of</w:t>
      </w:r>
      <w:r w:rsidRPr="004557E6">
        <w:rPr>
          <w:rFonts w:ascii="Times New Roman" w:hAnsi="Times New Roman" w:cs="Times New Roman"/>
          <w:sz w:val="24"/>
          <w:szCs w:val="24"/>
        </w:rPr>
        <w:t xml:space="preserve"> mutual fund industry. </w:t>
      </w:r>
    </w:p>
    <w:p w:rsidR="00D25419" w:rsidRPr="004557E6" w:rsidRDefault="00D25419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557E6">
        <w:rPr>
          <w:rFonts w:ascii="Times New Roman" w:hAnsi="Times New Roman" w:cs="Times New Roman"/>
          <w:sz w:val="24"/>
          <w:szCs w:val="24"/>
        </w:rPr>
        <w:t>The analysis shows a clear performance stratification, with top-performing funds like PRSF (20.26% realized gains) and H8020 (18.24% realized gains) maintaining relatively high equity exposures of 90.17% and 70.76% respectively, while also holding substantial cash positions that provided liquidity and defensive positioning. Notably, H8020's balanced approach with 9.86% fixed deposits and 7.19% bonds demonstrates how diversified allocation can enhance returns while managing risk</w:t>
      </w:r>
    </w:p>
    <w:p w:rsidR="00D25419" w:rsidRDefault="00BF31D9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4557E6">
        <w:rPr>
          <w:rFonts w:ascii="Times New Roman" w:hAnsi="Times New Roman" w:cs="Times New Roman"/>
          <w:sz w:val="24"/>
          <w:szCs w:val="24"/>
        </w:rPr>
        <w:t>SLCF maintains a balanced portfolio with 78.72% equity ex</w:t>
      </w:r>
      <w:r w:rsidR="000278E8" w:rsidRPr="004557E6">
        <w:rPr>
          <w:rFonts w:ascii="Times New Roman" w:hAnsi="Times New Roman" w:cs="Times New Roman"/>
          <w:sz w:val="24"/>
          <w:szCs w:val="24"/>
        </w:rPr>
        <w:t xml:space="preserve">poser it </w:t>
      </w:r>
      <w:r w:rsidR="004557E6" w:rsidRPr="004557E6">
        <w:rPr>
          <w:rFonts w:ascii="Times New Roman" w:hAnsi="Times New Roman" w:cs="Times New Roman"/>
          <w:sz w:val="24"/>
          <w:szCs w:val="24"/>
        </w:rPr>
        <w:t>contains</w:t>
      </w:r>
      <w:r w:rsidR="004557E6">
        <w:rPr>
          <w:rFonts w:ascii="Times New Roman" w:hAnsi="Times New Roman" w:cs="Times New Roman"/>
          <w:sz w:val="24"/>
          <w:szCs w:val="24"/>
        </w:rPr>
        <w:t xml:space="preserve"> </w:t>
      </w:r>
      <w:r w:rsidRPr="004557E6">
        <w:rPr>
          <w:rFonts w:ascii="Times New Roman" w:hAnsi="Times New Roman" w:cs="Times New Roman"/>
          <w:sz w:val="24"/>
          <w:szCs w:val="24"/>
        </w:rPr>
        <w:t>7.24% bonds and 4.33% fixed deposits, realized gains of 11.39% with additional unrealized gains of 2.30%. The fund's monthly NAV of 11.54</w:t>
      </w:r>
      <w:r w:rsidR="000278E8" w:rsidRPr="004557E6">
        <w:rPr>
          <w:rFonts w:ascii="Times New Roman" w:hAnsi="Times New Roman" w:cs="Times New Roman"/>
          <w:sz w:val="24"/>
          <w:szCs w:val="24"/>
        </w:rPr>
        <w:t xml:space="preserve">. </w:t>
      </w:r>
      <w:r w:rsidRPr="004557E6">
        <w:rPr>
          <w:rFonts w:ascii="Times New Roman" w:hAnsi="Times New Roman" w:cs="Times New Roman"/>
          <w:sz w:val="24"/>
          <w:szCs w:val="24"/>
        </w:rPr>
        <w:t xml:space="preserve">SAGF </w:t>
      </w:r>
      <w:r w:rsidR="00C40139" w:rsidRPr="004557E6">
        <w:rPr>
          <w:rFonts w:ascii="Times New Roman" w:hAnsi="Times New Roman" w:cs="Times New Roman"/>
          <w:sz w:val="24"/>
          <w:szCs w:val="24"/>
        </w:rPr>
        <w:t xml:space="preserve">has </w:t>
      </w:r>
      <w:r w:rsidRPr="004557E6">
        <w:rPr>
          <w:rFonts w:ascii="Times New Roman" w:hAnsi="Times New Roman" w:cs="Times New Roman"/>
          <w:sz w:val="24"/>
          <w:szCs w:val="24"/>
        </w:rPr>
        <w:t>.66% equity exposure and a higher 10.36% allocation to fixed deposits along with 5.41% bonds,</w:t>
      </w:r>
      <w:r w:rsidR="00C40139" w:rsidRPr="004557E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40139" w:rsidRPr="004557E6">
        <w:rPr>
          <w:rFonts w:ascii="Times New Roman" w:hAnsi="Times New Roman" w:cs="Times New Roman"/>
          <w:sz w:val="24"/>
          <w:szCs w:val="24"/>
        </w:rPr>
        <w:t>It</w:t>
      </w:r>
      <w:proofErr w:type="gramEnd"/>
      <w:r w:rsidR="00C40139" w:rsidRPr="004557E6">
        <w:rPr>
          <w:rFonts w:ascii="Times New Roman" w:hAnsi="Times New Roman" w:cs="Times New Roman"/>
          <w:sz w:val="24"/>
          <w:szCs w:val="24"/>
        </w:rPr>
        <w:t xml:space="preserve"> also</w:t>
      </w:r>
      <w:r w:rsidRPr="004557E6">
        <w:rPr>
          <w:rFonts w:ascii="Times New Roman" w:hAnsi="Times New Roman" w:cs="Times New Roman"/>
          <w:sz w:val="24"/>
          <w:szCs w:val="24"/>
        </w:rPr>
        <w:t xml:space="preserve"> </w:t>
      </w:r>
      <w:r w:rsidR="000278E8" w:rsidRPr="004557E6">
        <w:rPr>
          <w:rFonts w:ascii="Times New Roman" w:hAnsi="Times New Roman" w:cs="Times New Roman"/>
          <w:sz w:val="24"/>
          <w:szCs w:val="24"/>
        </w:rPr>
        <w:t>has</w:t>
      </w:r>
      <w:r w:rsidRPr="004557E6">
        <w:rPr>
          <w:rFonts w:ascii="Times New Roman" w:hAnsi="Times New Roman" w:cs="Times New Roman"/>
          <w:sz w:val="24"/>
          <w:szCs w:val="24"/>
        </w:rPr>
        <w:t xml:space="preserve"> strong realized gains of 12.12% </w:t>
      </w:r>
      <w:r w:rsidR="00C40139" w:rsidRPr="004557E6">
        <w:rPr>
          <w:rFonts w:ascii="Times New Roman" w:hAnsi="Times New Roman" w:cs="Times New Roman"/>
          <w:sz w:val="24"/>
          <w:szCs w:val="24"/>
        </w:rPr>
        <w:t xml:space="preserve">with </w:t>
      </w:r>
      <w:r w:rsidRPr="004557E6">
        <w:rPr>
          <w:rFonts w:ascii="Times New Roman" w:hAnsi="Times New Roman" w:cs="Times New Roman"/>
          <w:sz w:val="24"/>
          <w:szCs w:val="24"/>
        </w:rPr>
        <w:t xml:space="preserve">modest unrealized gains of 0.77%. </w:t>
      </w:r>
    </w:p>
    <w:p w:rsid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4557E6" w:rsidRPr="004557E6" w:rsidRDefault="004557E6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C40139" w:rsidRPr="004557E6" w:rsidRDefault="00C40139" w:rsidP="007E3030">
      <w:pPr>
        <w:pStyle w:val="Heading2"/>
      </w:pPr>
      <w:bookmarkStart w:id="8" w:name="_Toc204870007"/>
      <w:r w:rsidRPr="004557E6">
        <w:lastRenderedPageBreak/>
        <w:t>Top stock added this month by mutual fund.</w:t>
      </w:r>
      <w:bookmarkEnd w:id="8"/>
      <w:r w:rsidRPr="004557E6">
        <w:t xml:space="preserve"> </w:t>
      </w:r>
    </w:p>
    <w:tbl>
      <w:tblPr>
        <w:tblStyle w:val="PlainTable1"/>
        <w:tblW w:w="9580" w:type="dxa"/>
        <w:tblLook w:val="04A0" w:firstRow="1" w:lastRow="0" w:firstColumn="1" w:lastColumn="0" w:noHBand="0" w:noVBand="1"/>
      </w:tblPr>
      <w:tblGrid>
        <w:gridCol w:w="960"/>
        <w:gridCol w:w="1520"/>
        <w:gridCol w:w="1820"/>
        <w:gridCol w:w="1635"/>
        <w:gridCol w:w="3645"/>
      </w:tblGrid>
      <w:tr w:rsidR="00712BAD" w:rsidRPr="004557E6" w:rsidTr="00712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Symbol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14-May-25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13-Apr-25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Qty Added/(Decrease)</w:t>
            </w:r>
          </w:p>
        </w:tc>
      </w:tr>
      <w:tr w:rsidR="00712BAD" w:rsidRPr="004557E6" w:rsidTr="0071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API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1,755,435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1,418,824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336,611 </w:t>
            </w:r>
          </w:p>
        </w:tc>
      </w:tr>
      <w:tr w:rsidR="00712BAD" w:rsidRPr="004557E6" w:rsidTr="00712B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PCBL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2,920,330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2,585,358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334,972 </w:t>
            </w:r>
          </w:p>
        </w:tc>
      </w:tr>
      <w:tr w:rsidR="00712BAD" w:rsidRPr="004557E6" w:rsidTr="0071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SHIVM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1,751,766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1,476,602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275,164 </w:t>
            </w:r>
          </w:p>
        </w:tc>
      </w:tr>
      <w:tr w:rsidR="00712BAD" w:rsidRPr="004557E6" w:rsidTr="00712B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NLICL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2,193,978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1,937,145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256,833 </w:t>
            </w:r>
          </w:p>
        </w:tc>
      </w:tr>
      <w:tr w:rsidR="00712BAD" w:rsidRPr="004557E6" w:rsidTr="0071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GBBL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2,484,941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2,290,765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194,176 </w:t>
            </w:r>
          </w:p>
        </w:tc>
      </w:tr>
      <w:tr w:rsidR="00712BAD" w:rsidRPr="004557E6" w:rsidTr="00712B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NMB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2,973,058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2,791,894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181,164 </w:t>
            </w:r>
          </w:p>
        </w:tc>
      </w:tr>
      <w:tr w:rsidR="00712BAD" w:rsidRPr="004557E6" w:rsidTr="0071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GBIME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1,841,913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1,683,631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158,282 </w:t>
            </w:r>
          </w:p>
        </w:tc>
      </w:tr>
      <w:tr w:rsidR="00712BAD" w:rsidRPr="004557E6" w:rsidTr="00712B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NLIC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1,362,429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1,205,708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156,721 </w:t>
            </w:r>
          </w:p>
        </w:tc>
      </w:tr>
      <w:tr w:rsidR="00712BAD" w:rsidRPr="004557E6" w:rsidTr="0071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EBL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2,003,749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1,869,146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134,603 </w:t>
            </w:r>
          </w:p>
        </w:tc>
      </w:tr>
      <w:tr w:rsidR="00712BAD" w:rsidRPr="004557E6" w:rsidTr="00712B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TRH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294,799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162,474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132,325 </w:t>
            </w:r>
          </w:p>
        </w:tc>
      </w:tr>
    </w:tbl>
    <w:p w:rsidR="00C40139" w:rsidRPr="004557E6" w:rsidRDefault="00C40139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2A4613" w:rsidRPr="004557E6" w:rsidRDefault="00712BAD" w:rsidP="007E3030">
      <w:pPr>
        <w:pStyle w:val="Heading2"/>
      </w:pPr>
      <w:bookmarkStart w:id="9" w:name="_Toc204870008"/>
      <w:r w:rsidRPr="004557E6">
        <w:t xml:space="preserve">Top stock </w:t>
      </w:r>
      <w:r w:rsidR="004557E6" w:rsidRPr="004557E6">
        <w:t>Decrease this</w:t>
      </w:r>
      <w:r w:rsidRPr="004557E6">
        <w:t xml:space="preserve"> month by mutual fund.</w:t>
      </w:r>
      <w:bookmarkEnd w:id="9"/>
      <w:r w:rsidRPr="004557E6">
        <w:t xml:space="preserve"> </w:t>
      </w:r>
    </w:p>
    <w:tbl>
      <w:tblPr>
        <w:tblStyle w:val="PlainTable1"/>
        <w:tblW w:w="9580" w:type="dxa"/>
        <w:tblLook w:val="04A0" w:firstRow="1" w:lastRow="0" w:firstColumn="1" w:lastColumn="0" w:noHBand="0" w:noVBand="1"/>
      </w:tblPr>
      <w:tblGrid>
        <w:gridCol w:w="960"/>
        <w:gridCol w:w="1520"/>
        <w:gridCol w:w="1820"/>
        <w:gridCol w:w="1635"/>
        <w:gridCol w:w="3645"/>
      </w:tblGrid>
      <w:tr w:rsidR="00712BAD" w:rsidRPr="004557E6" w:rsidTr="00712B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SN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Symbol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14-May-25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13-Apr-25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Qty Added/(Decrease)</w:t>
            </w:r>
          </w:p>
        </w:tc>
      </w:tr>
      <w:tr w:rsidR="00712BAD" w:rsidRPr="004557E6" w:rsidTr="0071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SHPC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573,929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1,025,589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(451,660)</w:t>
            </w:r>
          </w:p>
        </w:tc>
      </w:tr>
      <w:tr w:rsidR="00712BAD" w:rsidRPr="004557E6" w:rsidTr="00712B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AHPC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246,273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606,902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(360,629)</w:t>
            </w:r>
          </w:p>
        </w:tc>
      </w:tr>
      <w:tr w:rsidR="00712BAD" w:rsidRPr="004557E6" w:rsidTr="0071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NIFRA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472,940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830,979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(358,039)</w:t>
            </w:r>
          </w:p>
        </w:tc>
      </w:tr>
      <w:tr w:rsidR="00712BAD" w:rsidRPr="004557E6" w:rsidTr="00712B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LBBL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658,485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972,390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(313,905)</w:t>
            </w:r>
          </w:p>
        </w:tc>
      </w:tr>
      <w:tr w:rsidR="00712BAD" w:rsidRPr="004557E6" w:rsidTr="0071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UPCL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14,995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221,121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(206,126)</w:t>
            </w:r>
          </w:p>
        </w:tc>
      </w:tr>
      <w:tr w:rsidR="00712BAD" w:rsidRPr="004557E6" w:rsidTr="00712B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SHL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521,186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702,196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(181,010)</w:t>
            </w:r>
          </w:p>
        </w:tc>
      </w:tr>
      <w:tr w:rsidR="00712BAD" w:rsidRPr="004557E6" w:rsidTr="0071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AKPL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399,292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542,119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(142,827)</w:t>
            </w:r>
          </w:p>
        </w:tc>
      </w:tr>
      <w:tr w:rsidR="00712BAD" w:rsidRPr="004557E6" w:rsidTr="00712B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NBL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993,688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1,109,760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(116,072)</w:t>
            </w:r>
          </w:p>
        </w:tc>
      </w:tr>
      <w:tr w:rsidR="00712BAD" w:rsidRPr="004557E6" w:rsidTr="00712B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SBI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793,826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907,529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(113,703)</w:t>
            </w:r>
          </w:p>
        </w:tc>
      </w:tr>
      <w:tr w:rsidR="00712BAD" w:rsidRPr="004557E6" w:rsidTr="00712BAD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15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RIDI</w:t>
            </w:r>
          </w:p>
        </w:tc>
        <w:tc>
          <w:tcPr>
            <w:tcW w:w="1820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36,323 </w:t>
            </w:r>
          </w:p>
        </w:tc>
        <w:tc>
          <w:tcPr>
            <w:tcW w:w="163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126,841 </w:t>
            </w:r>
          </w:p>
        </w:tc>
        <w:tc>
          <w:tcPr>
            <w:tcW w:w="3645" w:type="dxa"/>
            <w:noWrap/>
            <w:hideMark/>
          </w:tcPr>
          <w:p w:rsidR="00712BAD" w:rsidRPr="004557E6" w:rsidRDefault="00712BAD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(90,518)</w:t>
            </w:r>
          </w:p>
        </w:tc>
      </w:tr>
    </w:tbl>
    <w:p w:rsidR="00712BAD" w:rsidRPr="004557E6" w:rsidRDefault="00712BAD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2D2886" w:rsidRDefault="002D2886" w:rsidP="007E3030">
      <w:pPr>
        <w:pStyle w:val="NoSpacing"/>
        <w:jc w:val="both"/>
        <w:rPr>
          <w:rFonts w:ascii="Times New Roman" w:eastAsiaTheme="minorHAnsi" w:hAnsi="Times New Roman" w:cs="Times New Roman"/>
        </w:rPr>
      </w:pPr>
      <w:r w:rsidRPr="007E3030">
        <w:rPr>
          <w:rFonts w:ascii="Times New Roman" w:eastAsiaTheme="minorHAnsi" w:hAnsi="Times New Roman" w:cs="Times New Roman"/>
        </w:rPr>
        <w:t xml:space="preserve">The data serves as a leading indicator of market sentiment and sector rotation trends. </w:t>
      </w:r>
      <w:r w:rsidR="00712BAD" w:rsidRPr="007E3030">
        <w:rPr>
          <w:rFonts w:ascii="Times New Roman" w:eastAsiaTheme="minorHAnsi" w:hAnsi="Times New Roman" w:cs="Times New Roman"/>
        </w:rPr>
        <w:t xml:space="preserve">This analysis reveals </w:t>
      </w:r>
      <w:r w:rsidRPr="007E3030">
        <w:rPr>
          <w:rFonts w:ascii="Times New Roman" w:eastAsiaTheme="minorHAnsi" w:hAnsi="Times New Roman" w:cs="Times New Roman"/>
        </w:rPr>
        <w:t xml:space="preserve">what mutual fund are doing </w:t>
      </w:r>
      <w:r w:rsidR="00712BAD" w:rsidRPr="007E3030">
        <w:rPr>
          <w:rFonts w:ascii="Times New Roman" w:eastAsiaTheme="minorHAnsi" w:hAnsi="Times New Roman" w:cs="Times New Roman"/>
        </w:rPr>
        <w:t xml:space="preserve">and </w:t>
      </w:r>
      <w:r w:rsidRPr="007E3030">
        <w:rPr>
          <w:rFonts w:ascii="Times New Roman" w:eastAsiaTheme="minorHAnsi" w:hAnsi="Times New Roman" w:cs="Times New Roman"/>
        </w:rPr>
        <w:t xml:space="preserve">there </w:t>
      </w:r>
      <w:r w:rsidR="00712BAD" w:rsidRPr="007E3030">
        <w:rPr>
          <w:rFonts w:ascii="Times New Roman" w:eastAsiaTheme="minorHAnsi" w:hAnsi="Times New Roman" w:cs="Times New Roman"/>
        </w:rPr>
        <w:t>market trends, allowing fund managers to benchmark their own portfolio decisions against industry peers</w:t>
      </w:r>
      <w:proofErr w:type="gramStart"/>
      <w:r w:rsidR="00712BAD" w:rsidRPr="007E3030">
        <w:rPr>
          <w:rFonts w:ascii="Times New Roman" w:eastAsiaTheme="minorHAnsi" w:hAnsi="Times New Roman" w:cs="Times New Roman"/>
        </w:rPr>
        <w:t>, ,</w:t>
      </w:r>
      <w:proofErr w:type="gramEnd"/>
      <w:r w:rsidR="00712BAD" w:rsidRPr="007E3030">
        <w:rPr>
          <w:rFonts w:ascii="Times New Roman" w:eastAsiaTheme="minorHAnsi" w:hAnsi="Times New Roman" w:cs="Times New Roman"/>
        </w:rPr>
        <w:t xml:space="preserve"> and spot emerging opportunities in sectors. </w:t>
      </w:r>
    </w:p>
    <w:p w:rsidR="007E3030" w:rsidRPr="007E3030" w:rsidRDefault="007E3030" w:rsidP="007E3030">
      <w:pPr>
        <w:pStyle w:val="NoSpacing"/>
        <w:jc w:val="both"/>
        <w:rPr>
          <w:rFonts w:ascii="Times New Roman" w:eastAsiaTheme="minorHAnsi" w:hAnsi="Times New Roman" w:cs="Times New Roman"/>
        </w:rPr>
      </w:pPr>
    </w:p>
    <w:p w:rsidR="004557E6" w:rsidRPr="004557E6" w:rsidRDefault="004557E6" w:rsidP="004557E6"/>
    <w:p w:rsidR="00330A92" w:rsidRPr="004557E6" w:rsidRDefault="00330A92" w:rsidP="004557E6">
      <w:pPr>
        <w:pStyle w:val="Heading2"/>
      </w:pPr>
      <w:bookmarkStart w:id="10" w:name="_Toc204870009"/>
      <w:r w:rsidRPr="004557E6">
        <w:lastRenderedPageBreak/>
        <w:t xml:space="preserve">Comparison of </w:t>
      </w:r>
      <w:r w:rsidR="00712BAD" w:rsidRPr="004557E6">
        <w:t>two</w:t>
      </w:r>
      <w:r w:rsidRPr="004557E6">
        <w:t xml:space="preserve"> months of the top holdings of mutual fund industry</w:t>
      </w:r>
      <w:bookmarkEnd w:id="10"/>
      <w:r w:rsidRPr="004557E6">
        <w:t xml:space="preserve"> </w:t>
      </w:r>
    </w:p>
    <w:tbl>
      <w:tblPr>
        <w:tblW w:w="5756" w:type="pct"/>
        <w:jc w:val="center"/>
        <w:tblLayout w:type="fixed"/>
        <w:tblLook w:val="04A0" w:firstRow="1" w:lastRow="0" w:firstColumn="1" w:lastColumn="0" w:noHBand="0" w:noVBand="1"/>
      </w:tblPr>
      <w:tblGrid>
        <w:gridCol w:w="1295"/>
        <w:gridCol w:w="1335"/>
        <w:gridCol w:w="1414"/>
        <w:gridCol w:w="1567"/>
        <w:gridCol w:w="9"/>
        <w:gridCol w:w="1124"/>
        <w:gridCol w:w="1350"/>
        <w:gridCol w:w="1531"/>
        <w:gridCol w:w="1130"/>
        <w:gridCol w:w="9"/>
      </w:tblGrid>
      <w:tr w:rsidR="00712BAD" w:rsidRPr="007E3030" w:rsidTr="007E3030">
        <w:trPr>
          <w:trHeight w:val="276"/>
          <w:jc w:val="center"/>
        </w:trPr>
        <w:tc>
          <w:tcPr>
            <w:tcW w:w="2611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DDEBF7" w:fill="DDEBF7"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14-May-25</w:t>
            </w:r>
          </w:p>
        </w:tc>
        <w:tc>
          <w:tcPr>
            <w:tcW w:w="2389" w:type="pct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DDEBF7" w:fill="DDEBF7"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13-Apr-25</w:t>
            </w:r>
          </w:p>
        </w:tc>
      </w:tr>
      <w:tr w:rsidR="00712BAD" w:rsidRPr="007E3030" w:rsidTr="007E3030">
        <w:trPr>
          <w:gridAfter w:val="1"/>
          <w:wAfter w:w="4" w:type="pct"/>
          <w:trHeight w:val="1124"/>
          <w:jc w:val="center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Sum of Qty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Amount</w:t>
            </w:r>
            <w:r w:rsidR="002D2886"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(as published)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% of holding as of gross nav</w:t>
            </w:r>
          </w:p>
        </w:tc>
        <w:tc>
          <w:tcPr>
            <w:tcW w:w="5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Row Labels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Sum of Qty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Amount</w:t>
            </w:r>
            <w:r w:rsidR="002D2886"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(as published)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% of holding as of gross nav</w:t>
            </w:r>
          </w:p>
        </w:tc>
      </w:tr>
      <w:tr w:rsidR="00712BAD" w:rsidRPr="007E3030" w:rsidTr="007E3030">
        <w:trPr>
          <w:gridAfter w:val="1"/>
          <w:wAfter w:w="4" w:type="pct"/>
          <w:trHeight w:val="281"/>
          <w:jc w:val="center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NLICL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2,193,978 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1,365,268,630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2.33 </w:t>
            </w:r>
          </w:p>
        </w:tc>
        <w:tc>
          <w:tcPr>
            <w:tcW w:w="5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NLICL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1,937,145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1,210,289,453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2.16 </w:t>
            </w:r>
          </w:p>
        </w:tc>
      </w:tr>
      <w:tr w:rsidR="00712BAD" w:rsidRPr="007E3030" w:rsidTr="007E3030">
        <w:trPr>
          <w:gridAfter w:val="1"/>
          <w:wAfter w:w="4" w:type="pct"/>
          <w:trHeight w:val="281"/>
          <w:jc w:val="center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EBL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2,003,749 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1,229,941,211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2.10 </w:t>
            </w:r>
          </w:p>
        </w:tc>
        <w:tc>
          <w:tcPr>
            <w:tcW w:w="5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SPIL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1,419,926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1,165,011,799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2.08 </w:t>
            </w:r>
          </w:p>
        </w:tc>
      </w:tr>
      <w:tr w:rsidR="00712BAD" w:rsidRPr="007E3030" w:rsidTr="007E3030">
        <w:trPr>
          <w:gridAfter w:val="1"/>
          <w:wAfter w:w="4" w:type="pct"/>
          <w:trHeight w:val="281"/>
          <w:jc w:val="center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CBBL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1,427,416 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1,209,820,705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2.06 </w:t>
            </w:r>
          </w:p>
        </w:tc>
        <w:tc>
          <w:tcPr>
            <w:tcW w:w="5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NIL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1,546,313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1,160,909,948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2.07 </w:t>
            </w:r>
          </w:p>
        </w:tc>
      </w:tr>
      <w:tr w:rsidR="00712BAD" w:rsidRPr="007E3030" w:rsidTr="007E3030">
        <w:trPr>
          <w:gridAfter w:val="1"/>
          <w:wAfter w:w="4" w:type="pct"/>
          <w:trHeight w:val="281"/>
          <w:jc w:val="center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SPIL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1,462,026 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1,167,223,077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1.99 </w:t>
            </w:r>
          </w:p>
        </w:tc>
        <w:tc>
          <w:tcPr>
            <w:tcW w:w="5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SALICO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1,584,340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1,135,353,887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2.03 </w:t>
            </w:r>
          </w:p>
        </w:tc>
      </w:tr>
      <w:tr w:rsidR="00712BAD" w:rsidRPr="007E3030" w:rsidTr="007E3030">
        <w:trPr>
          <w:gridAfter w:val="1"/>
          <w:wAfter w:w="4" w:type="pct"/>
          <w:trHeight w:val="281"/>
          <w:jc w:val="center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SANIMA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3,752,274 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1,146,228,624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1.95 </w:t>
            </w:r>
          </w:p>
        </w:tc>
        <w:tc>
          <w:tcPr>
            <w:tcW w:w="5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EBL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1,869,146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1,132,889,391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2.02 </w:t>
            </w:r>
          </w:p>
        </w:tc>
      </w:tr>
      <w:tr w:rsidR="00712BAD" w:rsidRPr="007E3030" w:rsidTr="007E3030">
        <w:trPr>
          <w:gridAfter w:val="1"/>
          <w:wAfter w:w="4" w:type="pct"/>
          <w:trHeight w:val="281"/>
          <w:jc w:val="center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NIL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1,607,771 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1,121,516,739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1.91 </w:t>
            </w:r>
          </w:p>
        </w:tc>
        <w:tc>
          <w:tcPr>
            <w:tcW w:w="5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CBBL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1,329,016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1,122,274,271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2.01 </w:t>
            </w:r>
          </w:p>
        </w:tc>
      </w:tr>
      <w:tr w:rsidR="00712BAD" w:rsidRPr="007E3030" w:rsidTr="007E3030">
        <w:trPr>
          <w:gridAfter w:val="1"/>
          <w:wAfter w:w="4" w:type="pct"/>
          <w:trHeight w:val="281"/>
          <w:jc w:val="center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SALICO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1,656,440 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1,113,972,464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1.90 </w:t>
            </w:r>
          </w:p>
        </w:tc>
        <w:tc>
          <w:tcPr>
            <w:tcW w:w="5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SANIMA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3,704,168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1,112,778,751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1.99 </w:t>
            </w:r>
          </w:p>
        </w:tc>
      </w:tr>
      <w:tr w:rsidR="00712BAD" w:rsidRPr="007E3030" w:rsidTr="007E3030">
        <w:trPr>
          <w:gridAfter w:val="1"/>
          <w:wAfter w:w="4" w:type="pct"/>
          <w:trHeight w:val="281"/>
          <w:jc w:val="center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NLIC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1,362,429 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1,027,312,339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1.75 </w:t>
            </w:r>
          </w:p>
        </w:tc>
        <w:tc>
          <w:tcPr>
            <w:tcW w:w="5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SKBBL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1,168,685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934,503,900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1.67 </w:t>
            </w:r>
          </w:p>
        </w:tc>
      </w:tr>
      <w:tr w:rsidR="00712BAD" w:rsidRPr="007E3030" w:rsidTr="007E3030">
        <w:trPr>
          <w:gridAfter w:val="1"/>
          <w:wAfter w:w="4" w:type="pct"/>
          <w:trHeight w:val="281"/>
          <w:jc w:val="center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GBBL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2,484,941 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997,281,371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1.70 </w:t>
            </w:r>
          </w:p>
        </w:tc>
        <w:tc>
          <w:tcPr>
            <w:tcW w:w="5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NLIC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1,205,708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924,066,668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1.65 </w:t>
            </w:r>
          </w:p>
        </w:tc>
      </w:tr>
      <w:tr w:rsidR="00712BAD" w:rsidRPr="007E3030" w:rsidTr="007E3030">
        <w:trPr>
          <w:gridAfter w:val="1"/>
          <w:wAfter w:w="4" w:type="pct"/>
          <w:trHeight w:val="281"/>
          <w:jc w:val="center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SKBBL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1,210,986 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958,555,968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1.63 </w:t>
            </w:r>
          </w:p>
        </w:tc>
        <w:tc>
          <w:tcPr>
            <w:tcW w:w="5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GBBL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2,290,765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906,822,233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1.62 </w:t>
            </w:r>
          </w:p>
        </w:tc>
      </w:tr>
      <w:tr w:rsidR="00712BAD" w:rsidRPr="007E3030" w:rsidTr="007E3030">
        <w:trPr>
          <w:gridAfter w:val="1"/>
          <w:wAfter w:w="4" w:type="pct"/>
          <w:trHeight w:val="281"/>
          <w:jc w:val="center"/>
        </w:trPr>
        <w:tc>
          <w:tcPr>
            <w:tcW w:w="60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62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302,954,004 </w:t>
            </w:r>
          </w:p>
        </w:tc>
        <w:tc>
          <w:tcPr>
            <w:tcW w:w="6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44,778,139,228 </w:t>
            </w:r>
          </w:p>
        </w:tc>
        <w:tc>
          <w:tcPr>
            <w:tcW w:w="72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76.33 </w:t>
            </w:r>
          </w:p>
        </w:tc>
        <w:tc>
          <w:tcPr>
            <w:tcW w:w="52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Grand Total</w:t>
            </w:r>
          </w:p>
        </w:tc>
        <w:tc>
          <w:tcPr>
            <w:tcW w:w="62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297,096,989 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43,304,723,763 </w:t>
            </w:r>
          </w:p>
        </w:tc>
        <w:tc>
          <w:tcPr>
            <w:tcW w:w="52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vAlign w:val="bottom"/>
            <w:hideMark/>
          </w:tcPr>
          <w:p w:rsidR="00712BAD" w:rsidRPr="007E3030" w:rsidRDefault="00712BAD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E3030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 xml:space="preserve">77.38 </w:t>
            </w:r>
          </w:p>
        </w:tc>
      </w:tr>
    </w:tbl>
    <w:p w:rsidR="00712BAD" w:rsidRPr="004557E6" w:rsidRDefault="00712BAD" w:rsidP="0045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712BAD" w:rsidRPr="004557E6" w:rsidRDefault="00712BAD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8A5227" w:rsidRDefault="008A5227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4557E6" w:rsidRDefault="004557E6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4557E6" w:rsidRDefault="004557E6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4557E6" w:rsidRDefault="004557E6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4557E6" w:rsidRDefault="004557E6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4557E6" w:rsidRDefault="004557E6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7E3030" w:rsidRDefault="007E3030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7E3030" w:rsidRDefault="007E3030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4557E6" w:rsidRDefault="004557E6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7E3030" w:rsidRDefault="007E3030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7E3030" w:rsidRDefault="007E3030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7E3030" w:rsidRDefault="007E3030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7E3030" w:rsidRDefault="007E3030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7E3030" w:rsidRPr="004557E6" w:rsidRDefault="007E3030" w:rsidP="004557E6">
      <w:pPr>
        <w:spacing w:line="360" w:lineRule="auto"/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8A5227" w:rsidRPr="004557E6" w:rsidRDefault="004557E6" w:rsidP="004557E6">
      <w:pPr>
        <w:pStyle w:val="Heading2"/>
      </w:pPr>
      <w:bookmarkStart w:id="11" w:name="_Toc204870010"/>
      <w:r w:rsidRPr="004557E6">
        <w:lastRenderedPageBreak/>
        <w:t>Discount from</w:t>
      </w:r>
      <w:r w:rsidR="008A5227" w:rsidRPr="004557E6">
        <w:t xml:space="preserve"> the market and their realized gain</w:t>
      </w:r>
      <w:bookmarkEnd w:id="11"/>
      <w:r w:rsidR="008A5227" w:rsidRPr="004557E6">
        <w:t xml:space="preserve"> </w:t>
      </w:r>
    </w:p>
    <w:p w:rsidR="008A5227" w:rsidRPr="004557E6" w:rsidRDefault="008A5227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tbl>
      <w:tblPr>
        <w:tblStyle w:val="PlainTable1"/>
        <w:tblW w:w="9820" w:type="dxa"/>
        <w:tblLook w:val="04A0" w:firstRow="1" w:lastRow="0" w:firstColumn="1" w:lastColumn="0" w:noHBand="0" w:noVBand="1"/>
      </w:tblPr>
      <w:tblGrid>
        <w:gridCol w:w="1244"/>
        <w:gridCol w:w="1003"/>
        <w:gridCol w:w="1310"/>
        <w:gridCol w:w="1199"/>
        <w:gridCol w:w="1258"/>
        <w:gridCol w:w="1238"/>
        <w:gridCol w:w="1378"/>
        <w:gridCol w:w="1599"/>
      </w:tblGrid>
      <w:tr w:rsidR="008A5227" w:rsidRPr="004557E6" w:rsidTr="008A52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ABB</w:t>
            </w:r>
          </w:p>
        </w:tc>
        <w:tc>
          <w:tcPr>
            <w:tcW w:w="859" w:type="dxa"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Scheme Size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Maturity</w:t>
            </w:r>
          </w:p>
        </w:tc>
        <w:tc>
          <w:tcPr>
            <w:tcW w:w="1199" w:type="dxa"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LTP as of 04-Jun-2025</w:t>
            </w:r>
          </w:p>
        </w:tc>
        <w:tc>
          <w:tcPr>
            <w:tcW w:w="1258" w:type="dxa"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Discount on Weekly nav %</w:t>
            </w:r>
          </w:p>
        </w:tc>
        <w:tc>
          <w:tcPr>
            <w:tcW w:w="1238" w:type="dxa"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Realized gain per Par value</w:t>
            </w:r>
          </w:p>
        </w:tc>
        <w:tc>
          <w:tcPr>
            <w:tcW w:w="1378" w:type="dxa"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Unrealized Gain per Par value </w:t>
            </w:r>
          </w:p>
        </w:tc>
        <w:tc>
          <w:tcPr>
            <w:tcW w:w="1599" w:type="dxa"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Monthly NAV </w:t>
            </w:r>
            <w:proofErr w:type="gramStart"/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As</w:t>
            </w:r>
            <w:proofErr w:type="gramEnd"/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of 14-May-2025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NICGF2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0.91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11/20/2030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8.50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-18.66%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0.64%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10.25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KEF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1.00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3/18/2031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9.00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-17.66%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3.81%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10.58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NICFC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1.02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6/15/2029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9.20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-17.56%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1.15%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7.8%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10.90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KSY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0.74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3/19/2034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8.96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-17.34%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5.98%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-4.7%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10.62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SBCF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1.25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3/26/2031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9.60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-17.10%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6.72%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-6.4%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11.23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NICSF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7/5/2028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9.03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-16.85%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5.87%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10.66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NIBLGF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1.32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1/17/2033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8.59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-16.84%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6.73%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-4.3%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10.36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SLCF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1.20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2/23/2028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9.81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-16.58%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9.59%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2.3%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11.54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NICBF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0.76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8/27/2029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9.20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-16.44%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3.50%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3.8%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10.75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RMF2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0.85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5/21/2033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9.70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-16.02%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7.12%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11.21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LUK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0.65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8/14/2030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9.99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-15.98%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10.47%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4.6%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11.55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KDBY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1.23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7/25/2032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9.72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-15.70%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5.69%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2.0%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11.32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NIBSF2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1.50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5/29/2031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8.35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-15.66%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2.84%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-17.1%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9.92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RMF1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7/23/2028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9.64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-15.14%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5.29%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5.1%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11.04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SEF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1.50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11/8/2027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10.00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-15.11%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8.73%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3.7%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11.53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SIGS2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1.20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8/26/2029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10.10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-14.98%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9.59%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2.9%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11.63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NSIF2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1.20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9/1/2032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10.65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-14.94%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11.15%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-1.0%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12.24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MMF1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9/8/2031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8.80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-14.81%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6.35%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-12.2%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10.38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LVF2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0.80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9/3/2033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9.91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-14.79%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11.70%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11.43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NBF2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1.12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5/31/2029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9.89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-14.67%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9.35%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4.8%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11.45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GIBF1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1.03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7/28/2032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10.60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-14.65%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9.59%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11.5%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12.18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SAGF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0.67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11/27/2033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9.97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-14.57%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10.32%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0.8%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11.46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PSF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6/21/2028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10.88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-14.40%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10.90%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7.7%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12.36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SFEF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1.00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2/12/2032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9.94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-14.31%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7.12%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5.9%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11.34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H8020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1.00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10/1/2033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11.11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-13.81%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16.36%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>5.3%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highlight w:val="green"/>
              </w:rPr>
              <w:t xml:space="preserve"> 12.66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NBF3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9/23/2031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9.82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-13.78%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8.80%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4.3%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11.19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lastRenderedPageBreak/>
              <w:t>NIBLSTF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1.13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2/7/2036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8.45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-12.53%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5.88%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-9.2%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9.70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SIGS3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0.81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4/30/2033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10.49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-12.44%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14.68%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-2.4%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11.73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PRSF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1.00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3/14/2032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11.33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-11.69%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18.32%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-0.5%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12.46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CMF2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0.56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7/8/2026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9.40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-11.07%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10.50%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-6.6%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10.42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GSY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1/2/2035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9.30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-10.92%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1.44%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0.6%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10.20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C30MF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0.75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5/14/2033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10.04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-9.87%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10.60%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-1.5%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10.95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MNMF1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12/19/2034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9.14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-9.59%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0.41%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0.9%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10.13 </w:t>
            </w:r>
          </w:p>
        </w:tc>
      </w:tr>
      <w:tr w:rsidR="008A5227" w:rsidRPr="004557E6" w:rsidTr="008A5227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SFMF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0.86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11/4/2029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10.59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-7.75%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8.49%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2.7%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11.21 </w:t>
            </w:r>
          </w:p>
        </w:tc>
      </w:tr>
      <w:tr w:rsidR="008A5227" w:rsidRPr="004557E6" w:rsidTr="008A52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NMB50</w:t>
            </w:r>
          </w:p>
        </w:tc>
        <w:tc>
          <w:tcPr>
            <w:tcW w:w="85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1.25 </w:t>
            </w:r>
          </w:p>
        </w:tc>
        <w:tc>
          <w:tcPr>
            <w:tcW w:w="1160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9/1/2026</w:t>
            </w:r>
          </w:p>
        </w:tc>
        <w:tc>
          <w:tcPr>
            <w:tcW w:w="11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10.90 </w:t>
            </w:r>
          </w:p>
        </w:tc>
        <w:tc>
          <w:tcPr>
            <w:tcW w:w="125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-6.60%</w:t>
            </w:r>
          </w:p>
        </w:tc>
        <w:tc>
          <w:tcPr>
            <w:tcW w:w="123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10.56%</w:t>
            </w:r>
          </w:p>
        </w:tc>
        <w:tc>
          <w:tcPr>
            <w:tcW w:w="1378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0.4%</w:t>
            </w:r>
          </w:p>
        </w:tc>
        <w:tc>
          <w:tcPr>
            <w:tcW w:w="1599" w:type="dxa"/>
            <w:noWrap/>
            <w:hideMark/>
          </w:tcPr>
          <w:p w:rsidR="008A5227" w:rsidRPr="004557E6" w:rsidRDefault="008A5227" w:rsidP="004557E6">
            <w:pPr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4557E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11.31 </w:t>
            </w:r>
          </w:p>
        </w:tc>
      </w:tr>
    </w:tbl>
    <w:p w:rsidR="008A5227" w:rsidRPr="004557E6" w:rsidRDefault="008A5227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712BAD" w:rsidRPr="004557E6" w:rsidRDefault="008A5227" w:rsidP="004557E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57E6">
        <w:rPr>
          <w:rFonts w:ascii="Times New Roman" w:hAnsi="Times New Roman" w:cs="Times New Roman"/>
          <w:sz w:val="24"/>
          <w:szCs w:val="24"/>
        </w:rPr>
        <w:t>This data reveals a compelling inverse relationship between market discount levels and realized gains, highlighting significant inefficiencies in mutual fund.</w:t>
      </w:r>
      <w:r w:rsidR="00AF2BC0" w:rsidRPr="004557E6">
        <w:rPr>
          <w:rFonts w:ascii="Times New Roman" w:hAnsi="Times New Roman" w:cs="Times New Roman"/>
          <w:sz w:val="24"/>
          <w:szCs w:val="24"/>
        </w:rPr>
        <w:t xml:space="preserve"> The discount patterns appear to correlate with fund maturity and performance quality, where funds with longer track records and consistent performance command premium valuations despite still trading below NAV.</w:t>
      </w:r>
    </w:p>
    <w:p w:rsidR="003C26D0" w:rsidRPr="004557E6" w:rsidRDefault="00282696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r w:rsidRPr="004557E6">
        <w:rPr>
          <w:rFonts w:ascii="Times New Roman" w:hAnsi="Times New Roman" w:cs="Times New Roman"/>
          <w:sz w:val="24"/>
          <w:szCs w:val="24"/>
        </w:rPr>
        <w:t>Looking at the discount rate, NAV, and realized gains, I would suggest buying SBCF and LUK. Looking at funds with only one fund managed by the fund manager and their discount rates, I suggest buying GIBF1 and H8020. Generally, the discount rate gap decreases during the dividend announcement period. I suggest buying at the current rate and selling after the dividend announcement period, which will happen in Shrawan.</w:t>
      </w:r>
    </w:p>
    <w:p w:rsidR="00282696" w:rsidRDefault="00282696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1157F" w:rsidRDefault="0041157F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1157F" w:rsidRDefault="0041157F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1157F" w:rsidRDefault="0041157F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1157F" w:rsidRDefault="0041157F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1157F" w:rsidRDefault="0041157F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</w:p>
    <w:p w:rsidR="0041157F" w:rsidRPr="004557E6" w:rsidRDefault="0041157F" w:rsidP="004557E6">
      <w:pPr>
        <w:spacing w:line="360" w:lineRule="auto"/>
        <w:rPr>
          <w:rFonts w:ascii="Times New Roman" w:hAnsi="Times New Roman" w:cs="Times New Roman"/>
          <w:sz w:val="24"/>
          <w:szCs w:val="24"/>
          <w:highlight w:val="yellow"/>
        </w:rPr>
      </w:pPr>
      <w:bookmarkStart w:id="12" w:name="_GoBack"/>
      <w:bookmarkEnd w:id="12"/>
    </w:p>
    <w:p w:rsidR="00C62A0B" w:rsidRPr="004557E6" w:rsidRDefault="00C62A0B" w:rsidP="007E3030">
      <w:pPr>
        <w:pStyle w:val="Heading2"/>
      </w:pPr>
      <w:bookmarkStart w:id="13" w:name="_Toc204870011"/>
      <w:r w:rsidRPr="004557E6">
        <w:t>Disclaimer:</w:t>
      </w:r>
      <w:bookmarkEnd w:id="13"/>
    </w:p>
    <w:p w:rsidR="00C62A0B" w:rsidRPr="004557E6" w:rsidRDefault="00C62A0B" w:rsidP="004557E6">
      <w:pPr>
        <w:pStyle w:val="ListParagraph"/>
        <w:numPr>
          <w:ilvl w:val="0"/>
          <w:numId w:val="6"/>
        </w:numPr>
        <w:spacing w:after="120" w:line="360" w:lineRule="auto"/>
        <w:ind w:left="0" w:firstLine="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4557E6">
        <w:rPr>
          <w:rFonts w:ascii="Times New Roman" w:hAnsi="Times New Roman" w:cs="Times New Roman"/>
          <w:i/>
          <w:sz w:val="24"/>
          <w:szCs w:val="24"/>
          <w:u w:val="single"/>
        </w:rPr>
        <w:t>This report is based on publicly available monthly published data and is intended for informational purposes only. Any decision made based on this report are solely at the viewer discretion.</w:t>
      </w:r>
    </w:p>
    <w:p w:rsidR="00C20047" w:rsidRPr="004557E6" w:rsidRDefault="00C20047" w:rsidP="004557E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</w:p>
    <w:sectPr w:rsidR="00C20047" w:rsidRPr="004557E6" w:rsidSect="006B0B11">
      <w:headerReference w:type="default" r:id="rId16"/>
      <w:footerReference w:type="default" r:id="rId17"/>
      <w:pgSz w:w="12240" w:h="15840"/>
      <w:pgMar w:top="1080" w:right="1440" w:bottom="720" w:left="1440" w:header="720" w:footer="3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57E6" w:rsidRDefault="004557E6" w:rsidP="00863DD8">
      <w:r>
        <w:separator/>
      </w:r>
    </w:p>
  </w:endnote>
  <w:endnote w:type="continuationSeparator" w:id="0">
    <w:p w:rsidR="004557E6" w:rsidRDefault="004557E6" w:rsidP="00863D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7914884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557E6" w:rsidRDefault="004557E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557E6" w:rsidRDefault="004557E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57E6" w:rsidRDefault="004557E6" w:rsidP="00863DD8">
      <w:r>
        <w:separator/>
      </w:r>
    </w:p>
  </w:footnote>
  <w:footnote w:type="continuationSeparator" w:id="0">
    <w:p w:rsidR="004557E6" w:rsidRDefault="004557E6" w:rsidP="00863D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557E6" w:rsidRDefault="004557E6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700F0C2" wp14:editId="3A2102FE">
          <wp:simplePos x="0" y="0"/>
          <wp:positionH relativeFrom="column">
            <wp:posOffset>4281463</wp:posOffset>
          </wp:positionH>
          <wp:positionV relativeFrom="paragraph">
            <wp:posOffset>-281012</wp:posOffset>
          </wp:positionV>
          <wp:extent cx="2297619" cy="494754"/>
          <wp:effectExtent l="0" t="0" r="7620" b="635"/>
          <wp:wrapNone/>
          <wp:docPr id="28" name="Picture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nima capital high resolution final - Cop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97619" cy="4947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625A7"/>
    <w:multiLevelType w:val="multilevel"/>
    <w:tmpl w:val="540CB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CE523F"/>
    <w:multiLevelType w:val="hybridMultilevel"/>
    <w:tmpl w:val="22BE5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B67E9"/>
    <w:multiLevelType w:val="multilevel"/>
    <w:tmpl w:val="36781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9E0396"/>
    <w:multiLevelType w:val="multilevel"/>
    <w:tmpl w:val="A2529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60171C"/>
    <w:multiLevelType w:val="multilevel"/>
    <w:tmpl w:val="65C00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B02C57"/>
    <w:multiLevelType w:val="multilevel"/>
    <w:tmpl w:val="88DA7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825"/>
    <w:rsid w:val="000025CD"/>
    <w:rsid w:val="000075BC"/>
    <w:rsid w:val="00012109"/>
    <w:rsid w:val="0002026C"/>
    <w:rsid w:val="000215BF"/>
    <w:rsid w:val="00023B89"/>
    <w:rsid w:val="0002574C"/>
    <w:rsid w:val="000278E8"/>
    <w:rsid w:val="00053370"/>
    <w:rsid w:val="00062678"/>
    <w:rsid w:val="000643B2"/>
    <w:rsid w:val="00070FFB"/>
    <w:rsid w:val="00080EAE"/>
    <w:rsid w:val="00080FAF"/>
    <w:rsid w:val="0008320E"/>
    <w:rsid w:val="00090917"/>
    <w:rsid w:val="000A236E"/>
    <w:rsid w:val="000A7ACB"/>
    <w:rsid w:val="000D03A7"/>
    <w:rsid w:val="000D0E75"/>
    <w:rsid w:val="000D7594"/>
    <w:rsid w:val="000E3892"/>
    <w:rsid w:val="000E47C8"/>
    <w:rsid w:val="000E7C56"/>
    <w:rsid w:val="000F0CE1"/>
    <w:rsid w:val="000F25B2"/>
    <w:rsid w:val="000F4374"/>
    <w:rsid w:val="001138DE"/>
    <w:rsid w:val="00127A78"/>
    <w:rsid w:val="00131143"/>
    <w:rsid w:val="00136696"/>
    <w:rsid w:val="00137624"/>
    <w:rsid w:val="001437C7"/>
    <w:rsid w:val="001571FC"/>
    <w:rsid w:val="00163C2C"/>
    <w:rsid w:val="00164573"/>
    <w:rsid w:val="0018627E"/>
    <w:rsid w:val="00190B2C"/>
    <w:rsid w:val="0019152B"/>
    <w:rsid w:val="00193C09"/>
    <w:rsid w:val="001950A5"/>
    <w:rsid w:val="001A2E38"/>
    <w:rsid w:val="001A61B0"/>
    <w:rsid w:val="001B31F5"/>
    <w:rsid w:val="001C1F1C"/>
    <w:rsid w:val="001E020C"/>
    <w:rsid w:val="00211314"/>
    <w:rsid w:val="00214A8E"/>
    <w:rsid w:val="00221047"/>
    <w:rsid w:val="002255DA"/>
    <w:rsid w:val="00243337"/>
    <w:rsid w:val="00272D48"/>
    <w:rsid w:val="00280896"/>
    <w:rsid w:val="00281617"/>
    <w:rsid w:val="00282696"/>
    <w:rsid w:val="0028599C"/>
    <w:rsid w:val="00294E92"/>
    <w:rsid w:val="002A4613"/>
    <w:rsid w:val="002B0F4C"/>
    <w:rsid w:val="002D2886"/>
    <w:rsid w:val="002D4925"/>
    <w:rsid w:val="002E20EB"/>
    <w:rsid w:val="00300CE3"/>
    <w:rsid w:val="00300F31"/>
    <w:rsid w:val="003016CE"/>
    <w:rsid w:val="00307701"/>
    <w:rsid w:val="00311DCF"/>
    <w:rsid w:val="003148FE"/>
    <w:rsid w:val="00316942"/>
    <w:rsid w:val="0032447A"/>
    <w:rsid w:val="00326733"/>
    <w:rsid w:val="00330A92"/>
    <w:rsid w:val="00337048"/>
    <w:rsid w:val="00351643"/>
    <w:rsid w:val="00370D6A"/>
    <w:rsid w:val="00375121"/>
    <w:rsid w:val="0038112C"/>
    <w:rsid w:val="00385838"/>
    <w:rsid w:val="003A3F6E"/>
    <w:rsid w:val="003A4CA6"/>
    <w:rsid w:val="003C08D7"/>
    <w:rsid w:val="003C1FD8"/>
    <w:rsid w:val="003C26D0"/>
    <w:rsid w:val="003C79D7"/>
    <w:rsid w:val="003D0410"/>
    <w:rsid w:val="003E268A"/>
    <w:rsid w:val="003E53FD"/>
    <w:rsid w:val="003F70F8"/>
    <w:rsid w:val="00402961"/>
    <w:rsid w:val="0041157F"/>
    <w:rsid w:val="004144E5"/>
    <w:rsid w:val="00416A07"/>
    <w:rsid w:val="00420725"/>
    <w:rsid w:val="004216F7"/>
    <w:rsid w:val="00423353"/>
    <w:rsid w:val="004557E6"/>
    <w:rsid w:val="00456A9F"/>
    <w:rsid w:val="00463A74"/>
    <w:rsid w:val="00472B34"/>
    <w:rsid w:val="00476B7F"/>
    <w:rsid w:val="004A15AD"/>
    <w:rsid w:val="004B77E4"/>
    <w:rsid w:val="004C2CF5"/>
    <w:rsid w:val="004C415D"/>
    <w:rsid w:val="004C469B"/>
    <w:rsid w:val="004C476E"/>
    <w:rsid w:val="004C6434"/>
    <w:rsid w:val="004E2F5A"/>
    <w:rsid w:val="004E33A5"/>
    <w:rsid w:val="004E38DE"/>
    <w:rsid w:val="004E428B"/>
    <w:rsid w:val="004F3448"/>
    <w:rsid w:val="004F6270"/>
    <w:rsid w:val="005064C7"/>
    <w:rsid w:val="00527B22"/>
    <w:rsid w:val="005374CF"/>
    <w:rsid w:val="00551365"/>
    <w:rsid w:val="005535A2"/>
    <w:rsid w:val="00564EB0"/>
    <w:rsid w:val="00581280"/>
    <w:rsid w:val="00581CEE"/>
    <w:rsid w:val="00583FBB"/>
    <w:rsid w:val="00585B80"/>
    <w:rsid w:val="00587F10"/>
    <w:rsid w:val="0059706C"/>
    <w:rsid w:val="00597F3B"/>
    <w:rsid w:val="005A28F3"/>
    <w:rsid w:val="005A3873"/>
    <w:rsid w:val="005B560A"/>
    <w:rsid w:val="005C3A00"/>
    <w:rsid w:val="005D4F4A"/>
    <w:rsid w:val="005E0CAF"/>
    <w:rsid w:val="005F646D"/>
    <w:rsid w:val="00600CDA"/>
    <w:rsid w:val="00604EB5"/>
    <w:rsid w:val="0060558D"/>
    <w:rsid w:val="00612CF0"/>
    <w:rsid w:val="006133B3"/>
    <w:rsid w:val="0061394F"/>
    <w:rsid w:val="006263E4"/>
    <w:rsid w:val="00634FF4"/>
    <w:rsid w:val="00647103"/>
    <w:rsid w:val="00647B9E"/>
    <w:rsid w:val="0065048B"/>
    <w:rsid w:val="006518FE"/>
    <w:rsid w:val="00652454"/>
    <w:rsid w:val="0065551C"/>
    <w:rsid w:val="00670C03"/>
    <w:rsid w:val="00672076"/>
    <w:rsid w:val="00684A42"/>
    <w:rsid w:val="006856AF"/>
    <w:rsid w:val="006970B4"/>
    <w:rsid w:val="006A21FB"/>
    <w:rsid w:val="006A5710"/>
    <w:rsid w:val="006B0B11"/>
    <w:rsid w:val="006B5607"/>
    <w:rsid w:val="006B7EE5"/>
    <w:rsid w:val="006C016E"/>
    <w:rsid w:val="006C443D"/>
    <w:rsid w:val="006D13C9"/>
    <w:rsid w:val="006D15DA"/>
    <w:rsid w:val="006E3DA6"/>
    <w:rsid w:val="006E6EAE"/>
    <w:rsid w:val="006F4264"/>
    <w:rsid w:val="006F4B72"/>
    <w:rsid w:val="00705B46"/>
    <w:rsid w:val="00707C81"/>
    <w:rsid w:val="007127F4"/>
    <w:rsid w:val="00712BAD"/>
    <w:rsid w:val="00714C8C"/>
    <w:rsid w:val="00715C46"/>
    <w:rsid w:val="00730F08"/>
    <w:rsid w:val="00744A9D"/>
    <w:rsid w:val="0074577C"/>
    <w:rsid w:val="00747245"/>
    <w:rsid w:val="007902B6"/>
    <w:rsid w:val="0079372C"/>
    <w:rsid w:val="00795E72"/>
    <w:rsid w:val="007B2F14"/>
    <w:rsid w:val="007B33EC"/>
    <w:rsid w:val="007C4630"/>
    <w:rsid w:val="007C552F"/>
    <w:rsid w:val="007C69E0"/>
    <w:rsid w:val="007E01AD"/>
    <w:rsid w:val="007E3030"/>
    <w:rsid w:val="007F6526"/>
    <w:rsid w:val="00801F31"/>
    <w:rsid w:val="00811D61"/>
    <w:rsid w:val="00812418"/>
    <w:rsid w:val="00823C24"/>
    <w:rsid w:val="0082693E"/>
    <w:rsid w:val="00837A6A"/>
    <w:rsid w:val="00854B18"/>
    <w:rsid w:val="00861B7C"/>
    <w:rsid w:val="00861E7D"/>
    <w:rsid w:val="00863DD8"/>
    <w:rsid w:val="008666DB"/>
    <w:rsid w:val="00877D1A"/>
    <w:rsid w:val="00877EEC"/>
    <w:rsid w:val="00885E30"/>
    <w:rsid w:val="008A2194"/>
    <w:rsid w:val="008A2DB0"/>
    <w:rsid w:val="008A501B"/>
    <w:rsid w:val="008A5227"/>
    <w:rsid w:val="008B0B6E"/>
    <w:rsid w:val="008B59AE"/>
    <w:rsid w:val="008B73C4"/>
    <w:rsid w:val="008C44DA"/>
    <w:rsid w:val="008D0C53"/>
    <w:rsid w:val="008D4D0E"/>
    <w:rsid w:val="009065FF"/>
    <w:rsid w:val="00906693"/>
    <w:rsid w:val="009077CD"/>
    <w:rsid w:val="00912A0D"/>
    <w:rsid w:val="00912BC6"/>
    <w:rsid w:val="00915613"/>
    <w:rsid w:val="00920C9A"/>
    <w:rsid w:val="00922613"/>
    <w:rsid w:val="00932F98"/>
    <w:rsid w:val="0093517C"/>
    <w:rsid w:val="00941E29"/>
    <w:rsid w:val="009561F1"/>
    <w:rsid w:val="009746BC"/>
    <w:rsid w:val="0097710B"/>
    <w:rsid w:val="009805D2"/>
    <w:rsid w:val="00985269"/>
    <w:rsid w:val="009855C4"/>
    <w:rsid w:val="00991441"/>
    <w:rsid w:val="00994517"/>
    <w:rsid w:val="00995EC8"/>
    <w:rsid w:val="009A26F0"/>
    <w:rsid w:val="009B06E1"/>
    <w:rsid w:val="009D031B"/>
    <w:rsid w:val="009D2138"/>
    <w:rsid w:val="009D2F16"/>
    <w:rsid w:val="009E489B"/>
    <w:rsid w:val="009F3CFA"/>
    <w:rsid w:val="009F4C54"/>
    <w:rsid w:val="009F7AE3"/>
    <w:rsid w:val="00A009DE"/>
    <w:rsid w:val="00A00F62"/>
    <w:rsid w:val="00A047FD"/>
    <w:rsid w:val="00A1095F"/>
    <w:rsid w:val="00A22569"/>
    <w:rsid w:val="00A34A4F"/>
    <w:rsid w:val="00A41F32"/>
    <w:rsid w:val="00A51A9E"/>
    <w:rsid w:val="00A5439D"/>
    <w:rsid w:val="00A660B9"/>
    <w:rsid w:val="00A70704"/>
    <w:rsid w:val="00A86567"/>
    <w:rsid w:val="00A87105"/>
    <w:rsid w:val="00AA2D44"/>
    <w:rsid w:val="00AB4A77"/>
    <w:rsid w:val="00AB4E78"/>
    <w:rsid w:val="00AC0996"/>
    <w:rsid w:val="00AD51F4"/>
    <w:rsid w:val="00AE1798"/>
    <w:rsid w:val="00AF2BC0"/>
    <w:rsid w:val="00AF58F0"/>
    <w:rsid w:val="00B130AC"/>
    <w:rsid w:val="00B14EB5"/>
    <w:rsid w:val="00B21872"/>
    <w:rsid w:val="00B21BF9"/>
    <w:rsid w:val="00B255A5"/>
    <w:rsid w:val="00B33685"/>
    <w:rsid w:val="00B34D2A"/>
    <w:rsid w:val="00B34D41"/>
    <w:rsid w:val="00B52A49"/>
    <w:rsid w:val="00B52B0C"/>
    <w:rsid w:val="00B73438"/>
    <w:rsid w:val="00B74790"/>
    <w:rsid w:val="00B76B3F"/>
    <w:rsid w:val="00B83373"/>
    <w:rsid w:val="00B8574E"/>
    <w:rsid w:val="00B92988"/>
    <w:rsid w:val="00B94391"/>
    <w:rsid w:val="00BA507E"/>
    <w:rsid w:val="00BB5061"/>
    <w:rsid w:val="00BB70AC"/>
    <w:rsid w:val="00BD1B21"/>
    <w:rsid w:val="00BD227C"/>
    <w:rsid w:val="00BE16B5"/>
    <w:rsid w:val="00BE1860"/>
    <w:rsid w:val="00BE6C69"/>
    <w:rsid w:val="00BF31D9"/>
    <w:rsid w:val="00C07171"/>
    <w:rsid w:val="00C14F39"/>
    <w:rsid w:val="00C20047"/>
    <w:rsid w:val="00C22993"/>
    <w:rsid w:val="00C27973"/>
    <w:rsid w:val="00C3216F"/>
    <w:rsid w:val="00C33846"/>
    <w:rsid w:val="00C340EB"/>
    <w:rsid w:val="00C40139"/>
    <w:rsid w:val="00C41F7C"/>
    <w:rsid w:val="00C45918"/>
    <w:rsid w:val="00C547B7"/>
    <w:rsid w:val="00C613AC"/>
    <w:rsid w:val="00C62A0B"/>
    <w:rsid w:val="00C661CF"/>
    <w:rsid w:val="00C67A23"/>
    <w:rsid w:val="00C74392"/>
    <w:rsid w:val="00C82EF2"/>
    <w:rsid w:val="00C87D63"/>
    <w:rsid w:val="00C93A18"/>
    <w:rsid w:val="00C94AB6"/>
    <w:rsid w:val="00C95165"/>
    <w:rsid w:val="00C95F37"/>
    <w:rsid w:val="00CB0D54"/>
    <w:rsid w:val="00CB641A"/>
    <w:rsid w:val="00CD0654"/>
    <w:rsid w:val="00CD54BD"/>
    <w:rsid w:val="00CE0C02"/>
    <w:rsid w:val="00CE25FF"/>
    <w:rsid w:val="00CE526D"/>
    <w:rsid w:val="00D22CF6"/>
    <w:rsid w:val="00D23DBE"/>
    <w:rsid w:val="00D25419"/>
    <w:rsid w:val="00D3247D"/>
    <w:rsid w:val="00D44628"/>
    <w:rsid w:val="00D61E93"/>
    <w:rsid w:val="00D65B36"/>
    <w:rsid w:val="00D70ADC"/>
    <w:rsid w:val="00D70F50"/>
    <w:rsid w:val="00D77F8C"/>
    <w:rsid w:val="00DA21BC"/>
    <w:rsid w:val="00DB0204"/>
    <w:rsid w:val="00DC24FB"/>
    <w:rsid w:val="00DD02B0"/>
    <w:rsid w:val="00DD5825"/>
    <w:rsid w:val="00DD6C88"/>
    <w:rsid w:val="00DE0B71"/>
    <w:rsid w:val="00DF2E50"/>
    <w:rsid w:val="00DF34C9"/>
    <w:rsid w:val="00DF3889"/>
    <w:rsid w:val="00E01765"/>
    <w:rsid w:val="00E320D3"/>
    <w:rsid w:val="00E324FE"/>
    <w:rsid w:val="00E361A0"/>
    <w:rsid w:val="00E36E0B"/>
    <w:rsid w:val="00E43ED8"/>
    <w:rsid w:val="00E517DB"/>
    <w:rsid w:val="00E53751"/>
    <w:rsid w:val="00E53D35"/>
    <w:rsid w:val="00E66BC5"/>
    <w:rsid w:val="00E716EC"/>
    <w:rsid w:val="00E74952"/>
    <w:rsid w:val="00E804D3"/>
    <w:rsid w:val="00E8162B"/>
    <w:rsid w:val="00E838FA"/>
    <w:rsid w:val="00EA2831"/>
    <w:rsid w:val="00EA47B4"/>
    <w:rsid w:val="00EA73DB"/>
    <w:rsid w:val="00EB299F"/>
    <w:rsid w:val="00EB57FE"/>
    <w:rsid w:val="00EC27C1"/>
    <w:rsid w:val="00EC6809"/>
    <w:rsid w:val="00ED1E5B"/>
    <w:rsid w:val="00EF7FF9"/>
    <w:rsid w:val="00F1635F"/>
    <w:rsid w:val="00F21E12"/>
    <w:rsid w:val="00F26730"/>
    <w:rsid w:val="00F2743A"/>
    <w:rsid w:val="00F46E0F"/>
    <w:rsid w:val="00F53180"/>
    <w:rsid w:val="00F70A2E"/>
    <w:rsid w:val="00F7223C"/>
    <w:rsid w:val="00F80983"/>
    <w:rsid w:val="00F85819"/>
    <w:rsid w:val="00F90CBC"/>
    <w:rsid w:val="00F9396B"/>
    <w:rsid w:val="00FA418E"/>
    <w:rsid w:val="00FB5045"/>
    <w:rsid w:val="00FC04F4"/>
    <w:rsid w:val="00FC770F"/>
    <w:rsid w:val="00FD001A"/>
    <w:rsid w:val="00FF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/>
    <o:shapelayout v:ext="edit">
      <o:idmap v:ext="edit" data="1"/>
    </o:shapelayout>
  </w:shapeDefaults>
  <w:decimalSymbol w:val="."/>
  <w:listSeparator w:val=","/>
  <w14:docId w14:val="4D7679A5"/>
  <w15:chartTrackingRefBased/>
  <w15:docId w15:val="{EB587161-ED1C-487E-B2B7-5F3BE53EF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2BAD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3030"/>
    <w:pPr>
      <w:keepNext/>
      <w:keepLines/>
      <w:spacing w:before="240" w:after="120" w:line="360" w:lineRule="auto"/>
      <w:jc w:val="left"/>
      <w:outlineLvl w:val="0"/>
    </w:pPr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3030"/>
    <w:pPr>
      <w:keepNext/>
      <w:keepLines/>
      <w:spacing w:before="160" w:after="12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4">
    <w:name w:val="heading 4"/>
    <w:basedOn w:val="Normal"/>
    <w:link w:val="Heading4Char"/>
    <w:uiPriority w:val="9"/>
    <w:qFormat/>
    <w:rsid w:val="006518FE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8FE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518FE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6518FE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TableGridLight">
    <w:name w:val="Grid Table Light"/>
    <w:basedOn w:val="TableNormal"/>
    <w:uiPriority w:val="40"/>
    <w:rsid w:val="005374C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C4591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863DD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3DD8"/>
  </w:style>
  <w:style w:type="paragraph" w:styleId="Footer">
    <w:name w:val="footer"/>
    <w:basedOn w:val="Normal"/>
    <w:link w:val="FooterChar"/>
    <w:uiPriority w:val="99"/>
    <w:unhideWhenUsed/>
    <w:rsid w:val="00863DD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3DD8"/>
  </w:style>
  <w:style w:type="table" w:styleId="TableGrid">
    <w:name w:val="Table Grid"/>
    <w:basedOn w:val="TableNormal"/>
    <w:uiPriority w:val="59"/>
    <w:rsid w:val="003016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2A0B"/>
    <w:pPr>
      <w:ind w:left="720"/>
      <w:contextualSpacing/>
    </w:pPr>
  </w:style>
  <w:style w:type="table" w:styleId="GridTable2-Accent3">
    <w:name w:val="Grid Table 2 Accent 3"/>
    <w:basedOn w:val="TableNormal"/>
    <w:uiPriority w:val="47"/>
    <w:rsid w:val="00280896"/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">
    <w:name w:val="Grid Table 6 Colorful"/>
    <w:basedOn w:val="TableNormal"/>
    <w:uiPriority w:val="51"/>
    <w:rsid w:val="0028089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7E3030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E3030"/>
    <w:rPr>
      <w:rFonts w:ascii="Times New Roman" w:eastAsiaTheme="majorEastAsia" w:hAnsi="Times New Roman" w:cstheme="majorBidi"/>
      <w:b/>
      <w:sz w:val="28"/>
      <w:szCs w:val="26"/>
    </w:rPr>
  </w:style>
  <w:style w:type="paragraph" w:styleId="NoSpacing">
    <w:name w:val="No Spacing"/>
    <w:link w:val="NoSpacingChar"/>
    <w:uiPriority w:val="1"/>
    <w:qFormat/>
    <w:rsid w:val="006B0B11"/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0B11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A4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A42"/>
    <w:rPr>
      <w:rFonts w:ascii="Segoe UI" w:hAnsi="Segoe UI" w:cs="Segoe UI"/>
      <w:sz w:val="18"/>
      <w:szCs w:val="18"/>
    </w:rPr>
  </w:style>
  <w:style w:type="table" w:styleId="PlainTable2">
    <w:name w:val="Plain Table 2"/>
    <w:basedOn w:val="TableNormal"/>
    <w:uiPriority w:val="42"/>
    <w:rsid w:val="00712BA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4557E6"/>
    <w:pPr>
      <w:spacing w:after="0" w:line="259" w:lineRule="auto"/>
      <w:outlineLvl w:val="9"/>
    </w:pPr>
    <w:rPr>
      <w:rFonts w:asciiTheme="majorHAnsi" w:hAnsiTheme="majorHAnsi"/>
      <w:b w:val="0"/>
    </w:rPr>
  </w:style>
  <w:style w:type="paragraph" w:styleId="TOC2">
    <w:name w:val="toc 2"/>
    <w:basedOn w:val="Normal"/>
    <w:next w:val="Normal"/>
    <w:autoRedefine/>
    <w:uiPriority w:val="39"/>
    <w:unhideWhenUsed/>
    <w:rsid w:val="004557E6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4557E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557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8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3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8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8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04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2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8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9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1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3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4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1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39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chart" Target="charts/chart5.xml"/><Relationship Id="rId10" Type="http://schemas.openxmlformats.org/officeDocument/2006/relationships/image" Target="media/image2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0.88\SanimaCapital\1.%20Research\reports\mutual%20fund\74%20Mutual%20fund%20compiled%202081%20Baishak.xlsb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0.88\SanimaCapital\1.%20Research\reports\mutual%20fund\74%20Mutual%20fund%20compiled%202081%20Baishak.xlsb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0.88\SanimaCapital\1.%20Research\reports\mutual%20fund\74%20Mutual%20fund%20compiled%202081%20Baishak.xlsb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\\192.168.0.88\SanimaCapital\1.%20Research\reports\mutual%20fund\3.%20Mutual%20Fund%20Analysis%20IRR%20-%202082%20baishak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\\192.168.0.88\SanimaCapital\1.%20Research\reports\mutual%20fund\74%20Mutual%20fund%20compiled%202081%20Baishak.xlsb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Overall Mutual Funds Industry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1.7961444443714964E-2"/>
          <c:y val="0.21928943282491553"/>
          <c:w val="0.96003213093976825"/>
          <c:h val="0.6315991366671313"/>
        </c:manualLayout>
      </c:layout>
      <c:lineChart>
        <c:grouping val="standard"/>
        <c:varyColors val="0"/>
        <c:ser>
          <c:idx val="0"/>
          <c:order val="0"/>
          <c:tx>
            <c:strRef>
              <c:f>'Overall Industry'!$A$36</c:f>
              <c:strCache>
                <c:ptCount val="1"/>
                <c:pt idx="0">
                  <c:v>Fixed Deposit per NAV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b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'Overall Industry'!$B$3:$BG$3</c:f>
              <c:numCache>
                <c:formatCode>d\-mmm\-yy</c:formatCode>
                <c:ptCount val="36"/>
                <c:pt idx="0">
                  <c:v>44758</c:v>
                </c:pt>
                <c:pt idx="1">
                  <c:v>44789</c:v>
                </c:pt>
                <c:pt idx="2">
                  <c:v>44820</c:v>
                </c:pt>
                <c:pt idx="3">
                  <c:v>44851</c:v>
                </c:pt>
                <c:pt idx="4">
                  <c:v>44881</c:v>
                </c:pt>
                <c:pt idx="5">
                  <c:v>44910</c:v>
                </c:pt>
                <c:pt idx="6">
                  <c:v>44940</c:v>
                </c:pt>
                <c:pt idx="7">
                  <c:v>44969</c:v>
                </c:pt>
                <c:pt idx="8">
                  <c:v>44969</c:v>
                </c:pt>
                <c:pt idx="9">
                  <c:v>44999</c:v>
                </c:pt>
                <c:pt idx="10">
                  <c:v>45029</c:v>
                </c:pt>
                <c:pt idx="11">
                  <c:v>45060</c:v>
                </c:pt>
                <c:pt idx="12">
                  <c:v>45092</c:v>
                </c:pt>
                <c:pt idx="13">
                  <c:v>45123</c:v>
                </c:pt>
                <c:pt idx="14">
                  <c:v>45155</c:v>
                </c:pt>
                <c:pt idx="15">
                  <c:v>45186</c:v>
                </c:pt>
                <c:pt idx="16">
                  <c:v>45216</c:v>
                </c:pt>
                <c:pt idx="17">
                  <c:v>45246</c:v>
                </c:pt>
                <c:pt idx="18">
                  <c:v>45276</c:v>
                </c:pt>
                <c:pt idx="19">
                  <c:v>45305</c:v>
                </c:pt>
                <c:pt idx="20">
                  <c:v>45335</c:v>
                </c:pt>
                <c:pt idx="21">
                  <c:v>45364</c:v>
                </c:pt>
                <c:pt idx="22">
                  <c:v>45394</c:v>
                </c:pt>
                <c:pt idx="23">
                  <c:v>45425</c:v>
                </c:pt>
                <c:pt idx="24">
                  <c:v>45457</c:v>
                </c:pt>
                <c:pt idx="25">
                  <c:v>45488</c:v>
                </c:pt>
                <c:pt idx="26">
                  <c:v>45520</c:v>
                </c:pt>
                <c:pt idx="27">
                  <c:v>45551</c:v>
                </c:pt>
                <c:pt idx="28">
                  <c:v>45581</c:v>
                </c:pt>
                <c:pt idx="29">
                  <c:v>45611</c:v>
                </c:pt>
                <c:pt idx="30">
                  <c:v>45641</c:v>
                </c:pt>
                <c:pt idx="31">
                  <c:v>45670</c:v>
                </c:pt>
                <c:pt idx="32">
                  <c:v>45700</c:v>
                </c:pt>
                <c:pt idx="33">
                  <c:v>45729</c:v>
                </c:pt>
                <c:pt idx="34">
                  <c:v>45760</c:v>
                </c:pt>
                <c:pt idx="35">
                  <c:v>45791</c:v>
                </c:pt>
              </c:numCache>
            </c:numRef>
          </c:cat>
          <c:val>
            <c:numRef>
              <c:f>'Overall Industry'!$B$36:$BG$36</c:f>
              <c:numCache>
                <c:formatCode>0.0%</c:formatCode>
                <c:ptCount val="36"/>
                <c:pt idx="0">
                  <c:v>0.10663252960071931</c:v>
                </c:pt>
                <c:pt idx="1">
                  <c:v>0.11344045060236928</c:v>
                </c:pt>
                <c:pt idx="2">
                  <c:v>0.11403744061084509</c:v>
                </c:pt>
                <c:pt idx="3">
                  <c:v>0.11492559896293235</c:v>
                </c:pt>
                <c:pt idx="4">
                  <c:v>0.11107360206314454</c:v>
                </c:pt>
                <c:pt idx="5">
                  <c:v>0.11538306950940723</c:v>
                </c:pt>
                <c:pt idx="6">
                  <c:v>0.10710984915946301</c:v>
                </c:pt>
                <c:pt idx="7">
                  <c:v>0.10618881576274812</c:v>
                </c:pt>
                <c:pt idx="8">
                  <c:v>0.10618881576274812</c:v>
                </c:pt>
                <c:pt idx="9">
                  <c:v>0.10894431733434339</c:v>
                </c:pt>
                <c:pt idx="10">
                  <c:v>0.1103645594626269</c:v>
                </c:pt>
                <c:pt idx="11">
                  <c:v>0.11373944242498901</c:v>
                </c:pt>
                <c:pt idx="12">
                  <c:v>0.1116100321132061</c:v>
                </c:pt>
                <c:pt idx="13">
                  <c:v>0.10873271523896788</c:v>
                </c:pt>
                <c:pt idx="14">
                  <c:v>0.10248631736151459</c:v>
                </c:pt>
                <c:pt idx="15">
                  <c:v>0.11032496628205973</c:v>
                </c:pt>
                <c:pt idx="16">
                  <c:v>0.12044625337447171</c:v>
                </c:pt>
                <c:pt idx="17">
                  <c:v>0.10687004832255935</c:v>
                </c:pt>
                <c:pt idx="18">
                  <c:v>0.1027522544626371</c:v>
                </c:pt>
                <c:pt idx="19">
                  <c:v>0.10132686671181759</c:v>
                </c:pt>
                <c:pt idx="20">
                  <c:v>9.6649890904840066E-2</c:v>
                </c:pt>
                <c:pt idx="21">
                  <c:v>9.4431567830279631E-2</c:v>
                </c:pt>
                <c:pt idx="22">
                  <c:v>9.2049014517849539E-2</c:v>
                </c:pt>
                <c:pt idx="23">
                  <c:v>9.0164404804377027E-2</c:v>
                </c:pt>
                <c:pt idx="24">
                  <c:v>8.2296583584680991E-2</c:v>
                </c:pt>
                <c:pt idx="25">
                  <c:v>7.3052520914653127E-2</c:v>
                </c:pt>
                <c:pt idx="26">
                  <c:v>5.8674613389393615E-2</c:v>
                </c:pt>
                <c:pt idx="27">
                  <c:v>5.6804323450609644E-2</c:v>
                </c:pt>
                <c:pt idx="28">
                  <c:v>4.722975736606462E-2</c:v>
                </c:pt>
                <c:pt idx="29">
                  <c:v>4.2464611849860993E-2</c:v>
                </c:pt>
                <c:pt idx="30">
                  <c:v>3.480812930085745E-2</c:v>
                </c:pt>
                <c:pt idx="31">
                  <c:v>3.1367211115468432E-2</c:v>
                </c:pt>
                <c:pt idx="32">
                  <c:v>2.8668451425565424E-2</c:v>
                </c:pt>
                <c:pt idx="33">
                  <c:v>2.9667772881079881E-2</c:v>
                </c:pt>
                <c:pt idx="34">
                  <c:v>3.1495313538604582E-2</c:v>
                </c:pt>
                <c:pt idx="35">
                  <c:v>3.1085251915195185E-2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8E4-4161-911C-024AA39BA91B}"/>
            </c:ext>
          </c:extLst>
        </c:ser>
        <c:ser>
          <c:idx val="1"/>
          <c:order val="1"/>
          <c:tx>
            <c:strRef>
              <c:f>'Overall Industry'!$A$37</c:f>
              <c:strCache>
                <c:ptCount val="1"/>
                <c:pt idx="0">
                  <c:v>Listed stocks Per NAV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numFmt formatCode="0.0%" sourceLinked="0"/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'Overall Industry'!$B$3:$BG$3</c:f>
              <c:numCache>
                <c:formatCode>d\-mmm\-yy</c:formatCode>
                <c:ptCount val="36"/>
                <c:pt idx="0">
                  <c:v>44758</c:v>
                </c:pt>
                <c:pt idx="1">
                  <c:v>44789</c:v>
                </c:pt>
                <c:pt idx="2">
                  <c:v>44820</c:v>
                </c:pt>
                <c:pt idx="3">
                  <c:v>44851</c:v>
                </c:pt>
                <c:pt idx="4">
                  <c:v>44881</c:v>
                </c:pt>
                <c:pt idx="5">
                  <c:v>44910</c:v>
                </c:pt>
                <c:pt idx="6">
                  <c:v>44940</c:v>
                </c:pt>
                <c:pt idx="7">
                  <c:v>44969</c:v>
                </c:pt>
                <c:pt idx="8">
                  <c:v>44969</c:v>
                </c:pt>
                <c:pt idx="9">
                  <c:v>44999</c:v>
                </c:pt>
                <c:pt idx="10">
                  <c:v>45029</c:v>
                </c:pt>
                <c:pt idx="11">
                  <c:v>45060</c:v>
                </c:pt>
                <c:pt idx="12">
                  <c:v>45092</c:v>
                </c:pt>
                <c:pt idx="13">
                  <c:v>45123</c:v>
                </c:pt>
                <c:pt idx="14">
                  <c:v>45155</c:v>
                </c:pt>
                <c:pt idx="15">
                  <c:v>45186</c:v>
                </c:pt>
                <c:pt idx="16">
                  <c:v>45216</c:v>
                </c:pt>
                <c:pt idx="17">
                  <c:v>45246</c:v>
                </c:pt>
                <c:pt idx="18">
                  <c:v>45276</c:v>
                </c:pt>
                <c:pt idx="19">
                  <c:v>45305</c:v>
                </c:pt>
                <c:pt idx="20">
                  <c:v>45335</c:v>
                </c:pt>
                <c:pt idx="21">
                  <c:v>45364</c:v>
                </c:pt>
                <c:pt idx="22">
                  <c:v>45394</c:v>
                </c:pt>
                <c:pt idx="23">
                  <c:v>45425</c:v>
                </c:pt>
                <c:pt idx="24">
                  <c:v>45457</c:v>
                </c:pt>
                <c:pt idx="25">
                  <c:v>45488</c:v>
                </c:pt>
                <c:pt idx="26">
                  <c:v>45520</c:v>
                </c:pt>
                <c:pt idx="27">
                  <c:v>45551</c:v>
                </c:pt>
                <c:pt idx="28">
                  <c:v>45581</c:v>
                </c:pt>
                <c:pt idx="29">
                  <c:v>45611</c:v>
                </c:pt>
                <c:pt idx="30">
                  <c:v>45641</c:v>
                </c:pt>
                <c:pt idx="31">
                  <c:v>45670</c:v>
                </c:pt>
                <c:pt idx="32">
                  <c:v>45700</c:v>
                </c:pt>
                <c:pt idx="33">
                  <c:v>45729</c:v>
                </c:pt>
                <c:pt idx="34">
                  <c:v>45760</c:v>
                </c:pt>
                <c:pt idx="35">
                  <c:v>45791</c:v>
                </c:pt>
              </c:numCache>
            </c:numRef>
          </c:cat>
          <c:val>
            <c:numRef>
              <c:f>'Overall Industry'!$B$37:$BG$37</c:f>
              <c:numCache>
                <c:formatCode>0.00%</c:formatCode>
                <c:ptCount val="36"/>
                <c:pt idx="0">
                  <c:v>0.55694577297692149</c:v>
                </c:pt>
                <c:pt idx="1">
                  <c:v>0.54376461912810004</c:v>
                </c:pt>
                <c:pt idx="2">
                  <c:v>0.52828366443439823</c:v>
                </c:pt>
                <c:pt idx="3">
                  <c:v>0.53023153883934238</c:v>
                </c:pt>
                <c:pt idx="4">
                  <c:v>0.54263703815585851</c:v>
                </c:pt>
                <c:pt idx="5">
                  <c:v>0.52304891598016579</c:v>
                </c:pt>
                <c:pt idx="6">
                  <c:v>0.56882223936539866</c:v>
                </c:pt>
                <c:pt idx="7">
                  <c:v>0.55923329020323331</c:v>
                </c:pt>
                <c:pt idx="8">
                  <c:v>0.55923329020323331</c:v>
                </c:pt>
                <c:pt idx="9">
                  <c:v>0.56720817114775346</c:v>
                </c:pt>
                <c:pt idx="10">
                  <c:v>0.56159159104506651</c:v>
                </c:pt>
                <c:pt idx="11">
                  <c:v>0.55029197468203384</c:v>
                </c:pt>
                <c:pt idx="12">
                  <c:v>0.59502589712295428</c:v>
                </c:pt>
                <c:pt idx="13">
                  <c:v>0.61479805771271523</c:v>
                </c:pt>
                <c:pt idx="14">
                  <c:v>0.61046960504661008</c:v>
                </c:pt>
                <c:pt idx="15">
                  <c:v>0.61571961582892532</c:v>
                </c:pt>
                <c:pt idx="16">
                  <c:v>0.60214489110411451</c:v>
                </c:pt>
                <c:pt idx="17">
                  <c:v>0.62352452081996224</c:v>
                </c:pt>
                <c:pt idx="18">
                  <c:v>0.6561757605747176</c:v>
                </c:pt>
                <c:pt idx="19">
                  <c:v>0.65666214328357919</c:v>
                </c:pt>
                <c:pt idx="20">
                  <c:v>0.66896187647184224</c:v>
                </c:pt>
                <c:pt idx="21">
                  <c:v>0.67951935634182459</c:v>
                </c:pt>
                <c:pt idx="22">
                  <c:v>0.68273402338902356</c:v>
                </c:pt>
                <c:pt idx="23">
                  <c:v>0.68258042629956917</c:v>
                </c:pt>
                <c:pt idx="24">
                  <c:v>0.68990723906861151</c:v>
                </c:pt>
                <c:pt idx="25">
                  <c:v>0.69007756094298656</c:v>
                </c:pt>
                <c:pt idx="26">
                  <c:v>0.73824126847980254</c:v>
                </c:pt>
                <c:pt idx="27">
                  <c:v>0.73451746543217511</c:v>
                </c:pt>
                <c:pt idx="28">
                  <c:v>0.78495278274992664</c:v>
                </c:pt>
                <c:pt idx="29">
                  <c:v>0.7686936425926405</c:v>
                </c:pt>
                <c:pt idx="30">
                  <c:v>0.75375802475913434</c:v>
                </c:pt>
                <c:pt idx="31">
                  <c:v>0.73418134408208324</c:v>
                </c:pt>
                <c:pt idx="32">
                  <c:v>0.76144140201009625</c:v>
                </c:pt>
                <c:pt idx="33">
                  <c:v>0.75470147579599356</c:v>
                </c:pt>
                <c:pt idx="34">
                  <c:v>0.77600475419425841</c:v>
                </c:pt>
                <c:pt idx="35">
                  <c:v>0.78841273108205179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8E4-4161-911C-024AA39BA91B}"/>
            </c:ext>
          </c:extLst>
        </c:ser>
        <c:ser>
          <c:idx val="2"/>
          <c:order val="2"/>
          <c:tx>
            <c:strRef>
              <c:f>'Overall Industry'!$A$38</c:f>
              <c:strCache>
                <c:ptCount val="1"/>
                <c:pt idx="0">
                  <c:v>Cash per NAV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'Overall Industry'!$B$3:$BG$3</c:f>
              <c:numCache>
                <c:formatCode>d\-mmm\-yy</c:formatCode>
                <c:ptCount val="36"/>
                <c:pt idx="0">
                  <c:v>44758</c:v>
                </c:pt>
                <c:pt idx="1">
                  <c:v>44789</c:v>
                </c:pt>
                <c:pt idx="2">
                  <c:v>44820</c:v>
                </c:pt>
                <c:pt idx="3">
                  <c:v>44851</c:v>
                </c:pt>
                <c:pt idx="4">
                  <c:v>44881</c:v>
                </c:pt>
                <c:pt idx="5">
                  <c:v>44910</c:v>
                </c:pt>
                <c:pt idx="6">
                  <c:v>44940</c:v>
                </c:pt>
                <c:pt idx="7">
                  <c:v>44969</c:v>
                </c:pt>
                <c:pt idx="8">
                  <c:v>44969</c:v>
                </c:pt>
                <c:pt idx="9">
                  <c:v>44999</c:v>
                </c:pt>
                <c:pt idx="10">
                  <c:v>45029</c:v>
                </c:pt>
                <c:pt idx="11">
                  <c:v>45060</c:v>
                </c:pt>
                <c:pt idx="12">
                  <c:v>45092</c:v>
                </c:pt>
                <c:pt idx="13">
                  <c:v>45123</c:v>
                </c:pt>
                <c:pt idx="14">
                  <c:v>45155</c:v>
                </c:pt>
                <c:pt idx="15">
                  <c:v>45186</c:v>
                </c:pt>
                <c:pt idx="16">
                  <c:v>45216</c:v>
                </c:pt>
                <c:pt idx="17">
                  <c:v>45246</c:v>
                </c:pt>
                <c:pt idx="18">
                  <c:v>45276</c:v>
                </c:pt>
                <c:pt idx="19">
                  <c:v>45305</c:v>
                </c:pt>
                <c:pt idx="20">
                  <c:v>45335</c:v>
                </c:pt>
                <c:pt idx="21">
                  <c:v>45364</c:v>
                </c:pt>
                <c:pt idx="22">
                  <c:v>45394</c:v>
                </c:pt>
                <c:pt idx="23">
                  <c:v>45425</c:v>
                </c:pt>
                <c:pt idx="24">
                  <c:v>45457</c:v>
                </c:pt>
                <c:pt idx="25">
                  <c:v>45488</c:v>
                </c:pt>
                <c:pt idx="26">
                  <c:v>45520</c:v>
                </c:pt>
                <c:pt idx="27">
                  <c:v>45551</c:v>
                </c:pt>
                <c:pt idx="28">
                  <c:v>45581</c:v>
                </c:pt>
                <c:pt idx="29">
                  <c:v>45611</c:v>
                </c:pt>
                <c:pt idx="30">
                  <c:v>45641</c:v>
                </c:pt>
                <c:pt idx="31">
                  <c:v>45670</c:v>
                </c:pt>
                <c:pt idx="32">
                  <c:v>45700</c:v>
                </c:pt>
                <c:pt idx="33">
                  <c:v>45729</c:v>
                </c:pt>
                <c:pt idx="34">
                  <c:v>45760</c:v>
                </c:pt>
                <c:pt idx="35">
                  <c:v>45791</c:v>
                </c:pt>
              </c:numCache>
            </c:numRef>
          </c:cat>
          <c:val>
            <c:numRef>
              <c:f>'Overall Industry'!$B$38:$BG$38</c:f>
              <c:numCache>
                <c:formatCode>0.0%</c:formatCode>
                <c:ptCount val="36"/>
                <c:pt idx="0">
                  <c:v>0.23018636133074699</c:v>
                </c:pt>
                <c:pt idx="1">
                  <c:v>0.26272611470097812</c:v>
                </c:pt>
                <c:pt idx="2">
                  <c:v>0.26352180177077761</c:v>
                </c:pt>
                <c:pt idx="3">
                  <c:v>0.25790710804032618</c:v>
                </c:pt>
                <c:pt idx="4">
                  <c:v>0.24370234326215293</c:v>
                </c:pt>
                <c:pt idx="5">
                  <c:v>0.26297372196092056</c:v>
                </c:pt>
                <c:pt idx="6">
                  <c:v>0.22219042298596123</c:v>
                </c:pt>
                <c:pt idx="7">
                  <c:v>0.22578937344547431</c:v>
                </c:pt>
                <c:pt idx="8">
                  <c:v>0.22578937344547431</c:v>
                </c:pt>
                <c:pt idx="9">
                  <c:v>0.22047554404995193</c:v>
                </c:pt>
                <c:pt idx="10">
                  <c:v>0.22512137321163009</c:v>
                </c:pt>
                <c:pt idx="11">
                  <c:v>0.22338230388609337</c:v>
                </c:pt>
                <c:pt idx="12">
                  <c:v>0.20229457425681127</c:v>
                </c:pt>
                <c:pt idx="13">
                  <c:v>0.18809109290858267</c:v>
                </c:pt>
                <c:pt idx="14">
                  <c:v>0.19984262627093274</c:v>
                </c:pt>
                <c:pt idx="15">
                  <c:v>0.18324291290166836</c:v>
                </c:pt>
                <c:pt idx="16">
                  <c:v>0.18567272856798137</c:v>
                </c:pt>
                <c:pt idx="17">
                  <c:v>0.18034976948146719</c:v>
                </c:pt>
                <c:pt idx="18">
                  <c:v>0.15475893952300548</c:v>
                </c:pt>
                <c:pt idx="19">
                  <c:v>0.14958499191053887</c:v>
                </c:pt>
                <c:pt idx="20">
                  <c:v>0.12951617815018721</c:v>
                </c:pt>
                <c:pt idx="21">
                  <c:v>0.14704093740499236</c:v>
                </c:pt>
                <c:pt idx="22">
                  <c:v>0.15581365322451035</c:v>
                </c:pt>
                <c:pt idx="23">
                  <c:v>0.15881859715815178</c:v>
                </c:pt>
                <c:pt idx="24">
                  <c:v>0.14944378075223366</c:v>
                </c:pt>
                <c:pt idx="25">
                  <c:v>0.1554478096568114</c:v>
                </c:pt>
                <c:pt idx="26">
                  <c:v>0.13628947521789914</c:v>
                </c:pt>
                <c:pt idx="27">
                  <c:v>0.1605067284928586</c:v>
                </c:pt>
                <c:pt idx="28">
                  <c:v>0.11994371270554498</c:v>
                </c:pt>
                <c:pt idx="29">
                  <c:v>0.13326849367378685</c:v>
                </c:pt>
                <c:pt idx="30">
                  <c:v>0.14390816545668433</c:v>
                </c:pt>
                <c:pt idx="31">
                  <c:v>0.17141884927153633</c:v>
                </c:pt>
                <c:pt idx="32">
                  <c:v>0.14751732635750966</c:v>
                </c:pt>
                <c:pt idx="33">
                  <c:v>0.15290172105258207</c:v>
                </c:pt>
                <c:pt idx="34">
                  <c:v>0.13946217057135757</c:v>
                </c:pt>
                <c:pt idx="35">
                  <c:v>0.12135389582067636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8E4-4161-911C-024AA39BA91B}"/>
            </c:ext>
          </c:extLst>
        </c:ser>
        <c:ser>
          <c:idx val="3"/>
          <c:order val="3"/>
          <c:tx>
            <c:strRef>
              <c:f>'Overall Industry'!$A$39</c:f>
              <c:strCache>
                <c:ptCount val="1"/>
                <c:pt idx="0">
                  <c:v>Bonds per NAV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'Overall Industry'!$B$3:$BG$3</c:f>
              <c:numCache>
                <c:formatCode>d\-mmm\-yy</c:formatCode>
                <c:ptCount val="36"/>
                <c:pt idx="0">
                  <c:v>44758</c:v>
                </c:pt>
                <c:pt idx="1">
                  <c:v>44789</c:v>
                </c:pt>
                <c:pt idx="2">
                  <c:v>44820</c:v>
                </c:pt>
                <c:pt idx="3">
                  <c:v>44851</c:v>
                </c:pt>
                <c:pt idx="4">
                  <c:v>44881</c:v>
                </c:pt>
                <c:pt idx="5">
                  <c:v>44910</c:v>
                </c:pt>
                <c:pt idx="6">
                  <c:v>44940</c:v>
                </c:pt>
                <c:pt idx="7">
                  <c:v>44969</c:v>
                </c:pt>
                <c:pt idx="8">
                  <c:v>44969</c:v>
                </c:pt>
                <c:pt idx="9">
                  <c:v>44999</c:v>
                </c:pt>
                <c:pt idx="10">
                  <c:v>45029</c:v>
                </c:pt>
                <c:pt idx="11">
                  <c:v>45060</c:v>
                </c:pt>
                <c:pt idx="12">
                  <c:v>45092</c:v>
                </c:pt>
                <c:pt idx="13">
                  <c:v>45123</c:v>
                </c:pt>
                <c:pt idx="14">
                  <c:v>45155</c:v>
                </c:pt>
                <c:pt idx="15">
                  <c:v>45186</c:v>
                </c:pt>
                <c:pt idx="16">
                  <c:v>45216</c:v>
                </c:pt>
                <c:pt idx="17">
                  <c:v>45246</c:v>
                </c:pt>
                <c:pt idx="18">
                  <c:v>45276</c:v>
                </c:pt>
                <c:pt idx="19">
                  <c:v>45305</c:v>
                </c:pt>
                <c:pt idx="20">
                  <c:v>45335</c:v>
                </c:pt>
                <c:pt idx="21">
                  <c:v>45364</c:v>
                </c:pt>
                <c:pt idx="22">
                  <c:v>45394</c:v>
                </c:pt>
                <c:pt idx="23">
                  <c:v>45425</c:v>
                </c:pt>
                <c:pt idx="24">
                  <c:v>45457</c:v>
                </c:pt>
                <c:pt idx="25">
                  <c:v>45488</c:v>
                </c:pt>
                <c:pt idx="26">
                  <c:v>45520</c:v>
                </c:pt>
                <c:pt idx="27">
                  <c:v>45551</c:v>
                </c:pt>
                <c:pt idx="28">
                  <c:v>45581</c:v>
                </c:pt>
                <c:pt idx="29">
                  <c:v>45611</c:v>
                </c:pt>
                <c:pt idx="30">
                  <c:v>45641</c:v>
                </c:pt>
                <c:pt idx="31">
                  <c:v>45670</c:v>
                </c:pt>
                <c:pt idx="32">
                  <c:v>45700</c:v>
                </c:pt>
                <c:pt idx="33">
                  <c:v>45729</c:v>
                </c:pt>
                <c:pt idx="34">
                  <c:v>45760</c:v>
                </c:pt>
                <c:pt idx="35">
                  <c:v>45791</c:v>
                </c:pt>
              </c:numCache>
            </c:numRef>
          </c:cat>
          <c:val>
            <c:numRef>
              <c:f>'Overall Industry'!$B$39:$BG$39</c:f>
              <c:numCache>
                <c:formatCode>0.0%</c:formatCode>
                <c:ptCount val="36"/>
                <c:pt idx="0">
                  <c:v>9.1636268122647691E-2</c:v>
                </c:pt>
                <c:pt idx="1">
                  <c:v>9.1460507655865775E-2</c:v>
                </c:pt>
                <c:pt idx="2">
                  <c:v>9.3991059016057935E-2</c:v>
                </c:pt>
                <c:pt idx="3">
                  <c:v>9.7591560799136098E-2</c:v>
                </c:pt>
                <c:pt idx="4">
                  <c:v>9.6297497229344692E-2</c:v>
                </c:pt>
                <c:pt idx="5">
                  <c:v>9.347279976743833E-2</c:v>
                </c:pt>
                <c:pt idx="6">
                  <c:v>8.6056197008435989E-2</c:v>
                </c:pt>
                <c:pt idx="7">
                  <c:v>8.3507415420406725E-2</c:v>
                </c:pt>
                <c:pt idx="8">
                  <c:v>8.3507415420406725E-2</c:v>
                </c:pt>
                <c:pt idx="9">
                  <c:v>9.2131596956745637E-2</c:v>
                </c:pt>
                <c:pt idx="10">
                  <c:v>8.9812906264609277E-2</c:v>
                </c:pt>
                <c:pt idx="11">
                  <c:v>9.0116303079746787E-2</c:v>
                </c:pt>
                <c:pt idx="12">
                  <c:v>8.5194517495105426E-2</c:v>
                </c:pt>
                <c:pt idx="13">
                  <c:v>8.7846895501525704E-2</c:v>
                </c:pt>
                <c:pt idx="14">
                  <c:v>8.8236910163716348E-2</c:v>
                </c:pt>
                <c:pt idx="15">
                  <c:v>8.7086404680486548E-2</c:v>
                </c:pt>
                <c:pt idx="16">
                  <c:v>8.9072521640954333E-2</c:v>
                </c:pt>
                <c:pt idx="17">
                  <c:v>8.4763887349705011E-2</c:v>
                </c:pt>
                <c:pt idx="18">
                  <c:v>8.0951990442181515E-2</c:v>
                </c:pt>
                <c:pt idx="19">
                  <c:v>7.7145070839778798E-2</c:v>
                </c:pt>
                <c:pt idx="20">
                  <c:v>7.5076712438384818E-2</c:v>
                </c:pt>
                <c:pt idx="21">
                  <c:v>7.6997143942492269E-2</c:v>
                </c:pt>
                <c:pt idx="22">
                  <c:v>7.4864727767236364E-2</c:v>
                </c:pt>
                <c:pt idx="23">
                  <c:v>7.4626831826672652E-2</c:v>
                </c:pt>
                <c:pt idx="24">
                  <c:v>7.0928474412826265E-2</c:v>
                </c:pt>
                <c:pt idx="25">
                  <c:v>7.0219252358666731E-2</c:v>
                </c:pt>
                <c:pt idx="26">
                  <c:v>5.405246826059374E-2</c:v>
                </c:pt>
                <c:pt idx="27">
                  <c:v>6.4692690929173013E-2</c:v>
                </c:pt>
                <c:pt idx="28">
                  <c:v>5.9406623655822041E-2</c:v>
                </c:pt>
                <c:pt idx="29">
                  <c:v>5.9920208921280992E-2</c:v>
                </c:pt>
                <c:pt idx="30">
                  <c:v>6.0849636360930402E-2</c:v>
                </c:pt>
                <c:pt idx="31">
                  <c:v>5.3246262614859305E-2</c:v>
                </c:pt>
                <c:pt idx="32">
                  <c:v>4.8100144283241435E-2</c:v>
                </c:pt>
                <c:pt idx="33">
                  <c:v>4.918410583651138E-2</c:v>
                </c:pt>
                <c:pt idx="34">
                  <c:v>5.0897286029766058E-2</c:v>
                </c:pt>
                <c:pt idx="35">
                  <c:v>5.1628008234810029E-2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8E4-4161-911C-024AA39BA91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48788751"/>
        <c:axId val="1848782927"/>
      </c:lineChart>
      <c:catAx>
        <c:axId val="1848788751"/>
        <c:scaling>
          <c:orientation val="minMax"/>
        </c:scaling>
        <c:delete val="0"/>
        <c:axPos val="b"/>
        <c:numFmt formatCode="d\-mmm\-yy" sourceLinked="1"/>
        <c:majorTickMark val="none"/>
        <c:minorTickMark val="none"/>
        <c:tickLblPos val="high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848782927"/>
        <c:crosses val="autoZero"/>
        <c:auto val="0"/>
        <c:lblAlgn val="ctr"/>
        <c:lblOffset val="100"/>
        <c:noMultiLvlLbl val="1"/>
      </c:catAx>
      <c:valAx>
        <c:axId val="1848782927"/>
        <c:scaling>
          <c:orientation val="minMax"/>
        </c:scaling>
        <c:delete val="1"/>
        <c:axPos val="l"/>
        <c:numFmt formatCode="0.0%" sourceLinked="1"/>
        <c:majorTickMark val="none"/>
        <c:minorTickMark val="none"/>
        <c:tickLblPos val="nextTo"/>
        <c:crossAx val="184878875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13692174210093769"/>
          <c:y val="0.92814211984431805"/>
          <c:w val="0.74816299149445997"/>
          <c:h val="3.2456540932200809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Net Asset Value (NAV) Gross in ('000)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3.1783003766853286E-2"/>
          <c:y val="9.1023303887634355E-2"/>
          <c:w val="0.94285944035371894"/>
          <c:h val="0.80871516319796122"/>
        </c:manualLayout>
      </c:layout>
      <c:lineChart>
        <c:grouping val="standard"/>
        <c:varyColors val="0"/>
        <c:ser>
          <c:idx val="0"/>
          <c:order val="0"/>
          <c:tx>
            <c:strRef>
              <c:f>'Open end'!$A$39</c:f>
              <c:strCache>
                <c:ptCount val="1"/>
                <c:pt idx="0">
                  <c:v>NIBLSF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1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9E0C-416C-98EA-702A7D6BB287}"/>
                </c:ext>
              </c:extLst>
            </c:dLbl>
            <c:dLbl>
              <c:idx val="28"/>
              <c:layout>
                <c:manualLayout>
                  <c:x val="-1.8789884024566851E-16"/>
                  <c:y val="-3.3435706134368616E-2"/>
                </c:manualLayout>
              </c:layout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9E0C-416C-98EA-702A7D6BB2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'Open end'!$B$38:$AO$38</c:f>
              <c:numCache>
                <c:formatCode>d\-mmm\-yy</c:formatCode>
                <c:ptCount val="29"/>
                <c:pt idx="0">
                  <c:v>44940</c:v>
                </c:pt>
                <c:pt idx="1">
                  <c:v>44969</c:v>
                </c:pt>
                <c:pt idx="2">
                  <c:v>44999</c:v>
                </c:pt>
                <c:pt idx="3">
                  <c:v>45029</c:v>
                </c:pt>
                <c:pt idx="4">
                  <c:v>45060</c:v>
                </c:pt>
                <c:pt idx="5">
                  <c:v>45092</c:v>
                </c:pt>
                <c:pt idx="6">
                  <c:v>45123</c:v>
                </c:pt>
                <c:pt idx="7">
                  <c:v>45155</c:v>
                </c:pt>
                <c:pt idx="8">
                  <c:v>45186</c:v>
                </c:pt>
                <c:pt idx="9">
                  <c:v>45216</c:v>
                </c:pt>
                <c:pt idx="10">
                  <c:v>45246</c:v>
                </c:pt>
                <c:pt idx="11">
                  <c:v>45276</c:v>
                </c:pt>
                <c:pt idx="12">
                  <c:v>45305</c:v>
                </c:pt>
                <c:pt idx="13">
                  <c:v>45335</c:v>
                </c:pt>
                <c:pt idx="14">
                  <c:v>45364</c:v>
                </c:pt>
                <c:pt idx="15">
                  <c:v>45394</c:v>
                </c:pt>
                <c:pt idx="16">
                  <c:v>45425</c:v>
                </c:pt>
                <c:pt idx="17">
                  <c:v>45457</c:v>
                </c:pt>
                <c:pt idx="18">
                  <c:v>45488</c:v>
                </c:pt>
                <c:pt idx="19">
                  <c:v>45520</c:v>
                </c:pt>
                <c:pt idx="20">
                  <c:v>45551</c:v>
                </c:pt>
                <c:pt idx="21">
                  <c:v>45581</c:v>
                </c:pt>
                <c:pt idx="22">
                  <c:v>45611</c:v>
                </c:pt>
                <c:pt idx="23">
                  <c:v>45641</c:v>
                </c:pt>
                <c:pt idx="24">
                  <c:v>45670</c:v>
                </c:pt>
                <c:pt idx="25">
                  <c:v>45700</c:v>
                </c:pt>
                <c:pt idx="26">
                  <c:v>45729</c:v>
                </c:pt>
                <c:pt idx="27">
                  <c:v>45760</c:v>
                </c:pt>
                <c:pt idx="28">
                  <c:v>45791</c:v>
                </c:pt>
              </c:numCache>
              <c:extLst/>
            </c:numRef>
          </c:cat>
          <c:val>
            <c:numRef>
              <c:f>'Open end'!$B$39:$AO$39</c:f>
              <c:numCache>
                <c:formatCode>_(* #,##0.00_);_(* \(#,##0.00\);_(* "-"??_);_(@_)</c:formatCode>
                <c:ptCount val="29"/>
                <c:pt idx="0">
                  <c:v>1134816.52</c:v>
                </c:pt>
                <c:pt idx="1">
                  <c:v>1349991.59</c:v>
                </c:pt>
                <c:pt idx="2">
                  <c:v>1425238.91</c:v>
                </c:pt>
                <c:pt idx="3">
                  <c:v>1533647.57</c:v>
                </c:pt>
                <c:pt idx="4">
                  <c:v>1607571.33</c:v>
                </c:pt>
                <c:pt idx="5">
                  <c:v>1814606.38</c:v>
                </c:pt>
                <c:pt idx="6">
                  <c:v>1994499.06</c:v>
                </c:pt>
                <c:pt idx="7">
                  <c:v>2031098.76</c:v>
                </c:pt>
                <c:pt idx="8">
                  <c:v>2271876.0699999998</c:v>
                </c:pt>
                <c:pt idx="9">
                  <c:v>2394150</c:v>
                </c:pt>
                <c:pt idx="10">
                  <c:v>2488423.2799999998</c:v>
                </c:pt>
                <c:pt idx="11">
                  <c:v>2804697.41</c:v>
                </c:pt>
                <c:pt idx="12">
                  <c:v>3033075.27</c:v>
                </c:pt>
                <c:pt idx="13">
                  <c:v>3075013.48</c:v>
                </c:pt>
                <c:pt idx="14">
                  <c:v>3091639.84</c:v>
                </c:pt>
                <c:pt idx="15">
                  <c:v>3044149.62</c:v>
                </c:pt>
                <c:pt idx="16">
                  <c:v>3019749.79</c:v>
                </c:pt>
                <c:pt idx="17">
                  <c:v>3959120.8</c:v>
                </c:pt>
                <c:pt idx="18">
                  <c:v>4226986.84</c:v>
                </c:pt>
                <c:pt idx="19">
                  <c:v>4775388.12</c:v>
                </c:pt>
                <c:pt idx="20">
                  <c:v>4416384.59</c:v>
                </c:pt>
                <c:pt idx="21">
                  <c:v>4593363.08</c:v>
                </c:pt>
                <c:pt idx="22">
                  <c:v>4559745.91</c:v>
                </c:pt>
                <c:pt idx="23">
                  <c:v>5744258.5099999998</c:v>
                </c:pt>
                <c:pt idx="24">
                  <c:v>5889064.2699999996</c:v>
                </c:pt>
                <c:pt idx="25">
                  <c:v>6229310.2599999998</c:v>
                </c:pt>
                <c:pt idx="26">
                  <c:v>6541531.1699999999</c:v>
                </c:pt>
                <c:pt idx="27">
                  <c:v>6570230.0999999996</c:v>
                </c:pt>
                <c:pt idx="28">
                  <c:v>6462698.4100000001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2-9E0C-416C-98EA-702A7D6BB287}"/>
            </c:ext>
          </c:extLst>
        </c:ser>
        <c:ser>
          <c:idx val="1"/>
          <c:order val="1"/>
          <c:tx>
            <c:strRef>
              <c:f>'Open end'!$A$40</c:f>
              <c:strCache>
                <c:ptCount val="1"/>
                <c:pt idx="0">
                  <c:v>NADDF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dLbls>
            <c:dLbl>
              <c:idx val="28"/>
              <c:layout>
                <c:manualLayout>
                  <c:x val="-0.17901636645377841"/>
                  <c:y val="-3.6007683529320038E-2"/>
                </c:manualLayout>
              </c:layout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9E0C-416C-98EA-702A7D6BB2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'Open end'!$B$38:$AO$38</c:f>
              <c:numCache>
                <c:formatCode>d\-mmm\-yy</c:formatCode>
                <c:ptCount val="29"/>
                <c:pt idx="0">
                  <c:v>44940</c:v>
                </c:pt>
                <c:pt idx="1">
                  <c:v>44969</c:v>
                </c:pt>
                <c:pt idx="2">
                  <c:v>44999</c:v>
                </c:pt>
                <c:pt idx="3">
                  <c:v>45029</c:v>
                </c:pt>
                <c:pt idx="4">
                  <c:v>45060</c:v>
                </c:pt>
                <c:pt idx="5">
                  <c:v>45092</c:v>
                </c:pt>
                <c:pt idx="6">
                  <c:v>45123</c:v>
                </c:pt>
                <c:pt idx="7">
                  <c:v>45155</c:v>
                </c:pt>
                <c:pt idx="8">
                  <c:v>45186</c:v>
                </c:pt>
                <c:pt idx="9">
                  <c:v>45216</c:v>
                </c:pt>
                <c:pt idx="10">
                  <c:v>45246</c:v>
                </c:pt>
                <c:pt idx="11">
                  <c:v>45276</c:v>
                </c:pt>
                <c:pt idx="12">
                  <c:v>45305</c:v>
                </c:pt>
                <c:pt idx="13">
                  <c:v>45335</c:v>
                </c:pt>
                <c:pt idx="14">
                  <c:v>45364</c:v>
                </c:pt>
                <c:pt idx="15">
                  <c:v>45394</c:v>
                </c:pt>
                <c:pt idx="16">
                  <c:v>45425</c:v>
                </c:pt>
                <c:pt idx="17">
                  <c:v>45457</c:v>
                </c:pt>
                <c:pt idx="18">
                  <c:v>45488</c:v>
                </c:pt>
                <c:pt idx="19">
                  <c:v>45520</c:v>
                </c:pt>
                <c:pt idx="20">
                  <c:v>45551</c:v>
                </c:pt>
                <c:pt idx="21">
                  <c:v>45581</c:v>
                </c:pt>
                <c:pt idx="22">
                  <c:v>45611</c:v>
                </c:pt>
                <c:pt idx="23">
                  <c:v>45641</c:v>
                </c:pt>
                <c:pt idx="24">
                  <c:v>45670</c:v>
                </c:pt>
                <c:pt idx="25">
                  <c:v>45700</c:v>
                </c:pt>
                <c:pt idx="26">
                  <c:v>45729</c:v>
                </c:pt>
                <c:pt idx="27">
                  <c:v>45760</c:v>
                </c:pt>
                <c:pt idx="28">
                  <c:v>45791</c:v>
                </c:pt>
              </c:numCache>
              <c:extLst/>
            </c:numRef>
          </c:cat>
          <c:val>
            <c:numRef>
              <c:f>'Open end'!$B$40:$AO$40</c:f>
              <c:numCache>
                <c:formatCode>_(* #,##0.00_);_(* \(#,##0.00\);_(* "-"??_);_(@_)</c:formatCode>
                <c:ptCount val="29"/>
                <c:pt idx="0">
                  <c:v>555479.43000000005</c:v>
                </c:pt>
                <c:pt idx="1">
                  <c:v>552504.18999999994</c:v>
                </c:pt>
                <c:pt idx="2">
                  <c:v>546871.04000000004</c:v>
                </c:pt>
                <c:pt idx="3">
                  <c:v>556120.72</c:v>
                </c:pt>
                <c:pt idx="4">
                  <c:v>558479.68999999994</c:v>
                </c:pt>
                <c:pt idx="5">
                  <c:v>588397.51</c:v>
                </c:pt>
                <c:pt idx="6">
                  <c:v>612707.77</c:v>
                </c:pt>
                <c:pt idx="7">
                  <c:v>567494.89</c:v>
                </c:pt>
                <c:pt idx="8">
                  <c:v>588863.06999999995</c:v>
                </c:pt>
                <c:pt idx="9">
                  <c:v>606489.76</c:v>
                </c:pt>
                <c:pt idx="10">
                  <c:v>620090.04</c:v>
                </c:pt>
                <c:pt idx="11">
                  <c:v>656027.75</c:v>
                </c:pt>
                <c:pt idx="12">
                  <c:v>693001.47</c:v>
                </c:pt>
                <c:pt idx="13">
                  <c:v>715463.3</c:v>
                </c:pt>
                <c:pt idx="14">
                  <c:v>730467.59</c:v>
                </c:pt>
                <c:pt idx="15">
                  <c:v>742693.32</c:v>
                </c:pt>
                <c:pt idx="16">
                  <c:v>761046.33</c:v>
                </c:pt>
                <c:pt idx="17">
                  <c:v>792874.37</c:v>
                </c:pt>
                <c:pt idx="18">
                  <c:v>834056.24</c:v>
                </c:pt>
                <c:pt idx="19">
                  <c:v>837774.52</c:v>
                </c:pt>
                <c:pt idx="20">
                  <c:v>857908.35</c:v>
                </c:pt>
                <c:pt idx="21">
                  <c:v>902648.03</c:v>
                </c:pt>
                <c:pt idx="22">
                  <c:v>938088.78</c:v>
                </c:pt>
                <c:pt idx="23">
                  <c:v>1113567.94</c:v>
                </c:pt>
                <c:pt idx="24">
                  <c:v>1152091.6399999999</c:v>
                </c:pt>
                <c:pt idx="25">
                  <c:v>1212240.74</c:v>
                </c:pt>
                <c:pt idx="26">
                  <c:v>1264237.55</c:v>
                </c:pt>
                <c:pt idx="27">
                  <c:v>1296755.21</c:v>
                </c:pt>
                <c:pt idx="28">
                  <c:v>1347028.6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4-9E0C-416C-98EA-702A7D6BB287}"/>
            </c:ext>
          </c:extLst>
        </c:ser>
        <c:ser>
          <c:idx val="2"/>
          <c:order val="2"/>
          <c:tx>
            <c:strRef>
              <c:f>'Open end'!$A$41</c:f>
              <c:strCache>
                <c:ptCount val="1"/>
                <c:pt idx="0">
                  <c:v>SSIS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dLbls>
            <c:dLbl>
              <c:idx val="28"/>
              <c:layout>
                <c:manualLayout>
                  <c:x val="-7.3431701597325236E-3"/>
                  <c:y val="-9.259118621825152E-2"/>
                </c:manualLayout>
              </c:layout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9E0C-416C-98EA-702A7D6BB2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'Open end'!$B$38:$AO$38</c:f>
              <c:numCache>
                <c:formatCode>d\-mmm\-yy</c:formatCode>
                <c:ptCount val="29"/>
                <c:pt idx="0">
                  <c:v>44940</c:v>
                </c:pt>
                <c:pt idx="1">
                  <c:v>44969</c:v>
                </c:pt>
                <c:pt idx="2">
                  <c:v>44999</c:v>
                </c:pt>
                <c:pt idx="3">
                  <c:v>45029</c:v>
                </c:pt>
                <c:pt idx="4">
                  <c:v>45060</c:v>
                </c:pt>
                <c:pt idx="5">
                  <c:v>45092</c:v>
                </c:pt>
                <c:pt idx="6">
                  <c:v>45123</c:v>
                </c:pt>
                <c:pt idx="7">
                  <c:v>45155</c:v>
                </c:pt>
                <c:pt idx="8">
                  <c:v>45186</c:v>
                </c:pt>
                <c:pt idx="9">
                  <c:v>45216</c:v>
                </c:pt>
                <c:pt idx="10">
                  <c:v>45246</c:v>
                </c:pt>
                <c:pt idx="11">
                  <c:v>45276</c:v>
                </c:pt>
                <c:pt idx="12">
                  <c:v>45305</c:v>
                </c:pt>
                <c:pt idx="13">
                  <c:v>45335</c:v>
                </c:pt>
                <c:pt idx="14">
                  <c:v>45364</c:v>
                </c:pt>
                <c:pt idx="15">
                  <c:v>45394</c:v>
                </c:pt>
                <c:pt idx="16">
                  <c:v>45425</c:v>
                </c:pt>
                <c:pt idx="17">
                  <c:v>45457</c:v>
                </c:pt>
                <c:pt idx="18">
                  <c:v>45488</c:v>
                </c:pt>
                <c:pt idx="19">
                  <c:v>45520</c:v>
                </c:pt>
                <c:pt idx="20">
                  <c:v>45551</c:v>
                </c:pt>
                <c:pt idx="21">
                  <c:v>45581</c:v>
                </c:pt>
                <c:pt idx="22">
                  <c:v>45611</c:v>
                </c:pt>
                <c:pt idx="23">
                  <c:v>45641</c:v>
                </c:pt>
                <c:pt idx="24">
                  <c:v>45670</c:v>
                </c:pt>
                <c:pt idx="25">
                  <c:v>45700</c:v>
                </c:pt>
                <c:pt idx="26">
                  <c:v>45729</c:v>
                </c:pt>
                <c:pt idx="27">
                  <c:v>45760</c:v>
                </c:pt>
                <c:pt idx="28">
                  <c:v>45791</c:v>
                </c:pt>
              </c:numCache>
              <c:extLst/>
            </c:numRef>
          </c:cat>
          <c:val>
            <c:numRef>
              <c:f>'Open end'!$B$41:$AO$41</c:f>
              <c:numCache>
                <c:formatCode>_(* #,##0.00_);_(* \(#,##0.00\);_(* "-"??_);_(@_)</c:formatCode>
                <c:ptCount val="29"/>
                <c:pt idx="0">
                  <c:v>260965.38</c:v>
                </c:pt>
                <c:pt idx="1">
                  <c:v>271659.69</c:v>
                </c:pt>
                <c:pt idx="2">
                  <c:v>275874.15999999997</c:v>
                </c:pt>
                <c:pt idx="3">
                  <c:v>294484.88</c:v>
                </c:pt>
                <c:pt idx="4">
                  <c:v>301836.46000000002</c:v>
                </c:pt>
                <c:pt idx="5">
                  <c:v>379251.85</c:v>
                </c:pt>
                <c:pt idx="6">
                  <c:v>407239.73</c:v>
                </c:pt>
                <c:pt idx="7">
                  <c:v>426948.17</c:v>
                </c:pt>
                <c:pt idx="8">
                  <c:v>443750.43</c:v>
                </c:pt>
                <c:pt idx="9">
                  <c:v>452429.91</c:v>
                </c:pt>
                <c:pt idx="10">
                  <c:v>468399.39</c:v>
                </c:pt>
                <c:pt idx="11">
                  <c:v>521885.53</c:v>
                </c:pt>
                <c:pt idx="12">
                  <c:v>562087.92000000004</c:v>
                </c:pt>
                <c:pt idx="13">
                  <c:v>585376.32999999996</c:v>
                </c:pt>
                <c:pt idx="14">
                  <c:v>684007.09</c:v>
                </c:pt>
                <c:pt idx="15">
                  <c:v>688303.31</c:v>
                </c:pt>
                <c:pt idx="16">
                  <c:v>715321.89</c:v>
                </c:pt>
                <c:pt idx="17">
                  <c:v>769287.35</c:v>
                </c:pt>
                <c:pt idx="18">
                  <c:v>851973.99</c:v>
                </c:pt>
                <c:pt idx="19">
                  <c:v>1060781.42</c:v>
                </c:pt>
                <c:pt idx="20">
                  <c:v>1009814.13</c:v>
                </c:pt>
                <c:pt idx="21">
                  <c:v>1095719.8400000001</c:v>
                </c:pt>
                <c:pt idx="22">
                  <c:v>1214379.1499999999</c:v>
                </c:pt>
                <c:pt idx="23">
                  <c:v>1223491.72</c:v>
                </c:pt>
                <c:pt idx="24">
                  <c:v>1256183.8700000001</c:v>
                </c:pt>
                <c:pt idx="25">
                  <c:v>1352061.55</c:v>
                </c:pt>
                <c:pt idx="26">
                  <c:v>1446407.24</c:v>
                </c:pt>
                <c:pt idx="27">
                  <c:v>1476625.78</c:v>
                </c:pt>
                <c:pt idx="28">
                  <c:v>1538362.36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6-9E0C-416C-98EA-702A7D6BB287}"/>
            </c:ext>
          </c:extLst>
        </c:ser>
        <c:ser>
          <c:idx val="3"/>
          <c:order val="3"/>
          <c:tx>
            <c:strRef>
              <c:f>'Open end'!$A$42</c:f>
              <c:strCache>
                <c:ptCount val="1"/>
                <c:pt idx="0">
                  <c:v>NMBSBFE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dLbls>
            <c:dLbl>
              <c:idx val="28"/>
              <c:layout>
                <c:manualLayout>
                  <c:x val="-2.5622865118514328E-3"/>
                  <c:y val="-7.2015367058640076E-2"/>
                </c:manualLayout>
              </c:layout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7-9E0C-416C-98EA-702A7D6BB2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'Open end'!$B$38:$AO$38</c:f>
              <c:numCache>
                <c:formatCode>d\-mmm\-yy</c:formatCode>
                <c:ptCount val="29"/>
                <c:pt idx="0">
                  <c:v>44940</c:v>
                </c:pt>
                <c:pt idx="1">
                  <c:v>44969</c:v>
                </c:pt>
                <c:pt idx="2">
                  <c:v>44999</c:v>
                </c:pt>
                <c:pt idx="3">
                  <c:v>45029</c:v>
                </c:pt>
                <c:pt idx="4">
                  <c:v>45060</c:v>
                </c:pt>
                <c:pt idx="5">
                  <c:v>45092</c:v>
                </c:pt>
                <c:pt idx="6">
                  <c:v>45123</c:v>
                </c:pt>
                <c:pt idx="7">
                  <c:v>45155</c:v>
                </c:pt>
                <c:pt idx="8">
                  <c:v>45186</c:v>
                </c:pt>
                <c:pt idx="9">
                  <c:v>45216</c:v>
                </c:pt>
                <c:pt idx="10">
                  <c:v>45246</c:v>
                </c:pt>
                <c:pt idx="11">
                  <c:v>45276</c:v>
                </c:pt>
                <c:pt idx="12">
                  <c:v>45305</c:v>
                </c:pt>
                <c:pt idx="13">
                  <c:v>45335</c:v>
                </c:pt>
                <c:pt idx="14">
                  <c:v>45364</c:v>
                </c:pt>
                <c:pt idx="15">
                  <c:v>45394</c:v>
                </c:pt>
                <c:pt idx="16">
                  <c:v>45425</c:v>
                </c:pt>
                <c:pt idx="17">
                  <c:v>45457</c:v>
                </c:pt>
                <c:pt idx="18">
                  <c:v>45488</c:v>
                </c:pt>
                <c:pt idx="19">
                  <c:v>45520</c:v>
                </c:pt>
                <c:pt idx="20">
                  <c:v>45551</c:v>
                </c:pt>
                <c:pt idx="21">
                  <c:v>45581</c:v>
                </c:pt>
                <c:pt idx="22">
                  <c:v>45611</c:v>
                </c:pt>
                <c:pt idx="23">
                  <c:v>45641</c:v>
                </c:pt>
                <c:pt idx="24">
                  <c:v>45670</c:v>
                </c:pt>
                <c:pt idx="25">
                  <c:v>45700</c:v>
                </c:pt>
                <c:pt idx="26">
                  <c:v>45729</c:v>
                </c:pt>
                <c:pt idx="27">
                  <c:v>45760</c:v>
                </c:pt>
                <c:pt idx="28">
                  <c:v>45791</c:v>
                </c:pt>
              </c:numCache>
              <c:extLst/>
            </c:numRef>
          </c:cat>
          <c:val>
            <c:numRef>
              <c:f>'Open end'!$B$42:$AO$42</c:f>
              <c:numCache>
                <c:formatCode>_(* #,##0.00_);_(* \(#,##0.00\);_(* "-"??_);_(@_)</c:formatCode>
                <c:ptCount val="29"/>
                <c:pt idx="0">
                  <c:v>697188.22</c:v>
                </c:pt>
                <c:pt idx="1">
                  <c:v>727860.65</c:v>
                </c:pt>
                <c:pt idx="2">
                  <c:v>744144.29</c:v>
                </c:pt>
                <c:pt idx="3">
                  <c:v>795595.26</c:v>
                </c:pt>
                <c:pt idx="4">
                  <c:v>819696.28</c:v>
                </c:pt>
                <c:pt idx="5">
                  <c:v>1092861.21</c:v>
                </c:pt>
                <c:pt idx="6">
                  <c:v>1186558.3700000001</c:v>
                </c:pt>
                <c:pt idx="7">
                  <c:v>1238036.54</c:v>
                </c:pt>
                <c:pt idx="8">
                  <c:v>1277190.6399999999</c:v>
                </c:pt>
                <c:pt idx="9">
                  <c:v>1283586.78</c:v>
                </c:pt>
                <c:pt idx="10">
                  <c:v>1305624.56</c:v>
                </c:pt>
                <c:pt idx="11">
                  <c:v>1447013.03</c:v>
                </c:pt>
                <c:pt idx="12">
                  <c:v>1570007.28</c:v>
                </c:pt>
                <c:pt idx="13">
                  <c:v>1584665.02</c:v>
                </c:pt>
                <c:pt idx="14">
                  <c:v>1678934.53</c:v>
                </c:pt>
                <c:pt idx="15">
                  <c:v>1675477.22</c:v>
                </c:pt>
                <c:pt idx="16">
                  <c:v>1731906.13</c:v>
                </c:pt>
                <c:pt idx="17">
                  <c:v>1904985.77</c:v>
                </c:pt>
                <c:pt idx="18">
                  <c:v>2084623.22</c:v>
                </c:pt>
                <c:pt idx="19">
                  <c:v>2684520.4</c:v>
                </c:pt>
                <c:pt idx="20">
                  <c:v>2473478</c:v>
                </c:pt>
                <c:pt idx="21">
                  <c:v>2708575.97</c:v>
                </c:pt>
                <c:pt idx="22">
                  <c:v>2778933.38</c:v>
                </c:pt>
                <c:pt idx="23">
                  <c:v>2729049.79</c:v>
                </c:pt>
                <c:pt idx="24">
                  <c:v>2807526.46</c:v>
                </c:pt>
                <c:pt idx="25">
                  <c:v>2903294.03</c:v>
                </c:pt>
                <c:pt idx="26">
                  <c:v>3075448.07</c:v>
                </c:pt>
                <c:pt idx="27">
                  <c:v>3106053.83</c:v>
                </c:pt>
                <c:pt idx="28">
                  <c:v>3210733.38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8-9E0C-416C-98EA-702A7D6BB287}"/>
            </c:ext>
          </c:extLst>
        </c:ser>
        <c:ser>
          <c:idx val="4"/>
          <c:order val="4"/>
          <c:tx>
            <c:strRef>
              <c:f>'Open end'!$A$43</c:f>
              <c:strCache>
                <c:ptCount val="1"/>
                <c:pt idx="0">
                  <c:v>SLK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dLbls>
            <c:dLbl>
              <c:idx val="17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9-9E0C-416C-98EA-702A7D6BB287}"/>
                </c:ext>
              </c:extLst>
            </c:dLbl>
            <c:dLbl>
              <c:idx val="28"/>
              <c:layout>
                <c:manualLayout>
                  <c:x val="-0.11159625304939845"/>
                  <c:y val="-4.1151638319222993E-2"/>
                </c:manualLayout>
              </c:layout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A-9E0C-416C-98EA-702A7D6BB2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'Open end'!$B$38:$AO$38</c:f>
              <c:numCache>
                <c:formatCode>d\-mmm\-yy</c:formatCode>
                <c:ptCount val="29"/>
                <c:pt idx="0">
                  <c:v>44940</c:v>
                </c:pt>
                <c:pt idx="1">
                  <c:v>44969</c:v>
                </c:pt>
                <c:pt idx="2">
                  <c:v>44999</c:v>
                </c:pt>
                <c:pt idx="3">
                  <c:v>45029</c:v>
                </c:pt>
                <c:pt idx="4">
                  <c:v>45060</c:v>
                </c:pt>
                <c:pt idx="5">
                  <c:v>45092</c:v>
                </c:pt>
                <c:pt idx="6">
                  <c:v>45123</c:v>
                </c:pt>
                <c:pt idx="7">
                  <c:v>45155</c:v>
                </c:pt>
                <c:pt idx="8">
                  <c:v>45186</c:v>
                </c:pt>
                <c:pt idx="9">
                  <c:v>45216</c:v>
                </c:pt>
                <c:pt idx="10">
                  <c:v>45246</c:v>
                </c:pt>
                <c:pt idx="11">
                  <c:v>45276</c:v>
                </c:pt>
                <c:pt idx="12">
                  <c:v>45305</c:v>
                </c:pt>
                <c:pt idx="13">
                  <c:v>45335</c:v>
                </c:pt>
                <c:pt idx="14">
                  <c:v>45364</c:v>
                </c:pt>
                <c:pt idx="15">
                  <c:v>45394</c:v>
                </c:pt>
                <c:pt idx="16">
                  <c:v>45425</c:v>
                </c:pt>
                <c:pt idx="17">
                  <c:v>45457</c:v>
                </c:pt>
                <c:pt idx="18">
                  <c:v>45488</c:v>
                </c:pt>
                <c:pt idx="19">
                  <c:v>45520</c:v>
                </c:pt>
                <c:pt idx="20">
                  <c:v>45551</c:v>
                </c:pt>
                <c:pt idx="21">
                  <c:v>45581</c:v>
                </c:pt>
                <c:pt idx="22">
                  <c:v>45611</c:v>
                </c:pt>
                <c:pt idx="23">
                  <c:v>45641</c:v>
                </c:pt>
                <c:pt idx="24">
                  <c:v>45670</c:v>
                </c:pt>
                <c:pt idx="25">
                  <c:v>45700</c:v>
                </c:pt>
                <c:pt idx="26">
                  <c:v>45729</c:v>
                </c:pt>
                <c:pt idx="27">
                  <c:v>45760</c:v>
                </c:pt>
                <c:pt idx="28">
                  <c:v>45791</c:v>
                </c:pt>
              </c:numCache>
              <c:extLst/>
            </c:numRef>
          </c:cat>
          <c:val>
            <c:numRef>
              <c:f>'Open end'!$B$43:$AO$43</c:f>
              <c:numCache>
                <c:formatCode>_(* #,##0.00_);_(* \(#,##0.00\);_(* "-"??_);_(@_)</c:formatCode>
                <c:ptCount val="29"/>
                <c:pt idx="0">
                  <c:v>281735.59999999998</c:v>
                </c:pt>
                <c:pt idx="1">
                  <c:v>282769.24</c:v>
                </c:pt>
                <c:pt idx="2">
                  <c:v>271642.03999999998</c:v>
                </c:pt>
                <c:pt idx="3">
                  <c:v>271513.99</c:v>
                </c:pt>
                <c:pt idx="4">
                  <c:v>260998.43</c:v>
                </c:pt>
                <c:pt idx="5">
                  <c:v>282358.98</c:v>
                </c:pt>
                <c:pt idx="6">
                  <c:v>285737.51</c:v>
                </c:pt>
                <c:pt idx="7">
                  <c:v>282911.64</c:v>
                </c:pt>
                <c:pt idx="8">
                  <c:v>279904.92</c:v>
                </c:pt>
                <c:pt idx="9">
                  <c:v>275478.98</c:v>
                </c:pt>
                <c:pt idx="10">
                  <c:v>270076.44</c:v>
                </c:pt>
                <c:pt idx="11">
                  <c:v>284229.46000000002</c:v>
                </c:pt>
                <c:pt idx="12">
                  <c:v>297349.88</c:v>
                </c:pt>
                <c:pt idx="13">
                  <c:v>297656.44</c:v>
                </c:pt>
                <c:pt idx="14">
                  <c:v>300331.52000000002</c:v>
                </c:pt>
                <c:pt idx="15">
                  <c:v>295272.90000000002</c:v>
                </c:pt>
                <c:pt idx="16">
                  <c:v>296390.15000000002</c:v>
                </c:pt>
                <c:pt idx="17">
                  <c:v>310420.53000000003</c:v>
                </c:pt>
                <c:pt idx="18">
                  <c:v>328200.2</c:v>
                </c:pt>
                <c:pt idx="19">
                  <c:v>399561.38</c:v>
                </c:pt>
                <c:pt idx="20">
                  <c:v>356313.12</c:v>
                </c:pt>
                <c:pt idx="21">
                  <c:v>384258.2</c:v>
                </c:pt>
                <c:pt idx="22">
                  <c:v>388764.35</c:v>
                </c:pt>
                <c:pt idx="23">
                  <c:v>379788.5</c:v>
                </c:pt>
                <c:pt idx="24">
                  <c:v>375017.86</c:v>
                </c:pt>
                <c:pt idx="25">
                  <c:v>394610.33</c:v>
                </c:pt>
                <c:pt idx="26">
                  <c:v>414048.58</c:v>
                </c:pt>
                <c:pt idx="27">
                  <c:v>409594.26</c:v>
                </c:pt>
                <c:pt idx="28">
                  <c:v>421610.97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B-9E0C-416C-98EA-702A7D6BB287}"/>
            </c:ext>
          </c:extLst>
        </c:ser>
        <c:ser>
          <c:idx val="5"/>
          <c:order val="5"/>
          <c:tx>
            <c:strRef>
              <c:f>'Open end'!$A$44</c:f>
              <c:strCache>
                <c:ptCount val="1"/>
                <c:pt idx="0">
                  <c:v>NFCf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dLbls>
            <c:dLbl>
              <c:idx val="28"/>
              <c:layout>
                <c:manualLayout>
                  <c:x val="-0.13417635249637835"/>
                  <c:y val="-0.11316700537786296"/>
                </c:manualLayout>
              </c:layout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C-9E0C-416C-98EA-702A7D6BB2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'Open end'!$B$38:$AO$38</c:f>
              <c:numCache>
                <c:formatCode>d\-mmm\-yy</c:formatCode>
                <c:ptCount val="29"/>
                <c:pt idx="0">
                  <c:v>44940</c:v>
                </c:pt>
                <c:pt idx="1">
                  <c:v>44969</c:v>
                </c:pt>
                <c:pt idx="2">
                  <c:v>44999</c:v>
                </c:pt>
                <c:pt idx="3">
                  <c:v>45029</c:v>
                </c:pt>
                <c:pt idx="4">
                  <c:v>45060</c:v>
                </c:pt>
                <c:pt idx="5">
                  <c:v>45092</c:v>
                </c:pt>
                <c:pt idx="6">
                  <c:v>45123</c:v>
                </c:pt>
                <c:pt idx="7">
                  <c:v>45155</c:v>
                </c:pt>
                <c:pt idx="8">
                  <c:v>45186</c:v>
                </c:pt>
                <c:pt idx="9">
                  <c:v>45216</c:v>
                </c:pt>
                <c:pt idx="10">
                  <c:v>45246</c:v>
                </c:pt>
                <c:pt idx="11">
                  <c:v>45276</c:v>
                </c:pt>
                <c:pt idx="12">
                  <c:v>45305</c:v>
                </c:pt>
                <c:pt idx="13">
                  <c:v>45335</c:v>
                </c:pt>
                <c:pt idx="14">
                  <c:v>45364</c:v>
                </c:pt>
                <c:pt idx="15">
                  <c:v>45394</c:v>
                </c:pt>
                <c:pt idx="16">
                  <c:v>45425</c:v>
                </c:pt>
                <c:pt idx="17">
                  <c:v>45457</c:v>
                </c:pt>
                <c:pt idx="18">
                  <c:v>45488</c:v>
                </c:pt>
                <c:pt idx="19">
                  <c:v>45520</c:v>
                </c:pt>
                <c:pt idx="20">
                  <c:v>45551</c:v>
                </c:pt>
                <c:pt idx="21">
                  <c:v>45581</c:v>
                </c:pt>
                <c:pt idx="22">
                  <c:v>45611</c:v>
                </c:pt>
                <c:pt idx="23">
                  <c:v>45641</c:v>
                </c:pt>
                <c:pt idx="24">
                  <c:v>45670</c:v>
                </c:pt>
                <c:pt idx="25">
                  <c:v>45700</c:v>
                </c:pt>
                <c:pt idx="26">
                  <c:v>45729</c:v>
                </c:pt>
                <c:pt idx="27">
                  <c:v>45760</c:v>
                </c:pt>
                <c:pt idx="28">
                  <c:v>45791</c:v>
                </c:pt>
              </c:numCache>
              <c:extLst/>
            </c:numRef>
          </c:cat>
          <c:val>
            <c:numRef>
              <c:f>'Open end'!$B$44:$AO$44</c:f>
              <c:numCache>
                <c:formatCode>_(* #,##0.00_);_(* \(#,##0.00\);_(* "-"??_);_(@_)</c:formatCode>
                <c:ptCount val="29"/>
                <c:pt idx="0">
                  <c:v>461082.26</c:v>
                </c:pt>
                <c:pt idx="1">
                  <c:v>459166.12</c:v>
                </c:pt>
                <c:pt idx="2">
                  <c:v>452147.38</c:v>
                </c:pt>
                <c:pt idx="3">
                  <c:v>452188.85</c:v>
                </c:pt>
                <c:pt idx="4">
                  <c:v>441738.09</c:v>
                </c:pt>
                <c:pt idx="5">
                  <c:v>468075.31</c:v>
                </c:pt>
                <c:pt idx="6">
                  <c:v>474374.47</c:v>
                </c:pt>
                <c:pt idx="7">
                  <c:v>473437.07</c:v>
                </c:pt>
                <c:pt idx="8">
                  <c:v>468075.31</c:v>
                </c:pt>
                <c:pt idx="9">
                  <c:v>482376.17</c:v>
                </c:pt>
                <c:pt idx="10">
                  <c:v>485944.57</c:v>
                </c:pt>
                <c:pt idx="11">
                  <c:v>519740.39</c:v>
                </c:pt>
                <c:pt idx="12">
                  <c:v>560681.97</c:v>
                </c:pt>
                <c:pt idx="13">
                  <c:v>571670.12</c:v>
                </c:pt>
                <c:pt idx="14">
                  <c:v>588558.47</c:v>
                </c:pt>
                <c:pt idx="15">
                  <c:v>589362.86</c:v>
                </c:pt>
                <c:pt idx="16">
                  <c:v>596999.17000000004</c:v>
                </c:pt>
                <c:pt idx="17">
                  <c:v>638635.17000000004</c:v>
                </c:pt>
                <c:pt idx="18">
                  <c:v>666759.15</c:v>
                </c:pt>
                <c:pt idx="19">
                  <c:v>836094.23</c:v>
                </c:pt>
                <c:pt idx="20">
                  <c:v>752287.72</c:v>
                </c:pt>
                <c:pt idx="21">
                  <c:v>841612.15</c:v>
                </c:pt>
                <c:pt idx="22">
                  <c:v>869501.04</c:v>
                </c:pt>
                <c:pt idx="23">
                  <c:v>962948.79</c:v>
                </c:pt>
                <c:pt idx="24">
                  <c:v>996757.95</c:v>
                </c:pt>
                <c:pt idx="25">
                  <c:v>1079467.6100000001</c:v>
                </c:pt>
                <c:pt idx="26">
                  <c:v>1144934.95</c:v>
                </c:pt>
                <c:pt idx="27">
                  <c:v>1167914.22</c:v>
                </c:pt>
                <c:pt idx="28">
                  <c:v>1223366.93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D-9E0C-416C-98EA-702A7D6BB287}"/>
            </c:ext>
          </c:extLst>
        </c:ser>
        <c:ser>
          <c:idx val="6"/>
          <c:order val="6"/>
          <c:tx>
            <c:strRef>
              <c:f>'Open end'!$A$45</c:f>
              <c:strCache>
                <c:ptCount val="1"/>
                <c:pt idx="0">
                  <c:v>KSLY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none"/>
          </c:marker>
          <c:dLbls>
            <c:dLbl>
              <c:idx val="28"/>
              <c:layout>
                <c:manualLayout>
                  <c:x val="-1.1667015074443128E-2"/>
                  <c:y val="-3.9162446499166857E-2"/>
                </c:manualLayout>
              </c:layout>
              <c:dLblPos val="r"/>
              <c:showLegendKey val="0"/>
              <c:showVal val="1"/>
              <c:showCatName val="0"/>
              <c:showSerName val="1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E-9E0C-416C-98EA-702A7D6BB287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'Open end'!$B$38:$AO$38</c:f>
              <c:numCache>
                <c:formatCode>d\-mmm\-yy</c:formatCode>
                <c:ptCount val="29"/>
                <c:pt idx="0">
                  <c:v>44940</c:v>
                </c:pt>
                <c:pt idx="1">
                  <c:v>44969</c:v>
                </c:pt>
                <c:pt idx="2">
                  <c:v>44999</c:v>
                </c:pt>
                <c:pt idx="3">
                  <c:v>45029</c:v>
                </c:pt>
                <c:pt idx="4">
                  <c:v>45060</c:v>
                </c:pt>
                <c:pt idx="5">
                  <c:v>45092</c:v>
                </c:pt>
                <c:pt idx="6">
                  <c:v>45123</c:v>
                </c:pt>
                <c:pt idx="7">
                  <c:v>45155</c:v>
                </c:pt>
                <c:pt idx="8">
                  <c:v>45186</c:v>
                </c:pt>
                <c:pt idx="9">
                  <c:v>45216</c:v>
                </c:pt>
                <c:pt idx="10">
                  <c:v>45246</c:v>
                </c:pt>
                <c:pt idx="11">
                  <c:v>45276</c:v>
                </c:pt>
                <c:pt idx="12">
                  <c:v>45305</c:v>
                </c:pt>
                <c:pt idx="13">
                  <c:v>45335</c:v>
                </c:pt>
                <c:pt idx="14">
                  <c:v>45364</c:v>
                </c:pt>
                <c:pt idx="15">
                  <c:v>45394</c:v>
                </c:pt>
                <c:pt idx="16">
                  <c:v>45425</c:v>
                </c:pt>
                <c:pt idx="17">
                  <c:v>45457</c:v>
                </c:pt>
                <c:pt idx="18">
                  <c:v>45488</c:v>
                </c:pt>
                <c:pt idx="19">
                  <c:v>45520</c:v>
                </c:pt>
                <c:pt idx="20">
                  <c:v>45551</c:v>
                </c:pt>
                <c:pt idx="21">
                  <c:v>45581</c:v>
                </c:pt>
                <c:pt idx="22">
                  <c:v>45611</c:v>
                </c:pt>
                <c:pt idx="23">
                  <c:v>45641</c:v>
                </c:pt>
                <c:pt idx="24">
                  <c:v>45670</c:v>
                </c:pt>
                <c:pt idx="25">
                  <c:v>45700</c:v>
                </c:pt>
                <c:pt idx="26">
                  <c:v>45729</c:v>
                </c:pt>
                <c:pt idx="27">
                  <c:v>45760</c:v>
                </c:pt>
                <c:pt idx="28">
                  <c:v>45791</c:v>
                </c:pt>
              </c:numCache>
              <c:extLst/>
            </c:numRef>
          </c:cat>
          <c:val>
            <c:numRef>
              <c:f>'Open end'!$B$45:$AO$45</c:f>
              <c:numCache>
                <c:formatCode>_(* #,##0.00_);_(* \(#,##0.00\);_(* "-"??_);_(@_)</c:formatCode>
                <c:ptCount val="29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365062.3</c:v>
                </c:pt>
                <c:pt idx="4">
                  <c:v>361128.03</c:v>
                </c:pt>
                <c:pt idx="5">
                  <c:v>383879.38</c:v>
                </c:pt>
                <c:pt idx="6">
                  <c:v>390644.49</c:v>
                </c:pt>
                <c:pt idx="7">
                  <c:v>386688.07</c:v>
                </c:pt>
                <c:pt idx="8">
                  <c:v>381739.11</c:v>
                </c:pt>
                <c:pt idx="9">
                  <c:v>368628.61</c:v>
                </c:pt>
                <c:pt idx="10">
                  <c:v>368394.5</c:v>
                </c:pt>
                <c:pt idx="11">
                  <c:v>392011.03</c:v>
                </c:pt>
                <c:pt idx="12">
                  <c:v>405945.08</c:v>
                </c:pt>
                <c:pt idx="13">
                  <c:v>400013.19</c:v>
                </c:pt>
                <c:pt idx="14">
                  <c:v>402929.43</c:v>
                </c:pt>
                <c:pt idx="15">
                  <c:v>398110.42</c:v>
                </c:pt>
                <c:pt idx="16">
                  <c:v>398028.49</c:v>
                </c:pt>
                <c:pt idx="17">
                  <c:v>406460.57</c:v>
                </c:pt>
                <c:pt idx="18">
                  <c:v>433271.64</c:v>
                </c:pt>
                <c:pt idx="19">
                  <c:v>509543.84</c:v>
                </c:pt>
                <c:pt idx="20">
                  <c:v>439077.79</c:v>
                </c:pt>
                <c:pt idx="21">
                  <c:v>466678.87</c:v>
                </c:pt>
                <c:pt idx="22">
                  <c:v>484562.22</c:v>
                </c:pt>
                <c:pt idx="23">
                  <c:v>480789.55</c:v>
                </c:pt>
                <c:pt idx="24">
                  <c:v>492535.92</c:v>
                </c:pt>
                <c:pt idx="25">
                  <c:v>522297.26</c:v>
                </c:pt>
                <c:pt idx="26">
                  <c:v>553829.09</c:v>
                </c:pt>
                <c:pt idx="27">
                  <c:v>564588.55000000005</c:v>
                </c:pt>
                <c:pt idx="28">
                  <c:v>596815.75</c:v>
                </c:pt>
              </c:numCache>
              <c:extLst/>
            </c:numRef>
          </c:val>
          <c:smooth val="0"/>
          <c:extLst>
            <c:ext xmlns:c16="http://schemas.microsoft.com/office/drawing/2014/chart" uri="{C3380CC4-5D6E-409C-BE32-E72D297353CC}">
              <c16:uniqueId val="{0000000F-9E0C-416C-98EA-702A7D6BB287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1044023024"/>
        <c:axId val="1044022040"/>
      </c:lineChart>
      <c:catAx>
        <c:axId val="1044023024"/>
        <c:scaling>
          <c:orientation val="minMax"/>
        </c:scaling>
        <c:delete val="0"/>
        <c:axPos val="b"/>
        <c:numFmt formatCode="d\-mmm\-yy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44022040"/>
        <c:crosses val="autoZero"/>
        <c:auto val="0"/>
        <c:lblAlgn val="ctr"/>
        <c:lblOffset val="100"/>
        <c:noMultiLvlLbl val="0"/>
      </c:catAx>
      <c:valAx>
        <c:axId val="1044022040"/>
        <c:scaling>
          <c:orientation val="minMax"/>
        </c:scaling>
        <c:delete val="1"/>
        <c:axPos val="l"/>
        <c:numFmt formatCode="_(* #,##0.00_);_(* \(#,##0.00\);_(* &quot;-&quot;??_);_(@_)" sourceLinked="1"/>
        <c:majorTickMark val="none"/>
        <c:minorTickMark val="none"/>
        <c:tickLblPos val="nextTo"/>
        <c:crossAx val="10440230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en-US"/>
              <a:t>Outstanding Shares (in Million)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'Open end size'!$B$45</c:f>
              <c:strCache>
                <c:ptCount val="1"/>
                <c:pt idx="0">
                  <c:v>2077-78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'Open end size'!$A$46:$A$52</c:f>
              <c:strCache>
                <c:ptCount val="7"/>
                <c:pt idx="0">
                  <c:v>NIBLSF</c:v>
                </c:pt>
                <c:pt idx="1">
                  <c:v>NMBSBFE</c:v>
                </c:pt>
                <c:pt idx="2">
                  <c:v>NADDF</c:v>
                </c:pt>
                <c:pt idx="3">
                  <c:v>SSIS</c:v>
                </c:pt>
                <c:pt idx="4">
                  <c:v>NFCf</c:v>
                </c:pt>
                <c:pt idx="5">
                  <c:v>KSLY</c:v>
                </c:pt>
                <c:pt idx="6">
                  <c:v>SLK</c:v>
                </c:pt>
              </c:strCache>
            </c:strRef>
          </c:cat>
          <c:val>
            <c:numRef>
              <c:f>'Open end size'!$B$46:$B$52</c:f>
              <c:numCache>
                <c:formatCode>_(* #,##0.00_);_(* \(#,##0.00\);_(* "-"??_);_(@_)</c:formatCode>
                <c:ptCount val="7"/>
                <c:pt idx="0">
                  <c:v>31.467470000000002</c:v>
                </c:pt>
                <c:pt idx="1">
                  <c:v>0</c:v>
                </c:pt>
                <c:pt idx="2">
                  <c:v>49.688969999999998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374-4D1C-964C-588C79468859}"/>
            </c:ext>
          </c:extLst>
        </c:ser>
        <c:ser>
          <c:idx val="1"/>
          <c:order val="1"/>
          <c:tx>
            <c:strRef>
              <c:f>'Open end size'!$C$45</c:f>
              <c:strCache>
                <c:ptCount val="1"/>
                <c:pt idx="0">
                  <c:v>2078-79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'Open end size'!$A$46:$A$52</c:f>
              <c:strCache>
                <c:ptCount val="7"/>
                <c:pt idx="0">
                  <c:v>NIBLSF</c:v>
                </c:pt>
                <c:pt idx="1">
                  <c:v>NMBSBFE</c:v>
                </c:pt>
                <c:pt idx="2">
                  <c:v>NADDF</c:v>
                </c:pt>
                <c:pt idx="3">
                  <c:v>SSIS</c:v>
                </c:pt>
                <c:pt idx="4">
                  <c:v>NFCf</c:v>
                </c:pt>
                <c:pt idx="5">
                  <c:v>KSLY</c:v>
                </c:pt>
                <c:pt idx="6">
                  <c:v>SLK</c:v>
                </c:pt>
              </c:strCache>
            </c:strRef>
          </c:cat>
          <c:val>
            <c:numRef>
              <c:f>'Open end size'!$C$46:$C$52</c:f>
              <c:numCache>
                <c:formatCode>_(* #,##0.00_);_(* \(#,##0.00\);_(* "-"??_);_(@_)</c:formatCode>
                <c:ptCount val="7"/>
                <c:pt idx="0">
                  <c:v>58.67906</c:v>
                </c:pt>
                <c:pt idx="1">
                  <c:v>56.164529999999999</c:v>
                </c:pt>
                <c:pt idx="2">
                  <c:v>49.6006</c:v>
                </c:pt>
                <c:pt idx="3">
                  <c:v>21.981930000000002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374-4D1C-964C-588C79468859}"/>
            </c:ext>
          </c:extLst>
        </c:ser>
        <c:ser>
          <c:idx val="2"/>
          <c:order val="2"/>
          <c:tx>
            <c:strRef>
              <c:f>'Open end size'!$D$45</c:f>
              <c:strCache>
                <c:ptCount val="1"/>
                <c:pt idx="0">
                  <c:v>2079-80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'Open end size'!$A$46:$A$52</c:f>
              <c:strCache>
                <c:ptCount val="7"/>
                <c:pt idx="0">
                  <c:v>NIBLSF</c:v>
                </c:pt>
                <c:pt idx="1">
                  <c:v>NMBSBFE</c:v>
                </c:pt>
                <c:pt idx="2">
                  <c:v>NADDF</c:v>
                </c:pt>
                <c:pt idx="3">
                  <c:v>SSIS</c:v>
                </c:pt>
                <c:pt idx="4">
                  <c:v>NFCf</c:v>
                </c:pt>
                <c:pt idx="5">
                  <c:v>KSLY</c:v>
                </c:pt>
                <c:pt idx="6">
                  <c:v>SLK</c:v>
                </c:pt>
              </c:strCache>
            </c:strRef>
          </c:cat>
          <c:val>
            <c:numRef>
              <c:f>'Open end size'!$D$46:$D$52</c:f>
              <c:numCache>
                <c:formatCode>_(* #,##0.00_);_(* \(#,##0.00\);_(* "-"??_);_(@_)</c:formatCode>
                <c:ptCount val="7"/>
                <c:pt idx="0">
                  <c:v>186.15419</c:v>
                </c:pt>
                <c:pt idx="1">
                  <c:v>124.14225</c:v>
                </c:pt>
                <c:pt idx="2">
                  <c:v>55.118040000000001</c:v>
                </c:pt>
                <c:pt idx="3">
                  <c:v>45.255919999999996</c:v>
                </c:pt>
                <c:pt idx="4">
                  <c:v>47.849290000000003</c:v>
                </c:pt>
                <c:pt idx="5">
                  <c:v>36.681620000000002</c:v>
                </c:pt>
                <c:pt idx="6">
                  <c:v>28.367709999999999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374-4D1C-964C-588C79468859}"/>
            </c:ext>
          </c:extLst>
        </c:ser>
        <c:ser>
          <c:idx val="3"/>
          <c:order val="3"/>
          <c:tx>
            <c:strRef>
              <c:f>'Open end size'!$E$45</c:f>
              <c:strCache>
                <c:ptCount val="1"/>
                <c:pt idx="0">
                  <c:v>2080-81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'Open end size'!$A$46:$A$52</c:f>
              <c:strCache>
                <c:ptCount val="7"/>
                <c:pt idx="0">
                  <c:v>NIBLSF</c:v>
                </c:pt>
                <c:pt idx="1">
                  <c:v>NMBSBFE</c:v>
                </c:pt>
                <c:pt idx="2">
                  <c:v>NADDF</c:v>
                </c:pt>
                <c:pt idx="3">
                  <c:v>SSIS</c:v>
                </c:pt>
                <c:pt idx="4">
                  <c:v>NFCf</c:v>
                </c:pt>
                <c:pt idx="5">
                  <c:v>KSLY</c:v>
                </c:pt>
                <c:pt idx="6">
                  <c:v>SLK</c:v>
                </c:pt>
              </c:strCache>
            </c:strRef>
          </c:cat>
          <c:val>
            <c:numRef>
              <c:f>'Open end size'!$E$46:$E$52</c:f>
              <c:numCache>
                <c:formatCode>_(* #,##0.00_);_(* \(#,##0.00\);_(* "-"??_);_(@_)</c:formatCode>
                <c:ptCount val="7"/>
                <c:pt idx="0">
                  <c:v>399.72278</c:v>
                </c:pt>
                <c:pt idx="1">
                  <c:v>213.25781000000001</c:v>
                </c:pt>
                <c:pt idx="2">
                  <c:v>75.084190000000007</c:v>
                </c:pt>
                <c:pt idx="3">
                  <c:v>87.711410000000001</c:v>
                </c:pt>
                <c:pt idx="4">
                  <c:v>62.431220000000003</c:v>
                </c:pt>
                <c:pt idx="5">
                  <c:v>36.593499999999999</c:v>
                </c:pt>
                <c:pt idx="6">
                  <c:v>30.488160000000001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374-4D1C-964C-588C79468859}"/>
            </c:ext>
          </c:extLst>
        </c:ser>
        <c:ser>
          <c:idx val="4"/>
          <c:order val="4"/>
          <c:tx>
            <c:strRef>
              <c:f>'Open end size'!$F$45</c:f>
              <c:strCache>
                <c:ptCount val="1"/>
                <c:pt idx="0">
                  <c:v>2081-82 latest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'Open end size'!$A$46:$A$52</c:f>
              <c:strCache>
                <c:ptCount val="7"/>
                <c:pt idx="0">
                  <c:v>NIBLSF</c:v>
                </c:pt>
                <c:pt idx="1">
                  <c:v>NMBSBFE</c:v>
                </c:pt>
                <c:pt idx="2">
                  <c:v>NADDF</c:v>
                </c:pt>
                <c:pt idx="3">
                  <c:v>SSIS</c:v>
                </c:pt>
                <c:pt idx="4">
                  <c:v>NFCf</c:v>
                </c:pt>
                <c:pt idx="5">
                  <c:v>KSLY</c:v>
                </c:pt>
                <c:pt idx="6">
                  <c:v>SLK</c:v>
                </c:pt>
              </c:strCache>
            </c:strRef>
          </c:cat>
          <c:val>
            <c:numRef>
              <c:f>'Open end size'!$F$46:$F$52</c:f>
              <c:numCache>
                <c:formatCode>_(* #,##0.00_);_(* \(#,##0.00\);_(* "-"??_);_(@_)</c:formatCode>
                <c:ptCount val="7"/>
                <c:pt idx="0">
                  <c:v>598.40859999999998</c:v>
                </c:pt>
                <c:pt idx="1">
                  <c:v>312.00153999999998</c:v>
                </c:pt>
                <c:pt idx="2">
                  <c:v>129.47449</c:v>
                </c:pt>
                <c:pt idx="3">
                  <c:v>142.80929</c:v>
                </c:pt>
                <c:pt idx="4">
                  <c:v>107.71826</c:v>
                </c:pt>
                <c:pt idx="5">
                  <c:v>51.643149999999999</c:v>
                </c:pt>
                <c:pt idx="6">
                  <c:v>36.312309999999997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6374-4D1C-964C-588C7946885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77963928"/>
        <c:axId val="1077964584"/>
      </c:barChart>
      <c:catAx>
        <c:axId val="1077963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n-US"/>
          </a:p>
        </c:txPr>
        <c:crossAx val="1077964584"/>
        <c:crosses val="autoZero"/>
        <c:auto val="1"/>
        <c:lblAlgn val="ctr"/>
        <c:lblOffset val="100"/>
        <c:noMultiLvlLbl val="0"/>
      </c:catAx>
      <c:valAx>
        <c:axId val="1077964584"/>
        <c:scaling>
          <c:orientation val="minMax"/>
        </c:scaling>
        <c:delete val="1"/>
        <c:axPos val="l"/>
        <c:numFmt formatCode="_(* #,##0.00_);_(* \(#,##0.00\);_(* &quot;-&quot;??_);_(@_)" sourceLinked="1"/>
        <c:majorTickMark val="none"/>
        <c:minorTickMark val="none"/>
        <c:tickLblPos val="nextTo"/>
        <c:crossAx val="1077963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latin typeface="Times New Roman" panose="02020603050405020304" pitchFamily="18" charset="0"/>
          <a:cs typeface="Times New Roman" panose="02020603050405020304" pitchFamily="18" charset="0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bar"/>
        <c:grouping val="clustered"/>
        <c:varyColors val="0"/>
        <c:ser>
          <c:idx val="0"/>
          <c:order val="0"/>
          <c:tx>
            <c:strRef>
              <c:f>Summery!$E$1</c:f>
              <c:strCache>
                <c:ptCount val="1"/>
                <c:pt idx="0">
                  <c:v>IRR as of Monthly Nav (Rs.)  as of Baisakh 2082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8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05F5-4918-A1BB-791BB502333A}"/>
              </c:ext>
            </c:extLst>
          </c:dPt>
          <c:dPt>
            <c:idx val="15"/>
            <c:invertIfNegative val="0"/>
            <c:bubble3D val="0"/>
            <c:spPr>
              <a:solidFill>
                <a:schemeClr val="accent2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3-05F5-4918-A1BB-791BB502333A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Summery!$A$2:$A$34</c:f>
              <c:strCache>
                <c:ptCount val="33"/>
                <c:pt idx="0">
                  <c:v>NIBLSTF</c:v>
                </c:pt>
                <c:pt idx="1">
                  <c:v>NIBSF2</c:v>
                </c:pt>
                <c:pt idx="2">
                  <c:v>MMF1</c:v>
                </c:pt>
                <c:pt idx="3">
                  <c:v>NICGF2</c:v>
                </c:pt>
                <c:pt idx="4">
                  <c:v>SBCF</c:v>
                </c:pt>
                <c:pt idx="5">
                  <c:v>NBF3</c:v>
                </c:pt>
                <c:pt idx="6">
                  <c:v>RMF1</c:v>
                </c:pt>
                <c:pt idx="7">
                  <c:v>NIBLGF</c:v>
                </c:pt>
                <c:pt idx="8">
                  <c:v>SLCF</c:v>
                </c:pt>
                <c:pt idx="9">
                  <c:v>NICSF</c:v>
                </c:pt>
                <c:pt idx="10">
                  <c:v>KSY</c:v>
                </c:pt>
                <c:pt idx="11">
                  <c:v>SFEF</c:v>
                </c:pt>
                <c:pt idx="12">
                  <c:v>NICFC</c:v>
                </c:pt>
                <c:pt idx="13">
                  <c:v>KEF</c:v>
                </c:pt>
                <c:pt idx="14">
                  <c:v>C30MF</c:v>
                </c:pt>
                <c:pt idx="15">
                  <c:v>SAGF</c:v>
                </c:pt>
                <c:pt idx="16">
                  <c:v>PRSF</c:v>
                </c:pt>
                <c:pt idx="17">
                  <c:v>KDBY</c:v>
                </c:pt>
                <c:pt idx="18">
                  <c:v>PSF</c:v>
                </c:pt>
                <c:pt idx="19">
                  <c:v>RMF2</c:v>
                </c:pt>
                <c:pt idx="20">
                  <c:v>SEF</c:v>
                </c:pt>
                <c:pt idx="21">
                  <c:v>GIBF1</c:v>
                </c:pt>
                <c:pt idx="22">
                  <c:v>LVF2</c:v>
                </c:pt>
                <c:pt idx="23">
                  <c:v>NSIF2</c:v>
                </c:pt>
                <c:pt idx="24">
                  <c:v>SIGS3</c:v>
                </c:pt>
                <c:pt idx="25">
                  <c:v>SIGS2</c:v>
                </c:pt>
                <c:pt idx="26">
                  <c:v>CMF2</c:v>
                </c:pt>
                <c:pt idx="27">
                  <c:v>LUK</c:v>
                </c:pt>
                <c:pt idx="28">
                  <c:v>NBF2</c:v>
                </c:pt>
                <c:pt idx="29">
                  <c:v>NICBF</c:v>
                </c:pt>
                <c:pt idx="30">
                  <c:v>NMB50</c:v>
                </c:pt>
                <c:pt idx="31">
                  <c:v>H8020</c:v>
                </c:pt>
                <c:pt idx="32">
                  <c:v>SFMF</c:v>
                </c:pt>
              </c:strCache>
            </c:strRef>
          </c:cat>
          <c:val>
            <c:numRef>
              <c:f>Summery!$E$2:$E$34</c:f>
              <c:numCache>
                <c:formatCode>0%</c:formatCode>
                <c:ptCount val="33"/>
                <c:pt idx="0">
                  <c:v>-2.2801604866981511E-2</c:v>
                </c:pt>
                <c:pt idx="1">
                  <c:v>-1.997825503349304E-3</c:v>
                </c:pt>
                <c:pt idx="2">
                  <c:v>1.4172992110252379E-2</c:v>
                </c:pt>
                <c:pt idx="3">
                  <c:v>1.6195347905158995E-2</c:v>
                </c:pt>
                <c:pt idx="4">
                  <c:v>2.8060564398765562E-2</c:v>
                </c:pt>
                <c:pt idx="5">
                  <c:v>3.0889210104942326E-2</c:v>
                </c:pt>
                <c:pt idx="6">
                  <c:v>3.5190030932426453E-2</c:v>
                </c:pt>
                <c:pt idx="7">
                  <c:v>4.1384902596473705E-2</c:v>
                </c:pt>
                <c:pt idx="8">
                  <c:v>4.3732568621635437E-2</c:v>
                </c:pt>
                <c:pt idx="9">
                  <c:v>5.0115540623664856E-2</c:v>
                </c:pt>
                <c:pt idx="10">
                  <c:v>5.1047471165657055E-2</c:v>
                </c:pt>
                <c:pt idx="11">
                  <c:v>5.1538023352622989E-2</c:v>
                </c:pt>
                <c:pt idx="12">
                  <c:v>6.3231876492500297E-2</c:v>
                </c:pt>
                <c:pt idx="13">
                  <c:v>7.110722959041596E-2</c:v>
                </c:pt>
                <c:pt idx="14">
                  <c:v>9.3064340949058549E-2</c:v>
                </c:pt>
                <c:pt idx="15">
                  <c:v>9.3603935837745664E-2</c:v>
                </c:pt>
                <c:pt idx="16">
                  <c:v>9.4064274430274986E-2</c:v>
                </c:pt>
                <c:pt idx="17">
                  <c:v>9.734441637992855E-2</c:v>
                </c:pt>
                <c:pt idx="18">
                  <c:v>9.929054379463198E-2</c:v>
                </c:pt>
                <c:pt idx="19">
                  <c:v>0.10003830790519713</c:v>
                </c:pt>
                <c:pt idx="20">
                  <c:v>0.10108986496925354</c:v>
                </c:pt>
                <c:pt idx="21">
                  <c:v>0.10529083609580997</c:v>
                </c:pt>
                <c:pt idx="22">
                  <c:v>0.10539053082466129</c:v>
                </c:pt>
                <c:pt idx="23">
                  <c:v>0.10940795540809631</c:v>
                </c:pt>
                <c:pt idx="24">
                  <c:v>0.11176421046257021</c:v>
                </c:pt>
                <c:pt idx="25">
                  <c:v>0.12034358382225036</c:v>
                </c:pt>
                <c:pt idx="26">
                  <c:v>0.12482698559761046</c:v>
                </c:pt>
                <c:pt idx="27">
                  <c:v>0.13459776043891908</c:v>
                </c:pt>
                <c:pt idx="28">
                  <c:v>0.13824387192726137</c:v>
                </c:pt>
                <c:pt idx="29">
                  <c:v>0.13855956196784969</c:v>
                </c:pt>
                <c:pt idx="30">
                  <c:v>0.16934531331062319</c:v>
                </c:pt>
                <c:pt idx="31">
                  <c:v>0.18708136677742004</c:v>
                </c:pt>
                <c:pt idx="32">
                  <c:v>0.20791214108467104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5F5-4918-A1BB-791BB502333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3"/>
        <c:axId val="756592432"/>
        <c:axId val="756587512"/>
      </c:barChart>
      <c:catAx>
        <c:axId val="756592432"/>
        <c:scaling>
          <c:orientation val="minMax"/>
        </c:scaling>
        <c:delete val="1"/>
        <c:axPos val="l"/>
        <c:numFmt formatCode="General" sourceLinked="1"/>
        <c:majorTickMark val="none"/>
        <c:minorTickMark val="none"/>
        <c:tickLblPos val="nextTo"/>
        <c:crossAx val="756587512"/>
        <c:crosses val="autoZero"/>
        <c:auto val="1"/>
        <c:lblAlgn val="ctr"/>
        <c:lblOffset val="100"/>
        <c:noMultiLvlLbl val="0"/>
      </c:catAx>
      <c:valAx>
        <c:axId val="756587512"/>
        <c:scaling>
          <c:orientation val="minMax"/>
        </c:scaling>
        <c:delete val="1"/>
        <c:axPos val="b"/>
        <c:numFmt formatCode="0%" sourceLinked="1"/>
        <c:majorTickMark val="none"/>
        <c:minorTickMark val="none"/>
        <c:tickLblPos val="nextTo"/>
        <c:crossAx val="7565924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3 vs 1 month % change in NAV Adjusted to dividend </a:t>
            </a:r>
          </a:p>
        </c:rich>
      </c:tx>
      <c:layout>
        <c:manualLayout>
          <c:xMode val="edge"/>
          <c:yMode val="edge"/>
          <c:x val="0.20497323389146618"/>
          <c:y val="2.0571432273823582E-2"/>
        </c:manualLayout>
      </c:layout>
      <c:overlay val="0"/>
      <c:spPr>
        <a:noFill/>
        <a:ln>
          <a:noFill/>
        </a:ln>
        <a:effectLst/>
      </c:spPr>
    </c:title>
    <c:autoTitleDeleted val="0"/>
    <c:plotArea>
      <c:layout>
        <c:manualLayout>
          <c:layoutTarget val="inner"/>
          <c:xMode val="edge"/>
          <c:yMode val="edge"/>
          <c:x val="1.9807304084347683E-2"/>
          <c:y val="0.13930407522835098"/>
          <c:w val="0.93498031496062994"/>
          <c:h val="0.60069300334508735"/>
        </c:manualLayout>
      </c:layout>
      <c:barChart>
        <c:barDir val="col"/>
        <c:grouping val="clustered"/>
        <c:varyColors val="1"/>
        <c:ser>
          <c:idx val="0"/>
          <c:order val="0"/>
          <c:tx>
            <c:strRef>
              <c:f>'Monthly Nav'!$O$4</c:f>
              <c:strCache>
                <c:ptCount val="1"/>
                <c:pt idx="0">
                  <c:v>3 Months change % Adj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lumMod val="110000"/>
                    <a:satMod val="105000"/>
                    <a:tint val="67000"/>
                  </a:schemeClr>
                </a:gs>
                <a:gs pos="50000">
                  <a:schemeClr val="accent1">
                    <a:lumMod val="105000"/>
                    <a:satMod val="103000"/>
                    <a:tint val="73000"/>
                  </a:schemeClr>
                </a:gs>
                <a:gs pos="100000">
                  <a:schemeClr val="accent1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1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'Monthly Nav'!$A$6:$A$41</c:f>
              <c:strCache>
                <c:ptCount val="36"/>
                <c:pt idx="0">
                  <c:v>RMF1</c:v>
                </c:pt>
                <c:pt idx="1">
                  <c:v>H8020</c:v>
                </c:pt>
                <c:pt idx="2">
                  <c:v>GIBF1</c:v>
                </c:pt>
                <c:pt idx="3">
                  <c:v>KSY</c:v>
                </c:pt>
                <c:pt idx="4">
                  <c:v>C30MF</c:v>
                </c:pt>
                <c:pt idx="5">
                  <c:v>MNMF1</c:v>
                </c:pt>
                <c:pt idx="6">
                  <c:v>PSF</c:v>
                </c:pt>
                <c:pt idx="7">
                  <c:v>KDBY</c:v>
                </c:pt>
                <c:pt idx="8">
                  <c:v>RMF2</c:v>
                </c:pt>
                <c:pt idx="9">
                  <c:v>PRSF</c:v>
                </c:pt>
                <c:pt idx="10">
                  <c:v>KEF</c:v>
                </c:pt>
                <c:pt idx="11">
                  <c:v>LUK</c:v>
                </c:pt>
                <c:pt idx="12">
                  <c:v>SLCF</c:v>
                </c:pt>
                <c:pt idx="13">
                  <c:v>SAGF</c:v>
                </c:pt>
                <c:pt idx="14">
                  <c:v>CMF2</c:v>
                </c:pt>
                <c:pt idx="15">
                  <c:v>SBCF</c:v>
                </c:pt>
                <c:pt idx="16">
                  <c:v>MBLEF</c:v>
                </c:pt>
                <c:pt idx="17">
                  <c:v>NMBHF2</c:v>
                </c:pt>
                <c:pt idx="18">
                  <c:v>NSIF2</c:v>
                </c:pt>
                <c:pt idx="19">
                  <c:v>NICFC</c:v>
                </c:pt>
                <c:pt idx="20">
                  <c:v>NBF3</c:v>
                </c:pt>
                <c:pt idx="21">
                  <c:v>LVF2</c:v>
                </c:pt>
                <c:pt idx="22">
                  <c:v>NBF2</c:v>
                </c:pt>
                <c:pt idx="23">
                  <c:v>SIGS3</c:v>
                </c:pt>
                <c:pt idx="24">
                  <c:v>NMB50</c:v>
                </c:pt>
                <c:pt idx="25">
                  <c:v>SIGS2</c:v>
                </c:pt>
                <c:pt idx="26">
                  <c:v>SFMF</c:v>
                </c:pt>
                <c:pt idx="27">
                  <c:v>NICBF</c:v>
                </c:pt>
                <c:pt idx="28">
                  <c:v>SFEF</c:v>
                </c:pt>
                <c:pt idx="29">
                  <c:v>NICGF2</c:v>
                </c:pt>
                <c:pt idx="30">
                  <c:v>SEF</c:v>
                </c:pt>
                <c:pt idx="31">
                  <c:v>NIBLGF</c:v>
                </c:pt>
                <c:pt idx="32">
                  <c:v>NICSF</c:v>
                </c:pt>
                <c:pt idx="33">
                  <c:v>NIBSF2</c:v>
                </c:pt>
                <c:pt idx="34">
                  <c:v>MMF1</c:v>
                </c:pt>
                <c:pt idx="35">
                  <c:v>NIBLSTF</c:v>
                </c:pt>
              </c:strCache>
            </c:strRef>
          </c:cat>
          <c:val>
            <c:numRef>
              <c:f>'Monthly Nav'!$O$6:$O$41</c:f>
              <c:numCache>
                <c:formatCode>0.0%</c:formatCode>
                <c:ptCount val="36"/>
                <c:pt idx="0">
                  <c:v>2.8623238061615118E-2</c:v>
                </c:pt>
                <c:pt idx="1">
                  <c:v>5.6490297894774388E-2</c:v>
                </c:pt>
                <c:pt idx="2">
                  <c:v>3.2437952553599513E-2</c:v>
                </c:pt>
                <c:pt idx="3">
                  <c:v>7.8492182676691089E-3</c:v>
                </c:pt>
                <c:pt idx="4">
                  <c:v>1.2418032364088581E-2</c:v>
                </c:pt>
                <c:pt idx="5">
                  <c:v>9.4363634893889284E-3</c:v>
                </c:pt>
                <c:pt idx="6">
                  <c:v>4.6734494125146315E-3</c:v>
                </c:pt>
                <c:pt idx="7">
                  <c:v>7.7506542182788534E-3</c:v>
                </c:pt>
                <c:pt idx="8">
                  <c:v>1.3097838776161261E-2</c:v>
                </c:pt>
                <c:pt idx="9">
                  <c:v>2.5387476501943923E-3</c:v>
                </c:pt>
                <c:pt idx="10">
                  <c:v>7.4264957949360076E-3</c:v>
                </c:pt>
                <c:pt idx="11">
                  <c:v>-6.0891393129936643E-3</c:v>
                </c:pt>
                <c:pt idx="12">
                  <c:v>-1.5898775744744601E-3</c:v>
                </c:pt>
                <c:pt idx="13">
                  <c:v>-3.3509083145419247E-3</c:v>
                </c:pt>
                <c:pt idx="14">
                  <c:v>-4.3179341613735225E-2</c:v>
                </c:pt>
                <c:pt idx="15">
                  <c:v>-1.2953634897298505E-3</c:v>
                </c:pt>
                <c:pt idx="16">
                  <c:v>0</c:v>
                </c:pt>
                <c:pt idx="17">
                  <c:v>0</c:v>
                </c:pt>
                <c:pt idx="18">
                  <c:v>-1.4843474244372898E-2</c:v>
                </c:pt>
                <c:pt idx="19">
                  <c:v>-2.943066772364384E-2</c:v>
                </c:pt>
                <c:pt idx="20">
                  <c:v>-7.0347695250682334E-3</c:v>
                </c:pt>
                <c:pt idx="21">
                  <c:v>-6.9650890732986476E-4</c:v>
                </c:pt>
                <c:pt idx="22">
                  <c:v>1.4002183932032344E-4</c:v>
                </c:pt>
                <c:pt idx="23">
                  <c:v>-2.4701569978205808E-2</c:v>
                </c:pt>
                <c:pt idx="24">
                  <c:v>-8.8235854842462231E-3</c:v>
                </c:pt>
                <c:pt idx="25">
                  <c:v>-1.6831322969998688E-2</c:v>
                </c:pt>
                <c:pt idx="26">
                  <c:v>-8.975772467452816E-3</c:v>
                </c:pt>
                <c:pt idx="27">
                  <c:v>-1.5426320804422231E-2</c:v>
                </c:pt>
                <c:pt idx="28">
                  <c:v>1.0217413962330165E-3</c:v>
                </c:pt>
                <c:pt idx="29">
                  <c:v>-4.1308142071192891E-2</c:v>
                </c:pt>
                <c:pt idx="30">
                  <c:v>-1.7288176720070419E-2</c:v>
                </c:pt>
                <c:pt idx="31">
                  <c:v>-2.2741867263812131E-2</c:v>
                </c:pt>
                <c:pt idx="32">
                  <c:v>-2.1488214595016094E-2</c:v>
                </c:pt>
                <c:pt idx="33">
                  <c:v>-2.3302227244320028E-2</c:v>
                </c:pt>
                <c:pt idx="34">
                  <c:v>-2.3336157401705665E-2</c:v>
                </c:pt>
                <c:pt idx="35">
                  <c:v>-4.2566304828639524E-2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7AE-4674-870C-131E8D85D376}"/>
            </c:ext>
          </c:extLst>
        </c:ser>
        <c:ser>
          <c:idx val="1"/>
          <c:order val="1"/>
          <c:tx>
            <c:strRef>
              <c:f>'Monthly Nav'!$M$4</c:f>
              <c:strCache>
                <c:ptCount val="1"/>
                <c:pt idx="0">
                  <c:v>1 Month change % Adj</c:v>
                </c:pt>
              </c:strCache>
            </c:strRef>
          </c:tx>
          <c:spPr>
            <a:gradFill rotWithShape="1">
              <a:gsLst>
                <a:gs pos="0">
                  <a:schemeClr val="accent2">
                    <a:lumMod val="110000"/>
                    <a:satMod val="105000"/>
                    <a:tint val="67000"/>
                  </a:schemeClr>
                </a:gs>
                <a:gs pos="50000">
                  <a:schemeClr val="accent2">
                    <a:lumMod val="105000"/>
                    <a:satMod val="103000"/>
                    <a:tint val="73000"/>
                  </a:schemeClr>
                </a:gs>
                <a:gs pos="100000">
                  <a:schemeClr val="accent2">
                    <a:lumMod val="105000"/>
                    <a:satMod val="109000"/>
                    <a:tint val="81000"/>
                  </a:schemeClr>
                </a:gs>
              </a:gsLst>
              <a:lin ang="5400000" scaled="0"/>
            </a:gradFill>
            <a:ln w="9525" cap="flat" cmpd="sng" algn="ctr">
              <a:solidFill>
                <a:schemeClr val="accent2">
                  <a:shade val="95000"/>
                </a:schemeClr>
              </a:solidFill>
              <a:round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50000"/>
                        <a:lumOff val="50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'Monthly Nav'!$A$6:$A$41</c:f>
              <c:strCache>
                <c:ptCount val="36"/>
                <c:pt idx="0">
                  <c:v>RMF1</c:v>
                </c:pt>
                <c:pt idx="1">
                  <c:v>H8020</c:v>
                </c:pt>
                <c:pt idx="2">
                  <c:v>GIBF1</c:v>
                </c:pt>
                <c:pt idx="3">
                  <c:v>KSY</c:v>
                </c:pt>
                <c:pt idx="4">
                  <c:v>C30MF</c:v>
                </c:pt>
                <c:pt idx="5">
                  <c:v>MNMF1</c:v>
                </c:pt>
                <c:pt idx="6">
                  <c:v>PSF</c:v>
                </c:pt>
                <c:pt idx="7">
                  <c:v>KDBY</c:v>
                </c:pt>
                <c:pt idx="8">
                  <c:v>RMF2</c:v>
                </c:pt>
                <c:pt idx="9">
                  <c:v>PRSF</c:v>
                </c:pt>
                <c:pt idx="10">
                  <c:v>KEF</c:v>
                </c:pt>
                <c:pt idx="11">
                  <c:v>LUK</c:v>
                </c:pt>
                <c:pt idx="12">
                  <c:v>SLCF</c:v>
                </c:pt>
                <c:pt idx="13">
                  <c:v>SAGF</c:v>
                </c:pt>
                <c:pt idx="14">
                  <c:v>CMF2</c:v>
                </c:pt>
                <c:pt idx="15">
                  <c:v>SBCF</c:v>
                </c:pt>
                <c:pt idx="16">
                  <c:v>MBLEF</c:v>
                </c:pt>
                <c:pt idx="17">
                  <c:v>NMBHF2</c:v>
                </c:pt>
                <c:pt idx="18">
                  <c:v>NSIF2</c:v>
                </c:pt>
                <c:pt idx="19">
                  <c:v>NICFC</c:v>
                </c:pt>
                <c:pt idx="20">
                  <c:v>NBF3</c:v>
                </c:pt>
                <c:pt idx="21">
                  <c:v>LVF2</c:v>
                </c:pt>
                <c:pt idx="22">
                  <c:v>NBF2</c:v>
                </c:pt>
                <c:pt idx="23">
                  <c:v>SIGS3</c:v>
                </c:pt>
                <c:pt idx="24">
                  <c:v>NMB50</c:v>
                </c:pt>
                <c:pt idx="25">
                  <c:v>SIGS2</c:v>
                </c:pt>
                <c:pt idx="26">
                  <c:v>SFMF</c:v>
                </c:pt>
                <c:pt idx="27">
                  <c:v>NICBF</c:v>
                </c:pt>
                <c:pt idx="28">
                  <c:v>SFEF</c:v>
                </c:pt>
                <c:pt idx="29">
                  <c:v>NICGF2</c:v>
                </c:pt>
                <c:pt idx="30">
                  <c:v>SEF</c:v>
                </c:pt>
                <c:pt idx="31">
                  <c:v>NIBLGF</c:v>
                </c:pt>
                <c:pt idx="32">
                  <c:v>NICSF</c:v>
                </c:pt>
                <c:pt idx="33">
                  <c:v>NIBSF2</c:v>
                </c:pt>
                <c:pt idx="34">
                  <c:v>MMF1</c:v>
                </c:pt>
                <c:pt idx="35">
                  <c:v>NIBLSTF</c:v>
                </c:pt>
              </c:strCache>
            </c:strRef>
          </c:cat>
          <c:val>
            <c:numRef>
              <c:f>'Monthly Nav'!$M$6:$M$41</c:f>
              <c:numCache>
                <c:formatCode>0.00%</c:formatCode>
                <c:ptCount val="36"/>
                <c:pt idx="0">
                  <c:v>1.6712298729373187E-2</c:v>
                </c:pt>
                <c:pt idx="1">
                  <c:v>1.6544878964486413E-2</c:v>
                </c:pt>
                <c:pt idx="2">
                  <c:v>1.4831901342240968E-2</c:v>
                </c:pt>
                <c:pt idx="3">
                  <c:v>1.3554498793663447E-2</c:v>
                </c:pt>
                <c:pt idx="4">
                  <c:v>1.1795941712888024E-2</c:v>
                </c:pt>
                <c:pt idx="5">
                  <c:v>1.0156322428621842E-2</c:v>
                </c:pt>
                <c:pt idx="6">
                  <c:v>7.4662423064062273E-3</c:v>
                </c:pt>
                <c:pt idx="7">
                  <c:v>7.1430299685222697E-3</c:v>
                </c:pt>
                <c:pt idx="8">
                  <c:v>6.5874377109738438E-3</c:v>
                </c:pt>
                <c:pt idx="9">
                  <c:v>6.3567218206442072E-3</c:v>
                </c:pt>
                <c:pt idx="10">
                  <c:v>4.0091713546349115E-3</c:v>
                </c:pt>
                <c:pt idx="11">
                  <c:v>2.3212935217940176E-3</c:v>
                </c:pt>
                <c:pt idx="12">
                  <c:v>1.1245395655822949E-3</c:v>
                </c:pt>
                <c:pt idx="13">
                  <c:v>1.6056984204845814E-4</c:v>
                </c:pt>
                <c:pt idx="14">
                  <c:v>-1.9473643202564959E-4</c:v>
                </c:pt>
                <c:pt idx="15">
                  <c:v>-1.1338221013081188E-3</c:v>
                </c:pt>
                <c:pt idx="16">
                  <c:v>-1.3670453701270821E-3</c:v>
                </c:pt>
                <c:pt idx="17">
                  <c:v>-1.723339412564036E-3</c:v>
                </c:pt>
                <c:pt idx="18">
                  <c:v>-2.5165611452126458E-3</c:v>
                </c:pt>
                <c:pt idx="19">
                  <c:v>-3.1016940730887667E-3</c:v>
                </c:pt>
                <c:pt idx="20">
                  <c:v>-3.2481055306825659E-3</c:v>
                </c:pt>
                <c:pt idx="21">
                  <c:v>-4.8395749753769391E-3</c:v>
                </c:pt>
                <c:pt idx="22">
                  <c:v>-5.2633523451407855E-3</c:v>
                </c:pt>
                <c:pt idx="23">
                  <c:v>-6.6919932143951815E-3</c:v>
                </c:pt>
                <c:pt idx="24">
                  <c:v>-7.0143216395635571E-3</c:v>
                </c:pt>
                <c:pt idx="25">
                  <c:v>-7.1164719198698297E-3</c:v>
                </c:pt>
                <c:pt idx="26">
                  <c:v>-7.7905304978966904E-3</c:v>
                </c:pt>
                <c:pt idx="27">
                  <c:v>-8.392250088363553E-3</c:v>
                </c:pt>
                <c:pt idx="28">
                  <c:v>-9.7171148884189207E-3</c:v>
                </c:pt>
                <c:pt idx="29">
                  <c:v>-1.062280487457655E-2</c:v>
                </c:pt>
                <c:pt idx="30">
                  <c:v>-1.1519044364785657E-2</c:v>
                </c:pt>
                <c:pt idx="31">
                  <c:v>-1.3376518557862619E-2</c:v>
                </c:pt>
                <c:pt idx="32">
                  <c:v>-1.4538927206889209E-2</c:v>
                </c:pt>
                <c:pt idx="33">
                  <c:v>-1.4782795654241166E-2</c:v>
                </c:pt>
                <c:pt idx="34">
                  <c:v>-1.5396721715117384E-2</c:v>
                </c:pt>
                <c:pt idx="35">
                  <c:v>-1.9414569613172342E-2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27AE-4674-870C-131E8D85D37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00"/>
        <c:overlap val="-24"/>
        <c:axId val="-1097046080"/>
        <c:axId val="-1097040640"/>
      </c:barChart>
      <c:catAx>
        <c:axId val="-109704608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540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97040640"/>
        <c:crosses val="autoZero"/>
        <c:auto val="1"/>
        <c:lblAlgn val="ctr"/>
        <c:lblOffset val="100"/>
        <c:noMultiLvlLbl val="0"/>
      </c:catAx>
      <c:valAx>
        <c:axId val="-10970406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097046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1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633D7B-4E77-470E-9D4B-EC05F8726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14</Pages>
  <Words>1934</Words>
  <Characters>11026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BIKRAM STHAPIT</dc:creator>
  <cp:keywords/>
  <dc:description/>
  <cp:lastModifiedBy>AKHILESH BIKRAM STHAPIT</cp:lastModifiedBy>
  <cp:revision>165</cp:revision>
  <cp:lastPrinted>2024-11-21T08:19:00Z</cp:lastPrinted>
  <dcterms:created xsi:type="dcterms:W3CDTF">2024-08-02T04:58:00Z</dcterms:created>
  <dcterms:modified xsi:type="dcterms:W3CDTF">2025-08-11T08:28:00Z</dcterms:modified>
</cp:coreProperties>
</file>