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6D5" w:rsidRPr="005613A3" w:rsidRDefault="00B476D5" w:rsidP="00B476D5">
      <w:pPr>
        <w:rPr>
          <w:rFonts w:ascii="Arial" w:hAnsi="Arial" w:cs="Arial"/>
          <w:b/>
          <w:bCs/>
        </w:rPr>
      </w:pPr>
      <w:r w:rsidRPr="005613A3">
        <w:rPr>
          <w:rFonts w:ascii="Arial" w:hAnsi="Arial" w:cs="Arial"/>
          <w:b/>
          <w:bCs/>
        </w:rPr>
        <w:t>Memorandum</w:t>
      </w:r>
    </w:p>
    <w:tbl>
      <w:tblPr>
        <w:tblW w:w="9211" w:type="dxa"/>
        <w:tblLook w:val="04A0" w:firstRow="1" w:lastRow="0" w:firstColumn="1" w:lastColumn="0" w:noHBand="0" w:noVBand="1"/>
      </w:tblPr>
      <w:tblGrid>
        <w:gridCol w:w="1011"/>
        <w:gridCol w:w="8200"/>
      </w:tblGrid>
      <w:tr w:rsidR="00B476D5" w:rsidRPr="005613A3" w:rsidTr="00662E65">
        <w:trPr>
          <w:trHeight w:val="324"/>
        </w:trPr>
        <w:tc>
          <w:tcPr>
            <w:tcW w:w="1011" w:type="dxa"/>
            <w:tcBorders>
              <w:top w:val="single" w:sz="8" w:space="0" w:color="auto"/>
              <w:left w:val="single" w:sz="8" w:space="0" w:color="auto"/>
              <w:bottom w:val="single" w:sz="8" w:space="0" w:color="auto"/>
              <w:right w:val="single" w:sz="8" w:space="0" w:color="auto"/>
            </w:tcBorders>
            <w:noWrap/>
            <w:vAlign w:val="center"/>
            <w:hideMark/>
          </w:tcPr>
          <w:p w:rsidR="00B476D5" w:rsidRPr="005613A3" w:rsidRDefault="00B476D5" w:rsidP="00662E65">
            <w:pPr>
              <w:spacing w:after="0"/>
              <w:rPr>
                <w:rFonts w:ascii="Arial" w:hAnsi="Arial" w:cs="Arial"/>
                <w:b/>
              </w:rPr>
            </w:pPr>
            <w:r w:rsidRPr="005613A3">
              <w:rPr>
                <w:rFonts w:ascii="Arial" w:hAnsi="Arial" w:cs="Arial"/>
                <w:b/>
              </w:rPr>
              <w:t>TO</w:t>
            </w:r>
          </w:p>
        </w:tc>
        <w:tc>
          <w:tcPr>
            <w:tcW w:w="8200" w:type="dxa"/>
            <w:tcBorders>
              <w:top w:val="single" w:sz="8" w:space="0" w:color="auto"/>
              <w:left w:val="nil"/>
              <w:bottom w:val="single" w:sz="8" w:space="0" w:color="auto"/>
              <w:right w:val="single" w:sz="8" w:space="0" w:color="auto"/>
            </w:tcBorders>
            <w:noWrap/>
            <w:vAlign w:val="center"/>
            <w:hideMark/>
          </w:tcPr>
          <w:p w:rsidR="00B476D5" w:rsidRPr="005613A3" w:rsidRDefault="00B476D5" w:rsidP="00662E65">
            <w:pPr>
              <w:spacing w:after="0"/>
              <w:rPr>
                <w:rFonts w:ascii="Arial" w:hAnsi="Arial" w:cs="Arial"/>
              </w:rPr>
            </w:pPr>
            <w:r w:rsidRPr="005613A3">
              <w:rPr>
                <w:rFonts w:ascii="Arial" w:hAnsi="Arial" w:cs="Arial"/>
              </w:rPr>
              <w:t>BOD</w:t>
            </w:r>
          </w:p>
        </w:tc>
      </w:tr>
      <w:tr w:rsidR="00B476D5" w:rsidRPr="005613A3" w:rsidTr="00662E65">
        <w:trPr>
          <w:trHeight w:val="324"/>
        </w:trPr>
        <w:tc>
          <w:tcPr>
            <w:tcW w:w="1011" w:type="dxa"/>
            <w:tcBorders>
              <w:top w:val="nil"/>
              <w:left w:val="single" w:sz="8" w:space="0" w:color="auto"/>
              <w:bottom w:val="single" w:sz="8" w:space="0" w:color="auto"/>
              <w:right w:val="single" w:sz="8" w:space="0" w:color="auto"/>
            </w:tcBorders>
            <w:noWrap/>
            <w:vAlign w:val="center"/>
            <w:hideMark/>
          </w:tcPr>
          <w:p w:rsidR="00B476D5" w:rsidRPr="005613A3" w:rsidRDefault="00B476D5" w:rsidP="00662E65">
            <w:pPr>
              <w:spacing w:after="0"/>
              <w:rPr>
                <w:rFonts w:ascii="Arial" w:hAnsi="Arial" w:cs="Arial"/>
                <w:b/>
              </w:rPr>
            </w:pPr>
            <w:r w:rsidRPr="005613A3">
              <w:rPr>
                <w:rFonts w:ascii="Arial" w:hAnsi="Arial" w:cs="Arial"/>
                <w:b/>
              </w:rPr>
              <w:t>From</w:t>
            </w:r>
          </w:p>
        </w:tc>
        <w:tc>
          <w:tcPr>
            <w:tcW w:w="8200" w:type="dxa"/>
            <w:tcBorders>
              <w:top w:val="nil"/>
              <w:left w:val="nil"/>
              <w:bottom w:val="single" w:sz="8" w:space="0" w:color="auto"/>
              <w:right w:val="single" w:sz="8" w:space="0" w:color="auto"/>
            </w:tcBorders>
            <w:noWrap/>
            <w:vAlign w:val="center"/>
            <w:hideMark/>
          </w:tcPr>
          <w:p w:rsidR="00B476D5" w:rsidRPr="005613A3" w:rsidRDefault="00B476D5" w:rsidP="00662E65">
            <w:pPr>
              <w:spacing w:after="0"/>
              <w:rPr>
                <w:rFonts w:ascii="Arial" w:hAnsi="Arial" w:cs="Arial"/>
              </w:rPr>
            </w:pPr>
            <w:r w:rsidRPr="005613A3">
              <w:rPr>
                <w:rFonts w:ascii="Arial" w:hAnsi="Arial" w:cs="Arial"/>
              </w:rPr>
              <w:t xml:space="preserve">CEO </w:t>
            </w:r>
          </w:p>
        </w:tc>
      </w:tr>
      <w:tr w:rsidR="00B476D5" w:rsidRPr="005613A3" w:rsidTr="00662E65">
        <w:trPr>
          <w:trHeight w:val="383"/>
        </w:trPr>
        <w:tc>
          <w:tcPr>
            <w:tcW w:w="1011" w:type="dxa"/>
            <w:tcBorders>
              <w:top w:val="nil"/>
              <w:left w:val="single" w:sz="8" w:space="0" w:color="auto"/>
              <w:bottom w:val="single" w:sz="8" w:space="0" w:color="auto"/>
              <w:right w:val="single" w:sz="8" w:space="0" w:color="auto"/>
            </w:tcBorders>
            <w:noWrap/>
            <w:vAlign w:val="center"/>
            <w:hideMark/>
          </w:tcPr>
          <w:p w:rsidR="00B476D5" w:rsidRPr="005613A3" w:rsidRDefault="00B476D5" w:rsidP="00662E65">
            <w:pPr>
              <w:spacing w:after="0"/>
              <w:rPr>
                <w:rFonts w:ascii="Arial" w:hAnsi="Arial" w:cs="Arial"/>
                <w:b/>
              </w:rPr>
            </w:pPr>
            <w:r w:rsidRPr="005613A3">
              <w:rPr>
                <w:rFonts w:ascii="Arial" w:hAnsi="Arial" w:cs="Arial"/>
                <w:b/>
              </w:rPr>
              <w:t>CC</w:t>
            </w:r>
          </w:p>
        </w:tc>
        <w:tc>
          <w:tcPr>
            <w:tcW w:w="8200" w:type="dxa"/>
            <w:tcBorders>
              <w:top w:val="nil"/>
              <w:left w:val="nil"/>
              <w:bottom w:val="single" w:sz="8" w:space="0" w:color="auto"/>
              <w:right w:val="single" w:sz="8" w:space="0" w:color="auto"/>
            </w:tcBorders>
            <w:noWrap/>
            <w:vAlign w:val="center"/>
            <w:hideMark/>
          </w:tcPr>
          <w:p w:rsidR="00B476D5" w:rsidRPr="005613A3" w:rsidRDefault="00B476D5" w:rsidP="00662E65">
            <w:pPr>
              <w:spacing w:after="0"/>
              <w:rPr>
                <w:rFonts w:ascii="Arial" w:hAnsi="Arial" w:cs="Arial"/>
              </w:rPr>
            </w:pPr>
            <w:r w:rsidRPr="005613A3">
              <w:rPr>
                <w:rFonts w:ascii="Arial" w:hAnsi="Arial" w:cs="Arial"/>
              </w:rPr>
              <w:t>Company Secretary</w:t>
            </w:r>
          </w:p>
        </w:tc>
      </w:tr>
      <w:tr w:rsidR="00B476D5" w:rsidRPr="005613A3" w:rsidTr="00662E65">
        <w:trPr>
          <w:trHeight w:val="383"/>
        </w:trPr>
        <w:tc>
          <w:tcPr>
            <w:tcW w:w="1011" w:type="dxa"/>
            <w:tcBorders>
              <w:top w:val="nil"/>
              <w:left w:val="single" w:sz="8" w:space="0" w:color="auto"/>
              <w:bottom w:val="single" w:sz="8" w:space="0" w:color="auto"/>
              <w:right w:val="single" w:sz="8" w:space="0" w:color="auto"/>
            </w:tcBorders>
            <w:noWrap/>
            <w:vAlign w:val="center"/>
            <w:hideMark/>
          </w:tcPr>
          <w:p w:rsidR="00B476D5" w:rsidRPr="00F57DA7" w:rsidRDefault="00B476D5" w:rsidP="00662E65">
            <w:pPr>
              <w:spacing w:after="0"/>
              <w:rPr>
                <w:rFonts w:ascii="Arial" w:hAnsi="Arial" w:cs="Arial"/>
                <w:b/>
                <w:bCs/>
              </w:rPr>
            </w:pPr>
            <w:r w:rsidRPr="00F57DA7">
              <w:rPr>
                <w:rFonts w:ascii="Arial" w:hAnsi="Arial" w:cs="Arial"/>
                <w:b/>
                <w:bCs/>
              </w:rPr>
              <w:t>Date</w:t>
            </w:r>
          </w:p>
        </w:tc>
        <w:tc>
          <w:tcPr>
            <w:tcW w:w="8200" w:type="dxa"/>
            <w:tcBorders>
              <w:top w:val="nil"/>
              <w:left w:val="nil"/>
              <w:bottom w:val="single" w:sz="8" w:space="0" w:color="auto"/>
              <w:right w:val="single" w:sz="8" w:space="0" w:color="auto"/>
            </w:tcBorders>
            <w:noWrap/>
            <w:vAlign w:val="center"/>
            <w:hideMark/>
          </w:tcPr>
          <w:p w:rsidR="00B476D5" w:rsidRPr="00F57DA7" w:rsidRDefault="00F57DA7" w:rsidP="000C625A">
            <w:pPr>
              <w:spacing w:after="0"/>
              <w:rPr>
                <w:rFonts w:ascii="Arial" w:hAnsi="Arial" w:cs="Arial"/>
                <w:bCs/>
              </w:rPr>
            </w:pPr>
            <w:r w:rsidRPr="00F57DA7">
              <w:rPr>
                <w:rFonts w:ascii="Arial" w:hAnsi="Arial" w:cs="Arial"/>
                <w:bCs/>
              </w:rPr>
              <w:t>0</w:t>
            </w:r>
            <w:r w:rsidR="00637867">
              <w:rPr>
                <w:rFonts w:ascii="Arial" w:hAnsi="Arial" w:cs="Arial"/>
                <w:bCs/>
              </w:rPr>
              <w:t>2</w:t>
            </w:r>
            <w:r w:rsidR="00F90C36" w:rsidRPr="00F57DA7">
              <w:rPr>
                <w:rFonts w:ascii="Arial" w:hAnsi="Arial" w:cs="Arial"/>
                <w:bCs/>
              </w:rPr>
              <w:t>-</w:t>
            </w:r>
            <w:r w:rsidRPr="00F57DA7">
              <w:rPr>
                <w:rFonts w:ascii="Arial" w:hAnsi="Arial" w:cs="Arial"/>
                <w:bCs/>
              </w:rPr>
              <w:t>Oct</w:t>
            </w:r>
            <w:r w:rsidR="00F90C36" w:rsidRPr="00F57DA7">
              <w:rPr>
                <w:rFonts w:ascii="Arial" w:hAnsi="Arial" w:cs="Arial"/>
                <w:bCs/>
              </w:rPr>
              <w:t>-2023</w:t>
            </w:r>
          </w:p>
        </w:tc>
      </w:tr>
      <w:tr w:rsidR="00B476D5" w:rsidRPr="005613A3" w:rsidTr="00662E65">
        <w:trPr>
          <w:trHeight w:val="324"/>
        </w:trPr>
        <w:tc>
          <w:tcPr>
            <w:tcW w:w="1011" w:type="dxa"/>
            <w:tcBorders>
              <w:top w:val="nil"/>
              <w:left w:val="single" w:sz="8" w:space="0" w:color="auto"/>
              <w:bottom w:val="single" w:sz="8" w:space="0" w:color="auto"/>
              <w:right w:val="single" w:sz="8" w:space="0" w:color="auto"/>
            </w:tcBorders>
            <w:noWrap/>
            <w:vAlign w:val="center"/>
            <w:hideMark/>
          </w:tcPr>
          <w:p w:rsidR="00B476D5" w:rsidRPr="005613A3" w:rsidRDefault="00B476D5" w:rsidP="00662E65">
            <w:pPr>
              <w:spacing w:after="0"/>
              <w:rPr>
                <w:rFonts w:ascii="Arial" w:hAnsi="Arial" w:cs="Arial"/>
                <w:b/>
              </w:rPr>
            </w:pPr>
            <w:r w:rsidRPr="005613A3">
              <w:rPr>
                <w:rFonts w:ascii="Arial" w:hAnsi="Arial" w:cs="Arial"/>
                <w:b/>
              </w:rPr>
              <w:t>Subject</w:t>
            </w:r>
          </w:p>
        </w:tc>
        <w:tc>
          <w:tcPr>
            <w:tcW w:w="8200" w:type="dxa"/>
            <w:tcBorders>
              <w:top w:val="nil"/>
              <w:left w:val="nil"/>
              <w:bottom w:val="single" w:sz="8" w:space="0" w:color="auto"/>
              <w:right w:val="single" w:sz="8" w:space="0" w:color="auto"/>
            </w:tcBorders>
            <w:noWrap/>
            <w:vAlign w:val="center"/>
            <w:hideMark/>
          </w:tcPr>
          <w:p w:rsidR="00B476D5" w:rsidRPr="005613A3" w:rsidRDefault="00B476D5" w:rsidP="00F90C36">
            <w:pPr>
              <w:spacing w:after="0"/>
              <w:rPr>
                <w:rFonts w:ascii="Arial" w:hAnsi="Arial" w:cs="Arial"/>
                <w:bCs/>
              </w:rPr>
            </w:pPr>
            <w:r w:rsidRPr="005613A3">
              <w:rPr>
                <w:rFonts w:ascii="Arial" w:hAnsi="Arial" w:cs="Arial"/>
                <w:bCs/>
              </w:rPr>
              <w:t xml:space="preserve">Underwriting of </w:t>
            </w:r>
            <w:proofErr w:type="spellStart"/>
            <w:r w:rsidR="005613A3" w:rsidRPr="005613A3">
              <w:rPr>
                <w:rFonts w:ascii="Arial" w:hAnsi="Arial" w:cs="Arial"/>
                <w:bCs/>
              </w:rPr>
              <w:t>J</w:t>
            </w:r>
            <w:r w:rsidR="005C5D3D">
              <w:rPr>
                <w:rFonts w:ascii="Arial" w:hAnsi="Arial" w:cs="Arial"/>
                <w:bCs/>
              </w:rPr>
              <w:t>agdamba</w:t>
            </w:r>
            <w:proofErr w:type="spellEnd"/>
            <w:r w:rsidR="005C5D3D">
              <w:rPr>
                <w:rFonts w:ascii="Arial" w:hAnsi="Arial" w:cs="Arial"/>
                <w:bCs/>
              </w:rPr>
              <w:t xml:space="preserve"> Steels Private Ltd</w:t>
            </w:r>
          </w:p>
        </w:tc>
      </w:tr>
    </w:tbl>
    <w:p w:rsidR="00B476D5" w:rsidRPr="005613A3" w:rsidRDefault="00B476D5" w:rsidP="00B1425F">
      <w:pPr>
        <w:jc w:val="both"/>
        <w:rPr>
          <w:rStyle w:val="Strong"/>
          <w:rFonts w:ascii="Arial" w:hAnsi="Arial" w:cs="Arial"/>
          <w:color w:val="000000"/>
        </w:rPr>
      </w:pPr>
    </w:p>
    <w:p w:rsidR="004B19CC" w:rsidRPr="005613A3" w:rsidRDefault="00B1425F" w:rsidP="00B1425F">
      <w:pPr>
        <w:jc w:val="both"/>
        <w:rPr>
          <w:rStyle w:val="Strong"/>
          <w:rFonts w:ascii="Arial" w:hAnsi="Arial" w:cs="Arial"/>
          <w:color w:val="000000"/>
        </w:rPr>
      </w:pPr>
      <w:r w:rsidRPr="005613A3">
        <w:rPr>
          <w:rStyle w:val="Strong"/>
          <w:rFonts w:ascii="Arial" w:hAnsi="Arial" w:cs="Arial"/>
          <w:color w:val="000000"/>
        </w:rPr>
        <w:t xml:space="preserve">This </w:t>
      </w:r>
      <w:r w:rsidR="00B476D5" w:rsidRPr="005613A3">
        <w:rPr>
          <w:rStyle w:val="Strong"/>
          <w:rFonts w:ascii="Arial" w:hAnsi="Arial" w:cs="Arial"/>
          <w:color w:val="000000"/>
        </w:rPr>
        <w:t>Memo</w:t>
      </w:r>
      <w:r w:rsidRPr="005613A3">
        <w:rPr>
          <w:rStyle w:val="Strong"/>
          <w:rFonts w:ascii="Arial" w:hAnsi="Arial" w:cs="Arial"/>
          <w:color w:val="000000"/>
        </w:rPr>
        <w:t xml:space="preserve"> is in reference to the underwriting of shares for the upcoming </w:t>
      </w:r>
      <w:r w:rsidR="00B476D5" w:rsidRPr="005613A3">
        <w:rPr>
          <w:rStyle w:val="Strong"/>
          <w:rFonts w:ascii="Arial" w:hAnsi="Arial" w:cs="Arial"/>
          <w:color w:val="000000"/>
        </w:rPr>
        <w:t xml:space="preserve">IPO </w:t>
      </w:r>
      <w:r w:rsidRPr="005613A3">
        <w:rPr>
          <w:rStyle w:val="Strong"/>
          <w:rFonts w:ascii="Arial" w:hAnsi="Arial" w:cs="Arial"/>
          <w:color w:val="000000"/>
        </w:rPr>
        <w:t xml:space="preserve">of </w:t>
      </w:r>
      <w:proofErr w:type="spellStart"/>
      <w:r w:rsidR="005613A3" w:rsidRPr="005613A3">
        <w:rPr>
          <w:rStyle w:val="Strong"/>
          <w:rFonts w:ascii="Arial" w:hAnsi="Arial" w:cs="Arial"/>
          <w:color w:val="000000"/>
        </w:rPr>
        <w:t>Jagdambha</w:t>
      </w:r>
      <w:proofErr w:type="spellEnd"/>
      <w:r w:rsidR="005613A3" w:rsidRPr="005613A3">
        <w:rPr>
          <w:rStyle w:val="Strong"/>
          <w:rFonts w:ascii="Arial" w:hAnsi="Arial" w:cs="Arial"/>
          <w:color w:val="000000"/>
        </w:rPr>
        <w:t xml:space="preserve"> Steels Pvt Ltd.</w:t>
      </w:r>
    </w:p>
    <w:p w:rsidR="00B1425F" w:rsidRPr="005613A3" w:rsidRDefault="00B1425F" w:rsidP="00B1425F">
      <w:pPr>
        <w:jc w:val="both"/>
        <w:rPr>
          <w:rFonts w:ascii="Arial" w:hAnsi="Arial" w:cs="Arial"/>
          <w:color w:val="000000"/>
        </w:rPr>
      </w:pPr>
      <w:r w:rsidRPr="005613A3">
        <w:rPr>
          <w:rStyle w:val="Strong"/>
          <w:rFonts w:ascii="Arial" w:hAnsi="Arial" w:cs="Arial"/>
          <w:color w:val="000000"/>
        </w:rPr>
        <w:t>Proposal Detail</w:t>
      </w:r>
      <w:r w:rsidRPr="005613A3">
        <w:rPr>
          <w:rFonts w:ascii="Arial" w:hAnsi="Arial" w:cs="Arial"/>
          <w:color w:val="000000"/>
        </w:rPr>
        <w:t xml:space="preserve"> </w:t>
      </w:r>
    </w:p>
    <w:p w:rsidR="00B45CF6" w:rsidRPr="005613A3" w:rsidRDefault="005613A3" w:rsidP="002E51B7">
      <w:pPr>
        <w:pStyle w:val="NormalWeb"/>
        <w:jc w:val="both"/>
        <w:rPr>
          <w:rFonts w:ascii="Arial" w:hAnsi="Arial" w:cs="Arial"/>
          <w:highlight w:val="yellow"/>
        </w:rPr>
      </w:pPr>
      <w:proofErr w:type="spellStart"/>
      <w:r w:rsidRPr="005613A3">
        <w:rPr>
          <w:rStyle w:val="Strong"/>
          <w:rFonts w:ascii="Arial" w:hAnsi="Arial" w:cs="Arial"/>
          <w:color w:val="000000"/>
        </w:rPr>
        <w:t>Jagdambha</w:t>
      </w:r>
      <w:proofErr w:type="spellEnd"/>
      <w:r w:rsidRPr="005613A3">
        <w:rPr>
          <w:rStyle w:val="Strong"/>
          <w:rFonts w:ascii="Arial" w:hAnsi="Arial" w:cs="Arial"/>
          <w:color w:val="000000"/>
        </w:rPr>
        <w:t xml:space="preserve"> Steels Pvt Ltd</w:t>
      </w:r>
      <w:r w:rsidRPr="005613A3">
        <w:rPr>
          <w:rFonts w:ascii="Arial" w:hAnsi="Arial" w:cs="Arial"/>
        </w:rPr>
        <w:t xml:space="preserve"> (</w:t>
      </w:r>
      <w:proofErr w:type="gramStart"/>
      <w:r w:rsidRPr="005613A3">
        <w:rPr>
          <w:rFonts w:ascii="Arial" w:hAnsi="Arial" w:cs="Arial"/>
        </w:rPr>
        <w:t>JSPL)  is</w:t>
      </w:r>
      <w:proofErr w:type="gramEnd"/>
      <w:r w:rsidRPr="005613A3">
        <w:rPr>
          <w:rFonts w:ascii="Arial" w:hAnsi="Arial" w:cs="Arial"/>
        </w:rPr>
        <w:t xml:space="preserve"> a private limited company incorporated on October, 1993 and has plant in </w:t>
      </w:r>
      <w:proofErr w:type="spellStart"/>
      <w:r w:rsidRPr="005613A3">
        <w:rPr>
          <w:rFonts w:ascii="Arial" w:hAnsi="Arial" w:cs="Arial"/>
        </w:rPr>
        <w:t>Jitpur</w:t>
      </w:r>
      <w:proofErr w:type="spellEnd"/>
      <w:r w:rsidRPr="005613A3">
        <w:rPr>
          <w:rFonts w:ascii="Arial" w:hAnsi="Arial" w:cs="Arial"/>
        </w:rPr>
        <w:t xml:space="preserve">, Simara-2, Bara, Nepal for manufacturing of various steel items with total installed capacity of 2,444,000 MTPA. The manufacturing facilities of the company has been segregated into Cold Rolled Products, Rolling Mills Products, Wire Products and Melting Products where variety of products are manufactured. JSPL is a part of </w:t>
      </w:r>
      <w:proofErr w:type="spellStart"/>
      <w:r w:rsidRPr="005613A3">
        <w:rPr>
          <w:rFonts w:ascii="Arial" w:hAnsi="Arial" w:cs="Arial"/>
        </w:rPr>
        <w:t>Shanker</w:t>
      </w:r>
      <w:proofErr w:type="spellEnd"/>
      <w:r w:rsidRPr="005613A3">
        <w:rPr>
          <w:rFonts w:ascii="Arial" w:hAnsi="Arial" w:cs="Arial"/>
        </w:rPr>
        <w:t xml:space="preserve"> group having strong presence in Nepal through its involvement in various industries.</w:t>
      </w:r>
      <w:r w:rsidR="00B45CF6" w:rsidRPr="005613A3">
        <w:rPr>
          <w:rFonts w:ascii="Arial" w:hAnsi="Arial" w:cs="Arial"/>
          <w:highlight w:val="yellow"/>
        </w:rPr>
        <w:t xml:space="preserve"> </w:t>
      </w:r>
    </w:p>
    <w:p w:rsidR="00BC6FAB" w:rsidRPr="00BC6FAB" w:rsidRDefault="00BC6FAB" w:rsidP="002E51B7">
      <w:pPr>
        <w:pStyle w:val="NormalWeb"/>
        <w:jc w:val="both"/>
        <w:rPr>
          <w:rFonts w:ascii="Arial" w:hAnsi="Arial" w:cs="Arial"/>
        </w:rPr>
      </w:pPr>
      <w:proofErr w:type="spellStart"/>
      <w:r w:rsidRPr="00BC6FAB">
        <w:rPr>
          <w:rFonts w:ascii="Arial" w:hAnsi="Arial" w:cs="Arial"/>
        </w:rPr>
        <w:t>Jagdambha</w:t>
      </w:r>
      <w:proofErr w:type="spellEnd"/>
      <w:r w:rsidRPr="00BC6FAB">
        <w:rPr>
          <w:rFonts w:ascii="Arial" w:hAnsi="Arial" w:cs="Arial"/>
        </w:rPr>
        <w:t xml:space="preserve"> Steels Pvt Ltd intends to release a public offering, where they plan to sell 30% of their </w:t>
      </w:r>
      <w:r w:rsidR="00DB298C">
        <w:rPr>
          <w:rFonts w:ascii="Arial" w:hAnsi="Arial" w:cs="Arial"/>
        </w:rPr>
        <w:t>issue capital</w:t>
      </w:r>
      <w:r w:rsidRPr="00BC6FAB">
        <w:rPr>
          <w:rFonts w:ascii="Arial" w:hAnsi="Arial" w:cs="Arial"/>
        </w:rPr>
        <w:t xml:space="preserve">. This equates to 20,070,000 units, amounting to NPR 6.021 </w:t>
      </w:r>
      <w:proofErr w:type="spellStart"/>
      <w:r w:rsidRPr="00BC6FAB">
        <w:rPr>
          <w:rFonts w:ascii="Arial" w:hAnsi="Arial" w:cs="Arial"/>
        </w:rPr>
        <w:t>Arba</w:t>
      </w:r>
      <w:proofErr w:type="spellEnd"/>
      <w:r w:rsidRPr="00BC6FAB">
        <w:rPr>
          <w:rFonts w:ascii="Arial" w:hAnsi="Arial" w:cs="Arial"/>
        </w:rPr>
        <w:t xml:space="preserve"> in total. The offering price will include a premium of 200 per unit, resulting in a total issue price of 300 per unit.</w:t>
      </w:r>
    </w:p>
    <w:p w:rsidR="00067B58" w:rsidRPr="0019668D" w:rsidRDefault="00067B58" w:rsidP="002E51B7">
      <w:pPr>
        <w:jc w:val="both"/>
        <w:rPr>
          <w:rFonts w:ascii="Calibri" w:eastAsia="Times New Roman" w:hAnsi="Calibri" w:cs="Calibri"/>
          <w:color w:val="000000"/>
        </w:rPr>
      </w:pPr>
      <w:r w:rsidRPr="0019668D">
        <w:rPr>
          <w:rFonts w:ascii="Arial" w:hAnsi="Arial" w:cs="Arial"/>
          <w:color w:val="000000"/>
        </w:rPr>
        <w:t>In this connection company has requested us to forward the proposal</w:t>
      </w:r>
      <w:r w:rsidR="00B476D5" w:rsidRPr="0019668D">
        <w:rPr>
          <w:rFonts w:ascii="Arial" w:hAnsi="Arial" w:cs="Arial"/>
          <w:color w:val="000000"/>
        </w:rPr>
        <w:t xml:space="preserve"> for </w:t>
      </w:r>
      <w:r w:rsidRPr="0019668D">
        <w:rPr>
          <w:rFonts w:ascii="Arial" w:hAnsi="Arial" w:cs="Arial"/>
          <w:color w:val="000000"/>
        </w:rPr>
        <w:t>underwriting portion</w:t>
      </w:r>
      <w:r w:rsidR="00B476D5" w:rsidRPr="0019668D">
        <w:rPr>
          <w:rFonts w:ascii="Arial" w:hAnsi="Arial" w:cs="Arial"/>
          <w:color w:val="000000"/>
        </w:rPr>
        <w:t xml:space="preserve"> of said IPO</w:t>
      </w:r>
      <w:r w:rsidRPr="0019668D">
        <w:rPr>
          <w:rFonts w:ascii="Arial" w:hAnsi="Arial" w:cs="Arial"/>
          <w:color w:val="000000"/>
        </w:rPr>
        <w:t xml:space="preserve">. Company has categorized </w:t>
      </w:r>
      <w:r w:rsidR="00E23C52" w:rsidRPr="0019668D">
        <w:rPr>
          <w:rFonts w:ascii="Arial" w:hAnsi="Arial" w:cs="Arial"/>
          <w:color w:val="000000"/>
        </w:rPr>
        <w:t>its public Offerings</w:t>
      </w:r>
      <w:r w:rsidRPr="0019668D">
        <w:rPr>
          <w:rFonts w:ascii="Arial" w:hAnsi="Arial" w:cs="Arial"/>
          <w:color w:val="000000"/>
        </w:rPr>
        <w:t xml:space="preserve"> into </w:t>
      </w:r>
      <w:r w:rsidR="00BD7131" w:rsidRPr="0019668D">
        <w:rPr>
          <w:rFonts w:ascii="Arial" w:hAnsi="Arial" w:cs="Arial"/>
          <w:color w:val="000000"/>
        </w:rPr>
        <w:t>following categories</w:t>
      </w:r>
      <w:r w:rsidR="00E23C52" w:rsidRPr="0019668D">
        <w:rPr>
          <w:rFonts w:ascii="Arial" w:hAnsi="Arial" w:cs="Arial"/>
          <w:color w:val="000000"/>
        </w:rPr>
        <w:t xml:space="preserve">: </w:t>
      </w:r>
      <w:r w:rsidRPr="0019668D">
        <w:rPr>
          <w:rFonts w:ascii="Arial" w:hAnsi="Arial" w:cs="Arial"/>
          <w:color w:val="000000"/>
        </w:rPr>
        <w:t xml:space="preserve"> </w:t>
      </w:r>
    </w:p>
    <w:tbl>
      <w:tblPr>
        <w:tblStyle w:val="GridTable4-Accent3"/>
        <w:tblW w:w="9720" w:type="dxa"/>
        <w:tblLook w:val="04A0" w:firstRow="1" w:lastRow="0" w:firstColumn="1" w:lastColumn="0" w:noHBand="0" w:noVBand="1"/>
      </w:tblPr>
      <w:tblGrid>
        <w:gridCol w:w="1039"/>
        <w:gridCol w:w="3086"/>
        <w:gridCol w:w="963"/>
        <w:gridCol w:w="2207"/>
        <w:gridCol w:w="2425"/>
      </w:tblGrid>
      <w:tr w:rsidR="00C72D1B" w:rsidRPr="00C72D1B" w:rsidTr="002E51B7">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039" w:type="dxa"/>
            <w:hideMark/>
          </w:tcPr>
          <w:p w:rsidR="00C72D1B" w:rsidRPr="006E0D41" w:rsidRDefault="00C72D1B" w:rsidP="00C72D1B">
            <w:pPr>
              <w:rPr>
                <w:rFonts w:ascii="Arial" w:eastAsia="Times New Roman" w:hAnsi="Arial" w:cs="Arial"/>
                <w:color w:val="000000"/>
              </w:rPr>
            </w:pPr>
            <w:bookmarkStart w:id="0" w:name="RANGE!A4"/>
            <w:proofErr w:type="gramStart"/>
            <w:r w:rsidRPr="006E0D41">
              <w:rPr>
                <w:rFonts w:ascii="Arial" w:eastAsia="Times New Roman" w:hAnsi="Arial" w:cs="Arial"/>
                <w:color w:val="000000"/>
              </w:rPr>
              <w:t>S.N</w:t>
            </w:r>
            <w:bookmarkEnd w:id="0"/>
            <w:proofErr w:type="gramEnd"/>
          </w:p>
        </w:tc>
        <w:tc>
          <w:tcPr>
            <w:tcW w:w="3086" w:type="dxa"/>
            <w:hideMark/>
          </w:tcPr>
          <w:p w:rsidR="00C72D1B" w:rsidRPr="006E0D41" w:rsidRDefault="00C72D1B" w:rsidP="00C72D1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Particulars</w:t>
            </w:r>
          </w:p>
        </w:tc>
        <w:tc>
          <w:tcPr>
            <w:tcW w:w="963" w:type="dxa"/>
            <w:hideMark/>
          </w:tcPr>
          <w:p w:rsidR="00C72D1B" w:rsidRPr="006E0D41" w:rsidRDefault="00C72D1B" w:rsidP="00C72D1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 xml:space="preserve"> (%)</w:t>
            </w:r>
          </w:p>
        </w:tc>
        <w:tc>
          <w:tcPr>
            <w:tcW w:w="2207" w:type="dxa"/>
            <w:hideMark/>
          </w:tcPr>
          <w:p w:rsidR="00C72D1B" w:rsidRPr="006E0D41" w:rsidRDefault="00C72D1B" w:rsidP="00C72D1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Ordinary Share Number</w:t>
            </w:r>
          </w:p>
        </w:tc>
        <w:tc>
          <w:tcPr>
            <w:tcW w:w="2425" w:type="dxa"/>
            <w:hideMark/>
          </w:tcPr>
          <w:p w:rsidR="00C72D1B" w:rsidRPr="006E0D41" w:rsidRDefault="00C72D1B" w:rsidP="00C72D1B">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Amount</w:t>
            </w:r>
          </w:p>
        </w:tc>
      </w:tr>
      <w:tr w:rsidR="00C72D1B" w:rsidRPr="00C72D1B" w:rsidTr="002E51B7">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039" w:type="dxa"/>
            <w:hideMark/>
          </w:tcPr>
          <w:p w:rsidR="00C72D1B" w:rsidRPr="006E0D41" w:rsidRDefault="00C72D1B" w:rsidP="00C72D1B">
            <w:pPr>
              <w:jc w:val="right"/>
              <w:rPr>
                <w:rFonts w:ascii="Arial" w:eastAsia="Times New Roman" w:hAnsi="Arial" w:cs="Arial"/>
                <w:color w:val="000000"/>
              </w:rPr>
            </w:pPr>
            <w:r w:rsidRPr="006E0D41">
              <w:rPr>
                <w:rFonts w:ascii="Arial" w:eastAsia="Times New Roman" w:hAnsi="Arial" w:cs="Arial"/>
                <w:color w:val="000000"/>
              </w:rPr>
              <w:t>1</w:t>
            </w:r>
          </w:p>
        </w:tc>
        <w:tc>
          <w:tcPr>
            <w:tcW w:w="3086" w:type="dxa"/>
            <w:hideMark/>
          </w:tcPr>
          <w:p w:rsidR="00C72D1B" w:rsidRPr="006E0D41" w:rsidRDefault="00C72D1B" w:rsidP="00C72D1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Promoter Portion</w:t>
            </w:r>
          </w:p>
        </w:tc>
        <w:tc>
          <w:tcPr>
            <w:tcW w:w="963" w:type="dxa"/>
            <w:hideMark/>
          </w:tcPr>
          <w:p w:rsidR="00C72D1B" w:rsidRPr="006E0D41" w:rsidRDefault="006E0D41" w:rsidP="0019668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7</w:t>
            </w:r>
            <w:r w:rsidR="00C72D1B" w:rsidRPr="006E0D41">
              <w:rPr>
                <w:rFonts w:ascii="Arial" w:eastAsia="Times New Roman" w:hAnsi="Arial" w:cs="Arial"/>
                <w:color w:val="000000"/>
              </w:rPr>
              <w:t>0%</w:t>
            </w:r>
          </w:p>
        </w:tc>
        <w:tc>
          <w:tcPr>
            <w:tcW w:w="2207" w:type="dxa"/>
            <w:hideMark/>
          </w:tcPr>
          <w:p w:rsidR="00C72D1B" w:rsidRPr="006E0D41" w:rsidRDefault="00C72D1B" w:rsidP="0019668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 xml:space="preserve">46,830,000 </w:t>
            </w:r>
          </w:p>
        </w:tc>
        <w:tc>
          <w:tcPr>
            <w:tcW w:w="2425" w:type="dxa"/>
            <w:hideMark/>
          </w:tcPr>
          <w:p w:rsidR="00C72D1B" w:rsidRPr="006E0D41" w:rsidRDefault="00C72D1B" w:rsidP="0019668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 xml:space="preserve"> 4,683,000,000 </w:t>
            </w:r>
          </w:p>
        </w:tc>
      </w:tr>
      <w:tr w:rsidR="00C72D1B" w:rsidRPr="00C72D1B" w:rsidTr="002E51B7">
        <w:trPr>
          <w:trHeight w:val="197"/>
        </w:trPr>
        <w:tc>
          <w:tcPr>
            <w:cnfStyle w:val="001000000000" w:firstRow="0" w:lastRow="0" w:firstColumn="1" w:lastColumn="0" w:oddVBand="0" w:evenVBand="0" w:oddHBand="0" w:evenHBand="0" w:firstRowFirstColumn="0" w:firstRowLastColumn="0" w:lastRowFirstColumn="0" w:lastRowLastColumn="0"/>
            <w:tcW w:w="1039" w:type="dxa"/>
            <w:hideMark/>
          </w:tcPr>
          <w:p w:rsidR="0019668D" w:rsidRPr="006E0D41" w:rsidRDefault="0019668D" w:rsidP="00C72D1B">
            <w:pPr>
              <w:jc w:val="right"/>
              <w:rPr>
                <w:rFonts w:ascii="Arial" w:eastAsia="Times New Roman" w:hAnsi="Arial" w:cs="Arial"/>
                <w:color w:val="000000"/>
              </w:rPr>
            </w:pPr>
            <w:r w:rsidRPr="006E0D41">
              <w:rPr>
                <w:rFonts w:ascii="Arial" w:eastAsia="Times New Roman" w:hAnsi="Arial" w:cs="Arial"/>
                <w:color w:val="000000"/>
              </w:rPr>
              <w:t>2</w:t>
            </w:r>
          </w:p>
        </w:tc>
        <w:tc>
          <w:tcPr>
            <w:tcW w:w="3086" w:type="dxa"/>
            <w:hideMark/>
          </w:tcPr>
          <w:p w:rsidR="00C72D1B" w:rsidRPr="006E0D41" w:rsidRDefault="00C72D1B" w:rsidP="00C72D1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Public Portion</w:t>
            </w:r>
          </w:p>
        </w:tc>
        <w:tc>
          <w:tcPr>
            <w:tcW w:w="963" w:type="dxa"/>
            <w:hideMark/>
          </w:tcPr>
          <w:p w:rsidR="00C72D1B" w:rsidRPr="006E0D41" w:rsidRDefault="0019668D" w:rsidP="0019668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30</w:t>
            </w:r>
            <w:r w:rsidR="00C72D1B" w:rsidRPr="006E0D41">
              <w:rPr>
                <w:rFonts w:ascii="Arial" w:eastAsia="Times New Roman" w:hAnsi="Arial" w:cs="Arial"/>
                <w:color w:val="000000"/>
              </w:rPr>
              <w:t>%</w:t>
            </w:r>
          </w:p>
        </w:tc>
        <w:tc>
          <w:tcPr>
            <w:tcW w:w="2207" w:type="dxa"/>
            <w:hideMark/>
          </w:tcPr>
          <w:p w:rsidR="00C72D1B" w:rsidRPr="006E0D41" w:rsidRDefault="0019668D" w:rsidP="0019668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E0D41">
              <w:rPr>
                <w:rFonts w:ascii="Calibri" w:eastAsia="Times New Roman" w:hAnsi="Calibri" w:cs="Calibri"/>
                <w:color w:val="000000"/>
              </w:rPr>
              <w:t>20,070,000</w:t>
            </w:r>
          </w:p>
        </w:tc>
        <w:tc>
          <w:tcPr>
            <w:tcW w:w="2425" w:type="dxa"/>
            <w:hideMark/>
          </w:tcPr>
          <w:p w:rsidR="0019668D" w:rsidRPr="006E0D41" w:rsidRDefault="0019668D" w:rsidP="0019668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2,007,000,000</w:t>
            </w:r>
          </w:p>
        </w:tc>
      </w:tr>
      <w:tr w:rsidR="00C72D1B" w:rsidRPr="00C72D1B" w:rsidTr="002E51B7">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039" w:type="dxa"/>
            <w:hideMark/>
          </w:tcPr>
          <w:p w:rsidR="00C72D1B" w:rsidRPr="006E0D41" w:rsidRDefault="00C72D1B" w:rsidP="00C72D1B">
            <w:pPr>
              <w:rPr>
                <w:rFonts w:ascii="Arial" w:eastAsia="Times New Roman" w:hAnsi="Arial" w:cs="Arial"/>
                <w:color w:val="000000"/>
              </w:rPr>
            </w:pPr>
            <w:r w:rsidRPr="006E0D41">
              <w:rPr>
                <w:rFonts w:ascii="Arial" w:eastAsia="Times New Roman" w:hAnsi="Arial" w:cs="Arial"/>
                <w:color w:val="000000"/>
              </w:rPr>
              <w:t> </w:t>
            </w:r>
          </w:p>
        </w:tc>
        <w:tc>
          <w:tcPr>
            <w:tcW w:w="3086" w:type="dxa"/>
            <w:hideMark/>
          </w:tcPr>
          <w:p w:rsidR="00C72D1B" w:rsidRPr="006E0D41" w:rsidRDefault="00C72D1B" w:rsidP="00C72D1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Total</w:t>
            </w:r>
          </w:p>
        </w:tc>
        <w:tc>
          <w:tcPr>
            <w:tcW w:w="963" w:type="dxa"/>
            <w:hideMark/>
          </w:tcPr>
          <w:p w:rsidR="00C72D1B" w:rsidRPr="006E0D41" w:rsidRDefault="00C72D1B" w:rsidP="0019668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100%</w:t>
            </w:r>
          </w:p>
        </w:tc>
        <w:tc>
          <w:tcPr>
            <w:tcW w:w="2207" w:type="dxa"/>
            <w:hideMark/>
          </w:tcPr>
          <w:p w:rsidR="00C72D1B" w:rsidRPr="006E0D41" w:rsidRDefault="00C72D1B" w:rsidP="0019668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 </w:t>
            </w:r>
          </w:p>
        </w:tc>
        <w:tc>
          <w:tcPr>
            <w:tcW w:w="2425" w:type="dxa"/>
            <w:hideMark/>
          </w:tcPr>
          <w:p w:rsidR="00C72D1B" w:rsidRPr="006E0D41" w:rsidRDefault="00C72D1B" w:rsidP="0019668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6E0D41">
              <w:rPr>
                <w:rFonts w:ascii="Arial" w:eastAsia="Times New Roman" w:hAnsi="Arial" w:cs="Arial"/>
                <w:color w:val="000000"/>
              </w:rPr>
              <w:t xml:space="preserve"> 6,690,000,000 </w:t>
            </w:r>
          </w:p>
        </w:tc>
      </w:tr>
    </w:tbl>
    <w:p w:rsidR="00FE5AF4" w:rsidRPr="00D02DB8" w:rsidRDefault="00593A54" w:rsidP="00B1425F">
      <w:pPr>
        <w:jc w:val="both"/>
        <w:rPr>
          <w:rFonts w:ascii="Arial" w:hAnsi="Arial" w:cs="Arial"/>
          <w:color w:val="000000"/>
        </w:rPr>
      </w:pPr>
      <w:r w:rsidRPr="00D02DB8">
        <w:rPr>
          <w:rFonts w:ascii="Arial" w:hAnsi="Arial" w:cs="Arial"/>
          <w:color w:val="000000"/>
        </w:rPr>
        <w:t>Total amount of public portion with premium</w:t>
      </w:r>
      <w:r w:rsidR="00D02DB8" w:rsidRPr="00D02DB8">
        <w:rPr>
          <w:rFonts w:ascii="Arial" w:hAnsi="Arial" w:cs="Arial"/>
          <w:color w:val="000000"/>
        </w:rPr>
        <w:t xml:space="preserve"> 6.021 </w:t>
      </w:r>
      <w:proofErr w:type="spellStart"/>
      <w:r w:rsidR="00D02DB8" w:rsidRPr="00D02DB8">
        <w:rPr>
          <w:rFonts w:ascii="Arial" w:hAnsi="Arial" w:cs="Arial"/>
          <w:color w:val="000000"/>
        </w:rPr>
        <w:t>Arbha</w:t>
      </w:r>
      <w:proofErr w:type="spellEnd"/>
    </w:p>
    <w:p w:rsidR="00C72D1B" w:rsidRDefault="00D02DB8" w:rsidP="00B1425F">
      <w:pPr>
        <w:jc w:val="both"/>
        <w:rPr>
          <w:rFonts w:ascii="Arial" w:hAnsi="Arial" w:cs="Arial"/>
          <w:color w:val="000000"/>
        </w:rPr>
      </w:pPr>
      <w:r w:rsidRPr="00B8254B">
        <w:rPr>
          <w:rFonts w:ascii="Arial" w:hAnsi="Arial" w:cs="Arial"/>
          <w:color w:val="000000"/>
        </w:rPr>
        <w:t>As per the SEBON regulation, at least 50% of the public issue amount requires underwriting from SEBON licensed underwriter. Similarly, clause (17) (2), (3) if an issuing company’s net worth per share less than par value per share or valuation from minimum rating requires 100% underwritten of the total Public issue. Here</w:t>
      </w:r>
      <w:r w:rsidRPr="00D02DB8">
        <w:rPr>
          <w:rFonts w:ascii="Arial" w:hAnsi="Arial" w:cs="Arial"/>
          <w:color w:val="000000"/>
        </w:rPr>
        <w:t xml:space="preserve"> companies’ net worth per share is greater than par value per share and rating assigned is</w:t>
      </w:r>
      <w:r>
        <w:rPr>
          <w:rFonts w:ascii="Arial" w:hAnsi="Arial" w:cs="Arial"/>
          <w:color w:val="000000"/>
        </w:rPr>
        <w:t xml:space="preserve"> “</w:t>
      </w:r>
      <w:r w:rsidRPr="00D02DB8">
        <w:rPr>
          <w:rFonts w:ascii="Arial" w:hAnsi="Arial" w:cs="Arial"/>
          <w:color w:val="000000"/>
        </w:rPr>
        <w:t>IRN BBB (Is) [Triple B (Issuer)]</w:t>
      </w:r>
    </w:p>
    <w:p w:rsidR="001469AC" w:rsidRDefault="001469AC" w:rsidP="00B1425F">
      <w:pPr>
        <w:jc w:val="both"/>
        <w:rPr>
          <w:rFonts w:ascii="Arial" w:hAnsi="Arial" w:cs="Arial"/>
          <w:color w:val="000000"/>
        </w:rPr>
      </w:pPr>
    </w:p>
    <w:p w:rsidR="009E065B" w:rsidRPr="005613A3" w:rsidRDefault="009E065B" w:rsidP="00B1425F">
      <w:pPr>
        <w:jc w:val="both"/>
        <w:rPr>
          <w:rFonts w:ascii="Arial" w:hAnsi="Arial" w:cs="Arial"/>
          <w:color w:val="000000"/>
          <w:highlight w:val="yellow"/>
        </w:rPr>
      </w:pPr>
    </w:p>
    <w:p w:rsidR="00EF0F62" w:rsidRPr="008F6B4C" w:rsidRDefault="00EF0F62" w:rsidP="00C72D1B">
      <w:pPr>
        <w:spacing w:after="0" w:line="240" w:lineRule="auto"/>
        <w:jc w:val="center"/>
        <w:rPr>
          <w:rFonts w:ascii="Arial" w:hAnsi="Arial" w:cs="Arial"/>
          <w:b/>
          <w:color w:val="000000"/>
        </w:rPr>
      </w:pPr>
    </w:p>
    <w:p w:rsidR="008F6B4C" w:rsidRDefault="00283419" w:rsidP="00B1425F">
      <w:pPr>
        <w:jc w:val="both"/>
        <w:rPr>
          <w:rFonts w:ascii="Arial" w:hAnsi="Arial" w:cs="Arial"/>
          <w:color w:val="000000"/>
        </w:rPr>
      </w:pPr>
      <w:r w:rsidRPr="006E0D41">
        <w:rPr>
          <w:rFonts w:ascii="Arial" w:hAnsi="Arial" w:cs="Arial"/>
          <w:color w:val="000000"/>
        </w:rPr>
        <w:lastRenderedPageBreak/>
        <w:t xml:space="preserve">Hence, this memo seeks to gain an </w:t>
      </w:r>
      <w:r w:rsidR="008F6B4C" w:rsidRPr="006E0D41">
        <w:rPr>
          <w:rFonts w:ascii="Arial" w:hAnsi="Arial" w:cs="Arial"/>
          <w:color w:val="000000"/>
        </w:rPr>
        <w:t xml:space="preserve">approval to an underwriting proposal to a maximum of </w:t>
      </w:r>
      <w:r w:rsidR="008F6B4C" w:rsidRPr="00F805C2">
        <w:rPr>
          <w:rFonts w:ascii="Arial" w:hAnsi="Arial" w:cs="Arial"/>
          <w:color w:val="000000"/>
        </w:rPr>
        <w:t>NPR1</w:t>
      </w:r>
      <w:r w:rsidR="00637867" w:rsidRPr="00F805C2">
        <w:rPr>
          <w:rFonts w:ascii="Arial" w:hAnsi="Arial" w:cs="Arial"/>
          <w:color w:val="000000"/>
        </w:rPr>
        <w:t>0</w:t>
      </w:r>
      <w:r w:rsidR="008F6B4C" w:rsidRPr="00F805C2">
        <w:rPr>
          <w:rFonts w:ascii="Arial" w:hAnsi="Arial" w:cs="Arial"/>
          <w:color w:val="000000"/>
        </w:rPr>
        <w:t xml:space="preserve">0 </w:t>
      </w:r>
      <w:r w:rsidR="00B30081" w:rsidRPr="00F805C2">
        <w:rPr>
          <w:rFonts w:ascii="Arial" w:hAnsi="Arial" w:cs="Arial"/>
          <w:color w:val="000000"/>
        </w:rPr>
        <w:t>Crore</w:t>
      </w:r>
      <w:r w:rsidR="008F6B4C" w:rsidRPr="00F805C2">
        <w:rPr>
          <w:rFonts w:ascii="Arial" w:hAnsi="Arial" w:cs="Arial"/>
          <w:color w:val="000000"/>
        </w:rPr>
        <w:t xml:space="preserve"> to</w:t>
      </w:r>
      <w:r w:rsidR="008F6B4C" w:rsidRPr="006E0D41">
        <w:rPr>
          <w:rFonts w:ascii="Arial" w:hAnsi="Arial" w:cs="Arial"/>
          <w:color w:val="000000"/>
        </w:rPr>
        <w:t xml:space="preserve"> the said IPO by Sanima Equity Fund</w:t>
      </w:r>
      <w:r w:rsidR="006E0D41" w:rsidRPr="006E0D41">
        <w:rPr>
          <w:rFonts w:ascii="Arial" w:hAnsi="Arial" w:cs="Arial"/>
          <w:color w:val="000000"/>
        </w:rPr>
        <w:t>, Sanima Growth Fund</w:t>
      </w:r>
      <w:r w:rsidR="008F6B4C" w:rsidRPr="006E0D41">
        <w:rPr>
          <w:rFonts w:ascii="Arial" w:hAnsi="Arial" w:cs="Arial"/>
          <w:color w:val="000000"/>
        </w:rPr>
        <w:t xml:space="preserve"> and Sanima Capital collectively with minimum underwriti</w:t>
      </w:r>
      <w:bookmarkStart w:id="1" w:name="_GoBack"/>
      <w:bookmarkEnd w:id="1"/>
      <w:r w:rsidR="008F6B4C" w:rsidRPr="006E0D41">
        <w:rPr>
          <w:rFonts w:ascii="Arial" w:hAnsi="Arial" w:cs="Arial"/>
          <w:color w:val="000000"/>
        </w:rPr>
        <w:t>ng fees of 0.40% fee.</w:t>
      </w:r>
    </w:p>
    <w:p w:rsidR="005B2EBA" w:rsidRPr="001469AC" w:rsidRDefault="00A33E32" w:rsidP="00B1425F">
      <w:pPr>
        <w:jc w:val="both"/>
        <w:rPr>
          <w:rFonts w:ascii="Arial" w:hAnsi="Arial" w:cs="Arial"/>
          <w:color w:val="000000"/>
        </w:rPr>
      </w:pPr>
      <w:r w:rsidRPr="001469AC">
        <w:rPr>
          <w:rFonts w:ascii="Arial" w:hAnsi="Arial" w:cs="Arial"/>
          <w:color w:val="000000"/>
        </w:rPr>
        <w:t xml:space="preserve">Presently, our underwriting capacity stands at 107.19 crores, as per SEBON Circular (3 times the Net Worth), for Sanima Capital Ltd. As of the current date, </w:t>
      </w:r>
      <w:r w:rsidR="006E0D41" w:rsidRPr="001469AC">
        <w:rPr>
          <w:rFonts w:ascii="Arial" w:hAnsi="Arial" w:cs="Arial"/>
          <w:color w:val="000000"/>
        </w:rPr>
        <w:t>Sanima Capital</w:t>
      </w:r>
      <w:r w:rsidRPr="001469AC">
        <w:rPr>
          <w:rFonts w:ascii="Arial" w:hAnsi="Arial" w:cs="Arial"/>
          <w:color w:val="000000"/>
        </w:rPr>
        <w:t xml:space="preserve"> underwriting commitment is only 46.045 Crore for Sonapur Minerals and Oil Ltd, leaving an available underwriting capacity of 61.149 crores</w:t>
      </w:r>
      <w:r w:rsidR="00FC189A" w:rsidRPr="001469AC">
        <w:rPr>
          <w:rFonts w:ascii="Arial" w:hAnsi="Arial" w:cs="Arial"/>
          <w:color w:val="000000"/>
        </w:rPr>
        <w:t xml:space="preserve"> for Sanima Capital</w:t>
      </w:r>
      <w:r w:rsidR="00874FDA" w:rsidRPr="001469AC">
        <w:rPr>
          <w:rFonts w:ascii="Arial" w:hAnsi="Arial" w:cs="Arial"/>
          <w:color w:val="000000"/>
        </w:rPr>
        <w:t xml:space="preserve"> Ltd</w:t>
      </w:r>
      <w:r w:rsidRPr="001469AC">
        <w:rPr>
          <w:rFonts w:ascii="Arial" w:hAnsi="Arial" w:cs="Arial"/>
          <w:color w:val="000000"/>
        </w:rPr>
        <w:t>.</w:t>
      </w:r>
    </w:p>
    <w:p w:rsidR="00FA296A" w:rsidRPr="00FA296A" w:rsidRDefault="00FA296A" w:rsidP="00B1425F">
      <w:pPr>
        <w:jc w:val="both"/>
        <w:rPr>
          <w:rFonts w:ascii="Arial" w:hAnsi="Arial" w:cs="Arial"/>
          <w:color w:val="000000"/>
        </w:rPr>
      </w:pPr>
      <w:r w:rsidRPr="00FA296A">
        <w:rPr>
          <w:rFonts w:ascii="Arial" w:hAnsi="Arial" w:cs="Arial"/>
          <w:color w:val="000000"/>
        </w:rPr>
        <w:t>Total underw</w:t>
      </w:r>
      <w:r w:rsidR="00E361A4">
        <w:rPr>
          <w:rFonts w:ascii="Arial" w:hAnsi="Arial" w:cs="Arial"/>
          <w:color w:val="000000"/>
        </w:rPr>
        <w:t>riting at</w:t>
      </w:r>
      <w:r w:rsidRPr="00FA296A">
        <w:rPr>
          <w:rFonts w:ascii="Arial" w:hAnsi="Arial" w:cs="Arial"/>
          <w:color w:val="000000"/>
        </w:rPr>
        <w:t xml:space="preserve"> current date</w:t>
      </w:r>
    </w:p>
    <w:tbl>
      <w:tblPr>
        <w:tblStyle w:val="GridTable4-Accent3"/>
        <w:tblW w:w="9477" w:type="dxa"/>
        <w:tblLook w:val="04A0" w:firstRow="1" w:lastRow="0" w:firstColumn="1" w:lastColumn="0" w:noHBand="0" w:noVBand="1"/>
      </w:tblPr>
      <w:tblGrid>
        <w:gridCol w:w="609"/>
        <w:gridCol w:w="2996"/>
        <w:gridCol w:w="1647"/>
        <w:gridCol w:w="1447"/>
        <w:gridCol w:w="1331"/>
        <w:gridCol w:w="1447"/>
      </w:tblGrid>
      <w:tr w:rsidR="000B6CDD" w:rsidRPr="00FA296A" w:rsidTr="000B6CDD">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rsidR="00FA296A" w:rsidRPr="00FA296A" w:rsidRDefault="00FA296A" w:rsidP="00FA296A">
            <w:pPr>
              <w:jc w:val="center"/>
              <w:rPr>
                <w:rFonts w:ascii="Calibri" w:eastAsia="Times New Roman" w:hAnsi="Calibri" w:cs="Calibri"/>
                <w:b w:val="0"/>
                <w:bCs w:val="0"/>
                <w:color w:val="000000"/>
              </w:rPr>
            </w:pPr>
            <w:r w:rsidRPr="00FA296A">
              <w:rPr>
                <w:rFonts w:ascii="Calibri" w:eastAsia="Times New Roman" w:hAnsi="Calibri" w:cs="Calibri"/>
                <w:color w:val="000000"/>
              </w:rPr>
              <w:t>S.N.</w:t>
            </w:r>
          </w:p>
        </w:tc>
        <w:tc>
          <w:tcPr>
            <w:tcW w:w="0" w:type="auto"/>
            <w:noWrap/>
            <w:hideMark/>
          </w:tcPr>
          <w:p w:rsidR="00FA296A" w:rsidRPr="00FA296A" w:rsidRDefault="00FA296A" w:rsidP="00FA29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FA296A">
              <w:rPr>
                <w:rFonts w:ascii="Calibri" w:eastAsia="Times New Roman" w:hAnsi="Calibri" w:cs="Calibri"/>
                <w:color w:val="000000"/>
              </w:rPr>
              <w:t>Client Name</w:t>
            </w:r>
          </w:p>
        </w:tc>
        <w:tc>
          <w:tcPr>
            <w:tcW w:w="0" w:type="auto"/>
            <w:noWrap/>
            <w:hideMark/>
          </w:tcPr>
          <w:p w:rsidR="00FA296A" w:rsidRPr="00FA296A" w:rsidRDefault="00FA296A" w:rsidP="00FA29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FA296A">
              <w:rPr>
                <w:rFonts w:ascii="Calibri" w:eastAsia="Times New Roman" w:hAnsi="Calibri" w:cs="Calibri"/>
                <w:color w:val="000000"/>
              </w:rPr>
              <w:t>Sanima Capital</w:t>
            </w:r>
          </w:p>
        </w:tc>
        <w:tc>
          <w:tcPr>
            <w:tcW w:w="0" w:type="auto"/>
            <w:noWrap/>
            <w:hideMark/>
          </w:tcPr>
          <w:p w:rsidR="00FA296A" w:rsidRPr="00FA296A" w:rsidRDefault="00FA296A" w:rsidP="00FA29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FA296A">
              <w:rPr>
                <w:rFonts w:ascii="Calibri" w:eastAsia="Times New Roman" w:hAnsi="Calibri" w:cs="Calibri"/>
                <w:color w:val="000000"/>
              </w:rPr>
              <w:t>SAEF</w:t>
            </w:r>
          </w:p>
        </w:tc>
        <w:tc>
          <w:tcPr>
            <w:tcW w:w="0" w:type="auto"/>
            <w:noWrap/>
            <w:hideMark/>
          </w:tcPr>
          <w:p w:rsidR="00FA296A" w:rsidRPr="00FA296A" w:rsidRDefault="00FA296A" w:rsidP="00FA29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FA296A">
              <w:rPr>
                <w:rFonts w:ascii="Calibri" w:eastAsia="Times New Roman" w:hAnsi="Calibri" w:cs="Calibri"/>
                <w:color w:val="000000"/>
              </w:rPr>
              <w:t>SGF</w:t>
            </w:r>
          </w:p>
        </w:tc>
        <w:tc>
          <w:tcPr>
            <w:tcW w:w="0" w:type="auto"/>
            <w:noWrap/>
            <w:hideMark/>
          </w:tcPr>
          <w:p w:rsidR="00FA296A" w:rsidRPr="00FA296A" w:rsidRDefault="00FA296A" w:rsidP="00FA296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FA296A">
              <w:rPr>
                <w:rFonts w:ascii="Calibri" w:eastAsia="Times New Roman" w:hAnsi="Calibri" w:cs="Calibri"/>
                <w:color w:val="000000"/>
              </w:rPr>
              <w:t>Total</w:t>
            </w:r>
          </w:p>
        </w:tc>
      </w:tr>
      <w:tr w:rsidR="000B6CDD" w:rsidRPr="00FA296A" w:rsidTr="000B6CDD">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rsidR="00FA296A" w:rsidRPr="00FA296A" w:rsidRDefault="00FA296A" w:rsidP="00FA296A">
            <w:pPr>
              <w:jc w:val="right"/>
              <w:rPr>
                <w:rFonts w:ascii="Calibri" w:eastAsia="Times New Roman" w:hAnsi="Calibri" w:cs="Calibri"/>
                <w:color w:val="000000"/>
              </w:rPr>
            </w:pPr>
            <w:r w:rsidRPr="00FA296A">
              <w:rPr>
                <w:rFonts w:ascii="Calibri" w:eastAsia="Times New Roman" w:hAnsi="Calibri" w:cs="Calibri"/>
                <w:color w:val="000000"/>
              </w:rPr>
              <w:t>1</w:t>
            </w:r>
          </w:p>
        </w:tc>
        <w:tc>
          <w:tcPr>
            <w:tcW w:w="0" w:type="auto"/>
            <w:noWrap/>
            <w:hideMark/>
          </w:tcPr>
          <w:p w:rsidR="00FA296A" w:rsidRPr="00FA296A" w:rsidRDefault="00FA296A" w:rsidP="00FA29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A296A">
              <w:rPr>
                <w:rFonts w:ascii="Calibri" w:eastAsia="Times New Roman" w:hAnsi="Calibri" w:cs="Calibri"/>
                <w:color w:val="000000"/>
              </w:rPr>
              <w:t>Sonapur Minerals and Oil Ltd.</w:t>
            </w:r>
          </w:p>
        </w:tc>
        <w:tc>
          <w:tcPr>
            <w:tcW w:w="0" w:type="auto"/>
            <w:noWrap/>
            <w:hideMark/>
          </w:tcPr>
          <w:p w:rsidR="00FA296A" w:rsidRPr="00FA296A" w:rsidRDefault="00FA296A"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A296A">
              <w:rPr>
                <w:rFonts w:ascii="Calibri" w:eastAsia="Times New Roman" w:hAnsi="Calibri" w:cs="Calibri"/>
                <w:color w:val="000000"/>
              </w:rPr>
              <w:t xml:space="preserve"> 460,455,120 </w:t>
            </w:r>
          </w:p>
        </w:tc>
        <w:tc>
          <w:tcPr>
            <w:tcW w:w="0" w:type="auto"/>
            <w:noWrap/>
            <w:hideMark/>
          </w:tcPr>
          <w:p w:rsidR="00FA296A" w:rsidRPr="00FA296A" w:rsidRDefault="00FA296A"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A296A">
              <w:rPr>
                <w:rFonts w:ascii="Calibri" w:eastAsia="Times New Roman" w:hAnsi="Calibri" w:cs="Calibri"/>
                <w:color w:val="000000"/>
              </w:rPr>
              <w:t xml:space="preserve"> 172,389,600 </w:t>
            </w:r>
          </w:p>
        </w:tc>
        <w:tc>
          <w:tcPr>
            <w:tcW w:w="0" w:type="auto"/>
            <w:noWrap/>
            <w:hideMark/>
          </w:tcPr>
          <w:p w:rsidR="00FA296A" w:rsidRPr="00FA296A" w:rsidRDefault="00FA296A"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A296A">
              <w:rPr>
                <w:rFonts w:ascii="Calibri" w:eastAsia="Times New Roman" w:hAnsi="Calibri" w:cs="Calibri"/>
                <w:color w:val="000000"/>
              </w:rPr>
              <w:t xml:space="preserve"> 67,206,960 </w:t>
            </w:r>
          </w:p>
        </w:tc>
        <w:tc>
          <w:tcPr>
            <w:tcW w:w="0" w:type="auto"/>
            <w:noWrap/>
            <w:hideMark/>
          </w:tcPr>
          <w:p w:rsidR="00FA296A" w:rsidRPr="00FA296A" w:rsidRDefault="00FA296A"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A296A">
              <w:rPr>
                <w:rFonts w:ascii="Calibri" w:eastAsia="Times New Roman" w:hAnsi="Calibri" w:cs="Calibri"/>
                <w:color w:val="000000"/>
              </w:rPr>
              <w:t xml:space="preserve"> 700,051,680</w:t>
            </w:r>
          </w:p>
        </w:tc>
      </w:tr>
      <w:tr w:rsidR="00FA296A" w:rsidRPr="00FA296A" w:rsidTr="000B6CDD">
        <w:trPr>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rsidR="00FA296A" w:rsidRPr="00FA296A" w:rsidRDefault="00FA296A" w:rsidP="00FA296A">
            <w:pPr>
              <w:jc w:val="right"/>
              <w:rPr>
                <w:rFonts w:ascii="Calibri" w:eastAsia="Times New Roman" w:hAnsi="Calibri" w:cs="Calibri"/>
                <w:color w:val="000000"/>
              </w:rPr>
            </w:pPr>
            <w:r w:rsidRPr="00FA296A">
              <w:rPr>
                <w:rFonts w:ascii="Calibri" w:eastAsia="Times New Roman" w:hAnsi="Calibri" w:cs="Calibri"/>
                <w:color w:val="000000"/>
              </w:rPr>
              <w:t>2</w:t>
            </w:r>
          </w:p>
        </w:tc>
        <w:tc>
          <w:tcPr>
            <w:tcW w:w="0" w:type="auto"/>
            <w:noWrap/>
            <w:hideMark/>
          </w:tcPr>
          <w:p w:rsidR="00FA296A" w:rsidRPr="00FA296A" w:rsidRDefault="00FA296A" w:rsidP="00FA29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FA296A">
              <w:rPr>
                <w:rFonts w:ascii="Calibri" w:eastAsia="Times New Roman" w:hAnsi="Calibri" w:cs="Calibri"/>
                <w:color w:val="000000"/>
              </w:rPr>
              <w:t>Aush</w:t>
            </w:r>
            <w:r w:rsidR="00CE7590">
              <w:rPr>
                <w:rFonts w:ascii="Calibri" w:eastAsia="Times New Roman" w:hAnsi="Calibri" w:cs="Calibri"/>
                <w:color w:val="000000"/>
              </w:rPr>
              <w:t>u</w:t>
            </w:r>
            <w:r w:rsidRPr="00FA296A">
              <w:rPr>
                <w:rFonts w:ascii="Calibri" w:eastAsia="Times New Roman" w:hAnsi="Calibri" w:cs="Calibri"/>
                <w:color w:val="000000"/>
              </w:rPr>
              <w:t>tosh</w:t>
            </w:r>
            <w:proofErr w:type="spellEnd"/>
            <w:r w:rsidRPr="00FA296A">
              <w:rPr>
                <w:rFonts w:ascii="Calibri" w:eastAsia="Times New Roman" w:hAnsi="Calibri" w:cs="Calibri"/>
                <w:color w:val="000000"/>
              </w:rPr>
              <w:t xml:space="preserve"> Energy Limited </w:t>
            </w:r>
          </w:p>
        </w:tc>
        <w:tc>
          <w:tcPr>
            <w:tcW w:w="0" w:type="auto"/>
            <w:noWrap/>
            <w:hideMark/>
          </w:tcPr>
          <w:p w:rsidR="00FA296A" w:rsidRPr="00FA296A" w:rsidRDefault="00FA296A"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A296A">
              <w:rPr>
                <w:rFonts w:ascii="Calibri" w:eastAsia="Times New Roman" w:hAnsi="Calibri" w:cs="Calibri"/>
                <w:color w:val="000000"/>
              </w:rPr>
              <w:t> </w:t>
            </w:r>
          </w:p>
        </w:tc>
        <w:tc>
          <w:tcPr>
            <w:tcW w:w="0" w:type="auto"/>
            <w:noWrap/>
            <w:hideMark/>
          </w:tcPr>
          <w:p w:rsidR="00FA296A" w:rsidRPr="00FA296A" w:rsidRDefault="00FA296A"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A296A">
              <w:rPr>
                <w:rFonts w:ascii="Calibri" w:eastAsia="Times New Roman" w:hAnsi="Calibri" w:cs="Calibri"/>
                <w:color w:val="000000"/>
              </w:rPr>
              <w:t xml:space="preserve"> 50,000,000</w:t>
            </w:r>
          </w:p>
        </w:tc>
        <w:tc>
          <w:tcPr>
            <w:tcW w:w="0" w:type="auto"/>
            <w:noWrap/>
            <w:hideMark/>
          </w:tcPr>
          <w:p w:rsidR="00FA296A" w:rsidRPr="00FA296A" w:rsidRDefault="00FA296A"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A296A">
              <w:rPr>
                <w:rFonts w:ascii="Calibri" w:eastAsia="Times New Roman" w:hAnsi="Calibri" w:cs="Calibri"/>
                <w:color w:val="000000"/>
              </w:rPr>
              <w:t> </w:t>
            </w:r>
          </w:p>
        </w:tc>
        <w:tc>
          <w:tcPr>
            <w:tcW w:w="0" w:type="auto"/>
            <w:noWrap/>
            <w:hideMark/>
          </w:tcPr>
          <w:p w:rsidR="00FA296A" w:rsidRPr="00FA296A" w:rsidRDefault="00FA296A"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A296A">
              <w:rPr>
                <w:rFonts w:ascii="Calibri" w:eastAsia="Times New Roman" w:hAnsi="Calibri" w:cs="Calibri"/>
                <w:color w:val="000000"/>
              </w:rPr>
              <w:t xml:space="preserve"> 50,000,000</w:t>
            </w:r>
          </w:p>
        </w:tc>
      </w:tr>
      <w:tr w:rsidR="000B6CDD" w:rsidRPr="00FA296A" w:rsidTr="000B6CDD">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0" w:type="auto"/>
            <w:noWrap/>
            <w:hideMark/>
          </w:tcPr>
          <w:p w:rsidR="00FA296A" w:rsidRPr="00FA296A" w:rsidRDefault="00FA296A" w:rsidP="00FA296A">
            <w:pPr>
              <w:rPr>
                <w:rFonts w:ascii="Calibri" w:eastAsia="Times New Roman" w:hAnsi="Calibri" w:cs="Calibri"/>
                <w:color w:val="000000"/>
              </w:rPr>
            </w:pPr>
            <w:r w:rsidRPr="00FA296A">
              <w:rPr>
                <w:rFonts w:ascii="Calibri" w:eastAsia="Times New Roman" w:hAnsi="Calibri" w:cs="Calibri"/>
                <w:color w:val="000000"/>
              </w:rPr>
              <w:t> </w:t>
            </w:r>
          </w:p>
        </w:tc>
        <w:tc>
          <w:tcPr>
            <w:tcW w:w="0" w:type="auto"/>
            <w:noWrap/>
            <w:hideMark/>
          </w:tcPr>
          <w:p w:rsidR="00FA296A" w:rsidRPr="00FA296A" w:rsidRDefault="00FA296A" w:rsidP="00FA29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FA296A">
              <w:rPr>
                <w:rFonts w:ascii="Calibri" w:eastAsia="Times New Roman" w:hAnsi="Calibri" w:cs="Calibri"/>
                <w:b/>
                <w:bCs/>
                <w:color w:val="000000"/>
              </w:rPr>
              <w:t>Total</w:t>
            </w:r>
          </w:p>
        </w:tc>
        <w:tc>
          <w:tcPr>
            <w:tcW w:w="0" w:type="auto"/>
            <w:noWrap/>
            <w:hideMark/>
          </w:tcPr>
          <w:p w:rsidR="00FA296A" w:rsidRPr="00FA296A" w:rsidRDefault="00FA296A"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FA296A">
              <w:rPr>
                <w:rFonts w:ascii="Calibri" w:eastAsia="Times New Roman" w:hAnsi="Calibri" w:cs="Calibri"/>
                <w:b/>
                <w:bCs/>
                <w:color w:val="000000"/>
              </w:rPr>
              <w:t xml:space="preserve"> 460,455,120</w:t>
            </w:r>
          </w:p>
        </w:tc>
        <w:tc>
          <w:tcPr>
            <w:tcW w:w="0" w:type="auto"/>
            <w:noWrap/>
            <w:hideMark/>
          </w:tcPr>
          <w:p w:rsidR="00FA296A" w:rsidRPr="00FA296A" w:rsidRDefault="00FA296A"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FA296A">
              <w:rPr>
                <w:rFonts w:ascii="Calibri" w:eastAsia="Times New Roman" w:hAnsi="Calibri" w:cs="Calibri"/>
                <w:b/>
                <w:bCs/>
                <w:color w:val="000000"/>
              </w:rPr>
              <w:t xml:space="preserve"> 222,389,600 </w:t>
            </w:r>
          </w:p>
        </w:tc>
        <w:tc>
          <w:tcPr>
            <w:tcW w:w="0" w:type="auto"/>
            <w:noWrap/>
            <w:hideMark/>
          </w:tcPr>
          <w:p w:rsidR="00FA296A" w:rsidRPr="00FA296A" w:rsidRDefault="00FA296A"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FA296A">
              <w:rPr>
                <w:rFonts w:ascii="Calibri" w:eastAsia="Times New Roman" w:hAnsi="Calibri" w:cs="Calibri"/>
                <w:b/>
                <w:bCs/>
                <w:color w:val="000000"/>
              </w:rPr>
              <w:t xml:space="preserve"> 67,206,960 </w:t>
            </w:r>
          </w:p>
        </w:tc>
        <w:tc>
          <w:tcPr>
            <w:tcW w:w="0" w:type="auto"/>
            <w:noWrap/>
            <w:hideMark/>
          </w:tcPr>
          <w:p w:rsidR="00FA296A" w:rsidRPr="00FA296A" w:rsidRDefault="00FA296A"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FA296A">
              <w:rPr>
                <w:rFonts w:ascii="Calibri" w:eastAsia="Times New Roman" w:hAnsi="Calibri" w:cs="Calibri"/>
                <w:b/>
                <w:bCs/>
                <w:color w:val="000000"/>
              </w:rPr>
              <w:t xml:space="preserve"> 750,051,680 </w:t>
            </w:r>
          </w:p>
        </w:tc>
      </w:tr>
    </w:tbl>
    <w:p w:rsidR="00FA296A" w:rsidRDefault="00FA296A" w:rsidP="00B1425F">
      <w:pPr>
        <w:jc w:val="both"/>
        <w:rPr>
          <w:rFonts w:ascii="Arial" w:hAnsi="Arial" w:cs="Arial"/>
          <w:color w:val="000000"/>
          <w:highlight w:val="yellow"/>
        </w:rPr>
      </w:pPr>
    </w:p>
    <w:tbl>
      <w:tblPr>
        <w:tblStyle w:val="GridTable4-Accent3"/>
        <w:tblW w:w="9450" w:type="dxa"/>
        <w:tblLook w:val="04A0" w:firstRow="1" w:lastRow="0" w:firstColumn="1" w:lastColumn="0" w:noHBand="0" w:noVBand="1"/>
      </w:tblPr>
      <w:tblGrid>
        <w:gridCol w:w="7325"/>
        <w:gridCol w:w="2125"/>
      </w:tblGrid>
      <w:tr w:rsidR="002E51B7" w:rsidRPr="002E51B7" w:rsidTr="00891983">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450" w:type="dxa"/>
            <w:gridSpan w:val="2"/>
            <w:noWrap/>
            <w:hideMark/>
          </w:tcPr>
          <w:p w:rsidR="002E51B7" w:rsidRPr="002E51B7" w:rsidRDefault="002E51B7" w:rsidP="002E51B7">
            <w:pPr>
              <w:jc w:val="center"/>
              <w:rPr>
                <w:rFonts w:ascii="Calibri" w:eastAsia="Times New Roman" w:hAnsi="Calibri" w:cs="Calibri"/>
                <w:color w:val="000000"/>
              </w:rPr>
            </w:pPr>
            <w:r w:rsidRPr="002E51B7">
              <w:rPr>
                <w:rFonts w:ascii="Calibri" w:eastAsia="Times New Roman" w:hAnsi="Calibri" w:cs="Calibri"/>
                <w:color w:val="000000"/>
              </w:rPr>
              <w:t>For Sanima Capital Ltd</w:t>
            </w:r>
          </w:p>
        </w:tc>
      </w:tr>
      <w:tr w:rsidR="002E51B7" w:rsidRPr="002E51B7" w:rsidTr="0089198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325" w:type="dxa"/>
            <w:noWrap/>
            <w:hideMark/>
          </w:tcPr>
          <w:p w:rsidR="002E51B7" w:rsidRPr="002E51B7" w:rsidRDefault="002E51B7" w:rsidP="002E51B7">
            <w:pPr>
              <w:rPr>
                <w:rFonts w:ascii="Calibri" w:eastAsia="Times New Roman" w:hAnsi="Calibri" w:cs="Calibri"/>
                <w:color w:val="000000"/>
              </w:rPr>
            </w:pPr>
            <w:r w:rsidRPr="002E51B7">
              <w:rPr>
                <w:rFonts w:ascii="Calibri" w:eastAsia="Times New Roman" w:hAnsi="Calibri" w:cs="Calibri"/>
                <w:color w:val="000000"/>
              </w:rPr>
              <w:t>Net Worth</w:t>
            </w:r>
          </w:p>
        </w:tc>
        <w:tc>
          <w:tcPr>
            <w:tcW w:w="2125" w:type="dxa"/>
            <w:noWrap/>
            <w:hideMark/>
          </w:tcPr>
          <w:p w:rsidR="002E51B7" w:rsidRPr="002E51B7" w:rsidRDefault="002E51B7" w:rsidP="002E51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E51B7">
              <w:rPr>
                <w:rFonts w:ascii="Calibri" w:eastAsia="Times New Roman" w:hAnsi="Calibri" w:cs="Calibri"/>
                <w:color w:val="000000"/>
              </w:rPr>
              <w:t xml:space="preserve">       357,314,850.00 </w:t>
            </w:r>
          </w:p>
        </w:tc>
      </w:tr>
      <w:tr w:rsidR="002E51B7" w:rsidRPr="002E51B7" w:rsidTr="00891983">
        <w:trPr>
          <w:trHeight w:val="244"/>
        </w:trPr>
        <w:tc>
          <w:tcPr>
            <w:cnfStyle w:val="001000000000" w:firstRow="0" w:lastRow="0" w:firstColumn="1" w:lastColumn="0" w:oddVBand="0" w:evenVBand="0" w:oddHBand="0" w:evenHBand="0" w:firstRowFirstColumn="0" w:firstRowLastColumn="0" w:lastRowFirstColumn="0" w:lastRowLastColumn="0"/>
            <w:tcW w:w="7325" w:type="dxa"/>
            <w:noWrap/>
            <w:hideMark/>
          </w:tcPr>
          <w:p w:rsidR="002E51B7" w:rsidRPr="002E51B7" w:rsidRDefault="002E51B7" w:rsidP="002E51B7">
            <w:pPr>
              <w:rPr>
                <w:rFonts w:ascii="Calibri" w:eastAsia="Times New Roman" w:hAnsi="Calibri" w:cs="Calibri"/>
                <w:color w:val="000000"/>
              </w:rPr>
            </w:pPr>
            <w:r w:rsidRPr="002E51B7">
              <w:rPr>
                <w:rFonts w:ascii="Calibri" w:eastAsia="Times New Roman" w:hAnsi="Calibri" w:cs="Calibri"/>
                <w:color w:val="000000"/>
              </w:rPr>
              <w:t>Allowable Underwriting (Net worth*3 Times)</w:t>
            </w:r>
          </w:p>
        </w:tc>
        <w:tc>
          <w:tcPr>
            <w:tcW w:w="2125" w:type="dxa"/>
            <w:noWrap/>
            <w:hideMark/>
          </w:tcPr>
          <w:p w:rsidR="002E51B7" w:rsidRPr="002E51B7" w:rsidRDefault="002E51B7" w:rsidP="002E51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E51B7">
              <w:rPr>
                <w:rFonts w:ascii="Calibri" w:eastAsia="Times New Roman" w:hAnsi="Calibri" w:cs="Calibri"/>
                <w:color w:val="000000"/>
              </w:rPr>
              <w:t xml:space="preserve">   1,071,944,550.00 </w:t>
            </w:r>
          </w:p>
        </w:tc>
      </w:tr>
      <w:tr w:rsidR="002E51B7" w:rsidRPr="002E51B7" w:rsidTr="0089198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325" w:type="dxa"/>
            <w:noWrap/>
            <w:hideMark/>
          </w:tcPr>
          <w:p w:rsidR="002E51B7" w:rsidRPr="002E51B7" w:rsidRDefault="002E51B7" w:rsidP="002E51B7">
            <w:pPr>
              <w:rPr>
                <w:rFonts w:ascii="Calibri" w:eastAsia="Times New Roman" w:hAnsi="Calibri" w:cs="Calibri"/>
                <w:color w:val="000000"/>
              </w:rPr>
            </w:pPr>
            <w:r w:rsidRPr="002E51B7">
              <w:rPr>
                <w:rFonts w:ascii="Calibri" w:eastAsia="Times New Roman" w:hAnsi="Calibri" w:cs="Calibri"/>
                <w:color w:val="000000"/>
              </w:rPr>
              <w:t>Already underwritten</w:t>
            </w:r>
          </w:p>
        </w:tc>
        <w:tc>
          <w:tcPr>
            <w:tcW w:w="2125" w:type="dxa"/>
            <w:noWrap/>
            <w:hideMark/>
          </w:tcPr>
          <w:p w:rsidR="002E51B7" w:rsidRPr="002E51B7" w:rsidRDefault="002E51B7" w:rsidP="002E51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E51B7">
              <w:rPr>
                <w:rFonts w:ascii="Calibri" w:eastAsia="Times New Roman" w:hAnsi="Calibri" w:cs="Calibri"/>
                <w:color w:val="000000"/>
              </w:rPr>
              <w:t xml:space="preserve">       460,455,120.00 </w:t>
            </w:r>
          </w:p>
        </w:tc>
      </w:tr>
      <w:tr w:rsidR="002E51B7" w:rsidRPr="002E51B7" w:rsidTr="00891983">
        <w:trPr>
          <w:trHeight w:val="244"/>
        </w:trPr>
        <w:tc>
          <w:tcPr>
            <w:cnfStyle w:val="001000000000" w:firstRow="0" w:lastRow="0" w:firstColumn="1" w:lastColumn="0" w:oddVBand="0" w:evenVBand="0" w:oddHBand="0" w:evenHBand="0" w:firstRowFirstColumn="0" w:firstRowLastColumn="0" w:lastRowFirstColumn="0" w:lastRowLastColumn="0"/>
            <w:tcW w:w="7325" w:type="dxa"/>
            <w:noWrap/>
            <w:hideMark/>
          </w:tcPr>
          <w:p w:rsidR="002E51B7" w:rsidRPr="002E51B7" w:rsidRDefault="002E51B7" w:rsidP="002E51B7">
            <w:pPr>
              <w:rPr>
                <w:rFonts w:ascii="Calibri" w:eastAsia="Times New Roman" w:hAnsi="Calibri" w:cs="Calibri"/>
                <w:color w:val="000000"/>
              </w:rPr>
            </w:pPr>
            <w:r w:rsidRPr="002E51B7">
              <w:rPr>
                <w:rFonts w:ascii="Calibri" w:eastAsia="Times New Roman" w:hAnsi="Calibri" w:cs="Calibri"/>
                <w:color w:val="000000"/>
              </w:rPr>
              <w:t>In-Principle Approval (Him river-agreement not signed yet)</w:t>
            </w:r>
          </w:p>
        </w:tc>
        <w:tc>
          <w:tcPr>
            <w:tcW w:w="2125" w:type="dxa"/>
            <w:noWrap/>
            <w:hideMark/>
          </w:tcPr>
          <w:p w:rsidR="002E51B7" w:rsidRPr="002E51B7" w:rsidRDefault="002E51B7" w:rsidP="002E51B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E51B7">
              <w:rPr>
                <w:rFonts w:ascii="Calibri" w:eastAsia="Times New Roman" w:hAnsi="Calibri" w:cs="Calibri"/>
                <w:color w:val="000000"/>
              </w:rPr>
              <w:t xml:space="preserve">       266,000,000.00 </w:t>
            </w:r>
          </w:p>
        </w:tc>
      </w:tr>
      <w:tr w:rsidR="002E51B7" w:rsidRPr="002E51B7" w:rsidTr="00891983">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7325" w:type="dxa"/>
            <w:noWrap/>
            <w:hideMark/>
          </w:tcPr>
          <w:p w:rsidR="002E51B7" w:rsidRPr="002E51B7" w:rsidRDefault="002E51B7" w:rsidP="002E51B7">
            <w:pPr>
              <w:rPr>
                <w:rFonts w:ascii="Calibri" w:eastAsia="Times New Roman" w:hAnsi="Calibri" w:cs="Calibri"/>
                <w:color w:val="000000"/>
              </w:rPr>
            </w:pPr>
            <w:r w:rsidRPr="002E51B7">
              <w:rPr>
                <w:rFonts w:ascii="Calibri" w:eastAsia="Times New Roman" w:hAnsi="Calibri" w:cs="Calibri"/>
                <w:color w:val="000000"/>
              </w:rPr>
              <w:t xml:space="preserve">Available </w:t>
            </w:r>
          </w:p>
        </w:tc>
        <w:tc>
          <w:tcPr>
            <w:tcW w:w="2125" w:type="dxa"/>
            <w:noWrap/>
            <w:hideMark/>
          </w:tcPr>
          <w:p w:rsidR="002E51B7" w:rsidRPr="002E51B7" w:rsidRDefault="002E51B7" w:rsidP="002E51B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rPr>
            </w:pPr>
            <w:r w:rsidRPr="002E51B7">
              <w:rPr>
                <w:rFonts w:ascii="Calibri" w:eastAsia="Times New Roman" w:hAnsi="Calibri" w:cs="Calibri"/>
                <w:b/>
                <w:bCs/>
                <w:color w:val="000000"/>
              </w:rPr>
              <w:t xml:space="preserve">       345,489,430.00 </w:t>
            </w:r>
          </w:p>
        </w:tc>
      </w:tr>
    </w:tbl>
    <w:p w:rsidR="00D12A08" w:rsidRDefault="00D12A08" w:rsidP="00B1425F">
      <w:pPr>
        <w:jc w:val="both"/>
        <w:rPr>
          <w:rFonts w:ascii="Arial" w:hAnsi="Arial" w:cs="Arial"/>
          <w:color w:val="000000"/>
          <w:highlight w:val="yellow"/>
        </w:rPr>
      </w:pPr>
    </w:p>
    <w:tbl>
      <w:tblPr>
        <w:tblStyle w:val="GridTable4-Accent3"/>
        <w:tblW w:w="9457" w:type="dxa"/>
        <w:tblLook w:val="04A0" w:firstRow="1" w:lastRow="0" w:firstColumn="1" w:lastColumn="0" w:noHBand="0" w:noVBand="1"/>
      </w:tblPr>
      <w:tblGrid>
        <w:gridCol w:w="6545"/>
        <w:gridCol w:w="2912"/>
      </w:tblGrid>
      <w:tr w:rsidR="00687D77" w:rsidRPr="00D12A08" w:rsidTr="00891983">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9457" w:type="dxa"/>
            <w:gridSpan w:val="2"/>
            <w:noWrap/>
            <w:hideMark/>
          </w:tcPr>
          <w:p w:rsidR="00687D77" w:rsidRPr="00687D77" w:rsidRDefault="00687D77" w:rsidP="0008331A">
            <w:pPr>
              <w:jc w:val="center"/>
              <w:rPr>
                <w:rFonts w:ascii="Calibri" w:eastAsia="Times New Roman" w:hAnsi="Calibri" w:cs="Calibri"/>
                <w:bCs w:val="0"/>
                <w:color w:val="000000"/>
              </w:rPr>
            </w:pPr>
            <w:r w:rsidRPr="00687D77">
              <w:rPr>
                <w:rFonts w:ascii="Calibri" w:eastAsia="Times New Roman" w:hAnsi="Calibri" w:cs="Calibri"/>
                <w:color w:val="000000"/>
              </w:rPr>
              <w:t xml:space="preserve">Underwriting capacity available for Sanima </w:t>
            </w:r>
            <w:r>
              <w:rPr>
                <w:rFonts w:ascii="Calibri" w:eastAsia="Times New Roman" w:hAnsi="Calibri" w:cs="Calibri"/>
                <w:bCs w:val="0"/>
                <w:color w:val="000000"/>
              </w:rPr>
              <w:t xml:space="preserve">Equity </w:t>
            </w:r>
            <w:proofErr w:type="gramStart"/>
            <w:r>
              <w:rPr>
                <w:rFonts w:ascii="Calibri" w:eastAsia="Times New Roman" w:hAnsi="Calibri" w:cs="Calibri"/>
                <w:bCs w:val="0"/>
                <w:color w:val="000000"/>
              </w:rPr>
              <w:t>Fund(</w:t>
            </w:r>
            <w:proofErr w:type="gramEnd"/>
            <w:r w:rsidRPr="00687D77">
              <w:rPr>
                <w:rFonts w:ascii="Calibri" w:eastAsia="Times New Roman" w:hAnsi="Calibri" w:cs="Calibri"/>
                <w:bCs w:val="0"/>
                <w:color w:val="000000"/>
              </w:rPr>
              <w:t>SAEF)</w:t>
            </w:r>
          </w:p>
        </w:tc>
      </w:tr>
      <w:tr w:rsidR="00687D77" w:rsidRPr="00D12A08" w:rsidTr="0089198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6545" w:type="dxa"/>
            <w:noWrap/>
            <w:hideMark/>
          </w:tcPr>
          <w:p w:rsidR="00687D77" w:rsidRDefault="00687D77" w:rsidP="00687D77">
            <w:pPr>
              <w:rPr>
                <w:rFonts w:ascii="Calibri" w:hAnsi="Calibri" w:cs="Calibri"/>
                <w:color w:val="000000"/>
              </w:rPr>
            </w:pPr>
            <w:r>
              <w:rPr>
                <w:rFonts w:ascii="Calibri" w:hAnsi="Calibri" w:cs="Calibri"/>
                <w:color w:val="000000"/>
              </w:rPr>
              <w:t>Net Assets of the Scheme</w:t>
            </w:r>
          </w:p>
        </w:tc>
        <w:tc>
          <w:tcPr>
            <w:tcW w:w="2912" w:type="dxa"/>
            <w:noWrap/>
            <w:hideMark/>
          </w:tcPr>
          <w:p w:rsidR="00687D77" w:rsidRDefault="00687D77" w:rsidP="00687D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1,666,285,483.92 </w:t>
            </w:r>
          </w:p>
        </w:tc>
      </w:tr>
      <w:tr w:rsidR="00687D77" w:rsidRPr="00D12A08" w:rsidTr="00891983">
        <w:trPr>
          <w:trHeight w:val="241"/>
        </w:trPr>
        <w:tc>
          <w:tcPr>
            <w:cnfStyle w:val="001000000000" w:firstRow="0" w:lastRow="0" w:firstColumn="1" w:lastColumn="0" w:oddVBand="0" w:evenVBand="0" w:oddHBand="0" w:evenHBand="0" w:firstRowFirstColumn="0" w:firstRowLastColumn="0" w:lastRowFirstColumn="0" w:lastRowLastColumn="0"/>
            <w:tcW w:w="6545" w:type="dxa"/>
            <w:noWrap/>
            <w:hideMark/>
          </w:tcPr>
          <w:p w:rsidR="00687D77" w:rsidRDefault="00687D77" w:rsidP="00687D77">
            <w:pPr>
              <w:rPr>
                <w:rFonts w:ascii="Calibri" w:hAnsi="Calibri" w:cs="Calibri"/>
                <w:color w:val="000000"/>
              </w:rPr>
            </w:pPr>
            <w:r>
              <w:rPr>
                <w:rFonts w:ascii="Calibri" w:hAnsi="Calibri" w:cs="Calibri"/>
                <w:color w:val="000000"/>
              </w:rPr>
              <w:t>No. of Units O/s under Scheme</w:t>
            </w:r>
          </w:p>
        </w:tc>
        <w:tc>
          <w:tcPr>
            <w:tcW w:w="2912" w:type="dxa"/>
            <w:noWrap/>
            <w:hideMark/>
          </w:tcPr>
          <w:p w:rsidR="00687D77" w:rsidRDefault="00687D77" w:rsidP="00687D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130,000,000.00 </w:t>
            </w:r>
          </w:p>
        </w:tc>
      </w:tr>
      <w:tr w:rsidR="00687D77" w:rsidRPr="00D12A08" w:rsidTr="0089198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6545" w:type="dxa"/>
            <w:noWrap/>
            <w:hideMark/>
          </w:tcPr>
          <w:p w:rsidR="00687D77" w:rsidRDefault="00687D77" w:rsidP="00687D77">
            <w:pPr>
              <w:rPr>
                <w:rFonts w:ascii="Calibri" w:hAnsi="Calibri" w:cs="Calibri"/>
                <w:color w:val="000000"/>
              </w:rPr>
            </w:pPr>
            <w:r>
              <w:rPr>
                <w:rFonts w:ascii="Calibri" w:hAnsi="Calibri" w:cs="Calibri"/>
                <w:color w:val="000000"/>
              </w:rPr>
              <w:t>NAV per Unit</w:t>
            </w:r>
          </w:p>
        </w:tc>
        <w:tc>
          <w:tcPr>
            <w:tcW w:w="2912" w:type="dxa"/>
            <w:noWrap/>
            <w:hideMark/>
          </w:tcPr>
          <w:p w:rsidR="00687D77" w:rsidRDefault="00687D77" w:rsidP="00687D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12.82 </w:t>
            </w:r>
          </w:p>
        </w:tc>
      </w:tr>
      <w:tr w:rsidR="00687D77" w:rsidRPr="00D12A08" w:rsidTr="00891983">
        <w:trPr>
          <w:trHeight w:val="241"/>
        </w:trPr>
        <w:tc>
          <w:tcPr>
            <w:cnfStyle w:val="001000000000" w:firstRow="0" w:lastRow="0" w:firstColumn="1" w:lastColumn="0" w:oddVBand="0" w:evenVBand="0" w:oddHBand="0" w:evenHBand="0" w:firstRowFirstColumn="0" w:firstRowLastColumn="0" w:lastRowFirstColumn="0" w:lastRowLastColumn="0"/>
            <w:tcW w:w="6545" w:type="dxa"/>
            <w:noWrap/>
          </w:tcPr>
          <w:p w:rsidR="00687D77" w:rsidRDefault="00687D77" w:rsidP="00687D77">
            <w:pPr>
              <w:rPr>
                <w:rFonts w:ascii="Calibri" w:hAnsi="Calibri" w:cs="Calibri"/>
                <w:color w:val="000000"/>
              </w:rPr>
            </w:pPr>
            <w:r>
              <w:rPr>
                <w:rFonts w:ascii="Calibri" w:hAnsi="Calibri" w:cs="Calibri"/>
                <w:color w:val="000000"/>
              </w:rPr>
              <w:t xml:space="preserve">Net assets of the Schemes after </w:t>
            </w:r>
            <w:r w:rsidR="005A61AD">
              <w:rPr>
                <w:rFonts w:ascii="Calibri" w:hAnsi="Calibri" w:cs="Calibri"/>
                <w:color w:val="000000"/>
              </w:rPr>
              <w:t>dividend</w:t>
            </w:r>
            <w:r>
              <w:rPr>
                <w:rFonts w:ascii="Calibri" w:hAnsi="Calibri" w:cs="Calibri"/>
                <w:color w:val="000000"/>
              </w:rPr>
              <w:t xml:space="preserve"> adjustment</w:t>
            </w:r>
          </w:p>
        </w:tc>
        <w:tc>
          <w:tcPr>
            <w:tcW w:w="2912" w:type="dxa"/>
            <w:noWrap/>
          </w:tcPr>
          <w:p w:rsidR="00687D77" w:rsidRDefault="00687D77" w:rsidP="00687D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1,366,354,096.81 </w:t>
            </w:r>
          </w:p>
        </w:tc>
      </w:tr>
      <w:tr w:rsidR="00687D77" w:rsidRPr="00D12A08" w:rsidTr="0089198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6545" w:type="dxa"/>
            <w:noWrap/>
            <w:hideMark/>
          </w:tcPr>
          <w:p w:rsidR="00687D77" w:rsidRDefault="00687D77" w:rsidP="00687D77">
            <w:pPr>
              <w:rPr>
                <w:rFonts w:ascii="Calibri" w:hAnsi="Calibri" w:cs="Calibri"/>
                <w:color w:val="000000"/>
              </w:rPr>
            </w:pPr>
            <w:r>
              <w:rPr>
                <w:rFonts w:ascii="Calibri" w:hAnsi="Calibri" w:cs="Calibri"/>
                <w:color w:val="000000"/>
              </w:rPr>
              <w:t>NAV per Unit after div adjustment</w:t>
            </w:r>
          </w:p>
        </w:tc>
        <w:tc>
          <w:tcPr>
            <w:tcW w:w="2912" w:type="dxa"/>
            <w:noWrap/>
            <w:hideMark/>
          </w:tcPr>
          <w:p w:rsidR="00687D77" w:rsidRDefault="00687D77" w:rsidP="00687D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10.51 </w:t>
            </w:r>
          </w:p>
        </w:tc>
      </w:tr>
      <w:tr w:rsidR="00687D77" w:rsidRPr="00D12A08" w:rsidTr="00891983">
        <w:trPr>
          <w:trHeight w:val="188"/>
        </w:trPr>
        <w:tc>
          <w:tcPr>
            <w:cnfStyle w:val="001000000000" w:firstRow="0" w:lastRow="0" w:firstColumn="1" w:lastColumn="0" w:oddVBand="0" w:evenVBand="0" w:oddHBand="0" w:evenHBand="0" w:firstRowFirstColumn="0" w:firstRowLastColumn="0" w:lastRowFirstColumn="0" w:lastRowLastColumn="0"/>
            <w:tcW w:w="6545" w:type="dxa"/>
            <w:noWrap/>
          </w:tcPr>
          <w:p w:rsidR="00687D77" w:rsidRDefault="00687D77" w:rsidP="00687D77">
            <w:pPr>
              <w:rPr>
                <w:rFonts w:ascii="Calibri" w:hAnsi="Calibri" w:cs="Calibri"/>
                <w:color w:val="000000"/>
              </w:rPr>
            </w:pPr>
            <w:r>
              <w:rPr>
                <w:rFonts w:ascii="Calibri" w:hAnsi="Calibri" w:cs="Calibri"/>
                <w:color w:val="000000"/>
              </w:rPr>
              <w:t>Allowable Underwriting (10% of NAV</w:t>
            </w:r>
            <w:r w:rsidR="005A61AD">
              <w:rPr>
                <w:rFonts w:ascii="Calibri" w:hAnsi="Calibri" w:cs="Calibri"/>
                <w:color w:val="000000"/>
              </w:rPr>
              <w:t xml:space="preserve"> after div adj</w:t>
            </w:r>
            <w:r>
              <w:rPr>
                <w:rFonts w:ascii="Calibri" w:hAnsi="Calibri" w:cs="Calibri"/>
                <w:color w:val="000000"/>
              </w:rPr>
              <w:t>)</w:t>
            </w:r>
          </w:p>
        </w:tc>
        <w:tc>
          <w:tcPr>
            <w:tcW w:w="2912" w:type="dxa"/>
            <w:noWrap/>
          </w:tcPr>
          <w:p w:rsidR="00687D77" w:rsidRPr="002E51B7" w:rsidRDefault="005A61AD" w:rsidP="00687D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2E51B7">
              <w:rPr>
                <w:rFonts w:ascii="Calibri" w:hAnsi="Calibri" w:cs="Calibri"/>
                <w:b/>
                <w:color w:val="000000"/>
              </w:rPr>
              <w:t>136,635,409.68</w:t>
            </w:r>
          </w:p>
        </w:tc>
      </w:tr>
    </w:tbl>
    <w:p w:rsidR="00D12A08" w:rsidRDefault="00D12A08" w:rsidP="00B1425F">
      <w:pPr>
        <w:jc w:val="both"/>
        <w:rPr>
          <w:rFonts w:ascii="Arial" w:hAnsi="Arial" w:cs="Arial"/>
          <w:color w:val="000000"/>
          <w:highlight w:val="yellow"/>
        </w:rPr>
      </w:pPr>
    </w:p>
    <w:tbl>
      <w:tblPr>
        <w:tblStyle w:val="GridTable4-Accent3"/>
        <w:tblW w:w="9446" w:type="dxa"/>
        <w:tblLook w:val="04A0" w:firstRow="1" w:lastRow="0" w:firstColumn="1" w:lastColumn="0" w:noHBand="0" w:noVBand="1"/>
      </w:tblPr>
      <w:tblGrid>
        <w:gridCol w:w="6538"/>
        <w:gridCol w:w="2908"/>
      </w:tblGrid>
      <w:tr w:rsidR="00687D77" w:rsidRPr="00D12A08" w:rsidTr="00891983">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9446" w:type="dxa"/>
            <w:gridSpan w:val="2"/>
            <w:noWrap/>
            <w:hideMark/>
          </w:tcPr>
          <w:p w:rsidR="00687D77" w:rsidRPr="00687D77" w:rsidRDefault="00687D77" w:rsidP="0008331A">
            <w:pPr>
              <w:jc w:val="center"/>
              <w:rPr>
                <w:rFonts w:ascii="Calibri" w:eastAsia="Times New Roman" w:hAnsi="Calibri" w:cs="Calibri"/>
                <w:bCs w:val="0"/>
                <w:color w:val="000000"/>
              </w:rPr>
            </w:pPr>
            <w:r w:rsidRPr="00687D77">
              <w:rPr>
                <w:rFonts w:ascii="Calibri" w:eastAsia="Times New Roman" w:hAnsi="Calibri" w:cs="Calibri"/>
                <w:color w:val="000000"/>
              </w:rPr>
              <w:t xml:space="preserve">Underwriting capacity available for Sanima </w:t>
            </w:r>
            <w:r w:rsidRPr="00687D77">
              <w:rPr>
                <w:rFonts w:ascii="Calibri" w:eastAsia="Times New Roman" w:hAnsi="Calibri" w:cs="Calibri"/>
                <w:bCs w:val="0"/>
                <w:color w:val="000000"/>
              </w:rPr>
              <w:t xml:space="preserve">Growth </w:t>
            </w:r>
            <w:proofErr w:type="gramStart"/>
            <w:r w:rsidRPr="00687D77">
              <w:rPr>
                <w:rFonts w:ascii="Calibri" w:eastAsia="Times New Roman" w:hAnsi="Calibri" w:cs="Calibri"/>
                <w:bCs w:val="0"/>
                <w:color w:val="000000"/>
              </w:rPr>
              <w:t>Fund(</w:t>
            </w:r>
            <w:proofErr w:type="gramEnd"/>
            <w:r w:rsidRPr="00687D77">
              <w:rPr>
                <w:rFonts w:ascii="Calibri" w:eastAsia="Times New Roman" w:hAnsi="Calibri" w:cs="Calibri"/>
                <w:bCs w:val="0"/>
                <w:color w:val="000000"/>
              </w:rPr>
              <w:t>S</w:t>
            </w:r>
            <w:r w:rsidR="005A61AD">
              <w:rPr>
                <w:rFonts w:ascii="Calibri" w:eastAsia="Times New Roman" w:hAnsi="Calibri" w:cs="Calibri"/>
                <w:bCs w:val="0"/>
                <w:color w:val="000000"/>
              </w:rPr>
              <w:t>GF</w:t>
            </w:r>
            <w:r w:rsidRPr="00687D77">
              <w:rPr>
                <w:rFonts w:ascii="Calibri" w:eastAsia="Times New Roman" w:hAnsi="Calibri" w:cs="Calibri"/>
                <w:bCs w:val="0"/>
                <w:color w:val="000000"/>
              </w:rPr>
              <w:t>)</w:t>
            </w:r>
          </w:p>
        </w:tc>
      </w:tr>
      <w:tr w:rsidR="00687D77" w:rsidRPr="00D12A08" w:rsidTr="00891983">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6538" w:type="dxa"/>
            <w:noWrap/>
            <w:hideMark/>
          </w:tcPr>
          <w:p w:rsidR="00687D77" w:rsidRDefault="00687D77" w:rsidP="00687D77">
            <w:pPr>
              <w:rPr>
                <w:rFonts w:ascii="Calibri" w:hAnsi="Calibri" w:cs="Calibri"/>
                <w:color w:val="000000"/>
              </w:rPr>
            </w:pPr>
            <w:r>
              <w:rPr>
                <w:rFonts w:ascii="Calibri" w:hAnsi="Calibri" w:cs="Calibri"/>
                <w:color w:val="000000"/>
              </w:rPr>
              <w:t>Net Assets of the Scheme</w:t>
            </w:r>
          </w:p>
        </w:tc>
        <w:tc>
          <w:tcPr>
            <w:tcW w:w="2908" w:type="dxa"/>
            <w:noWrap/>
            <w:hideMark/>
          </w:tcPr>
          <w:p w:rsidR="00687D77" w:rsidRDefault="00687D77" w:rsidP="00687D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686,139,143.42 </w:t>
            </w:r>
          </w:p>
        </w:tc>
      </w:tr>
      <w:tr w:rsidR="00687D77" w:rsidRPr="00D12A08" w:rsidTr="00891983">
        <w:trPr>
          <w:trHeight w:val="224"/>
        </w:trPr>
        <w:tc>
          <w:tcPr>
            <w:cnfStyle w:val="001000000000" w:firstRow="0" w:lastRow="0" w:firstColumn="1" w:lastColumn="0" w:oddVBand="0" w:evenVBand="0" w:oddHBand="0" w:evenHBand="0" w:firstRowFirstColumn="0" w:firstRowLastColumn="0" w:lastRowFirstColumn="0" w:lastRowLastColumn="0"/>
            <w:tcW w:w="6538" w:type="dxa"/>
            <w:noWrap/>
            <w:hideMark/>
          </w:tcPr>
          <w:p w:rsidR="00687D77" w:rsidRDefault="00687D77" w:rsidP="00687D77">
            <w:pPr>
              <w:rPr>
                <w:rFonts w:ascii="Calibri" w:hAnsi="Calibri" w:cs="Calibri"/>
                <w:color w:val="000000"/>
              </w:rPr>
            </w:pPr>
            <w:r>
              <w:rPr>
                <w:rFonts w:ascii="Calibri" w:hAnsi="Calibri" w:cs="Calibri"/>
                <w:color w:val="000000"/>
              </w:rPr>
              <w:t>No. of Units O/s under Scheme</w:t>
            </w:r>
          </w:p>
        </w:tc>
        <w:tc>
          <w:tcPr>
            <w:tcW w:w="2908" w:type="dxa"/>
            <w:noWrap/>
            <w:hideMark/>
          </w:tcPr>
          <w:p w:rsidR="00687D77" w:rsidRDefault="00687D77" w:rsidP="00687D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     67,253,260.00 </w:t>
            </w:r>
          </w:p>
        </w:tc>
      </w:tr>
      <w:tr w:rsidR="00687D77" w:rsidRPr="00D12A08" w:rsidTr="00891983">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6538" w:type="dxa"/>
            <w:noWrap/>
            <w:hideMark/>
          </w:tcPr>
          <w:p w:rsidR="00687D77" w:rsidRDefault="00687D77" w:rsidP="00687D77">
            <w:pPr>
              <w:rPr>
                <w:rFonts w:ascii="Calibri" w:hAnsi="Calibri" w:cs="Calibri"/>
                <w:color w:val="000000"/>
              </w:rPr>
            </w:pPr>
            <w:r>
              <w:rPr>
                <w:rFonts w:ascii="Calibri" w:hAnsi="Calibri" w:cs="Calibri"/>
                <w:color w:val="000000"/>
              </w:rPr>
              <w:t>NAV per Unit</w:t>
            </w:r>
          </w:p>
        </w:tc>
        <w:tc>
          <w:tcPr>
            <w:tcW w:w="2908" w:type="dxa"/>
            <w:noWrap/>
            <w:hideMark/>
          </w:tcPr>
          <w:p w:rsidR="00687D77" w:rsidRDefault="00687D77" w:rsidP="00687D7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10.20 </w:t>
            </w:r>
          </w:p>
        </w:tc>
      </w:tr>
      <w:tr w:rsidR="00687D77" w:rsidRPr="00D12A08" w:rsidTr="00891983">
        <w:trPr>
          <w:trHeight w:val="224"/>
        </w:trPr>
        <w:tc>
          <w:tcPr>
            <w:cnfStyle w:val="001000000000" w:firstRow="0" w:lastRow="0" w:firstColumn="1" w:lastColumn="0" w:oddVBand="0" w:evenVBand="0" w:oddHBand="0" w:evenHBand="0" w:firstRowFirstColumn="0" w:firstRowLastColumn="0" w:lastRowFirstColumn="0" w:lastRowLastColumn="0"/>
            <w:tcW w:w="6538" w:type="dxa"/>
            <w:noWrap/>
          </w:tcPr>
          <w:p w:rsidR="00687D77" w:rsidRDefault="00687D77" w:rsidP="00687D77">
            <w:pPr>
              <w:rPr>
                <w:rFonts w:ascii="Calibri" w:hAnsi="Calibri" w:cs="Calibri"/>
                <w:color w:val="000000"/>
              </w:rPr>
            </w:pPr>
            <w:r>
              <w:rPr>
                <w:rFonts w:ascii="Calibri" w:hAnsi="Calibri" w:cs="Calibri"/>
                <w:color w:val="000000"/>
              </w:rPr>
              <w:t>Allowable Underwriting (10% of NAV)</w:t>
            </w:r>
          </w:p>
        </w:tc>
        <w:tc>
          <w:tcPr>
            <w:tcW w:w="2908" w:type="dxa"/>
            <w:noWrap/>
          </w:tcPr>
          <w:p w:rsidR="00687D77" w:rsidRPr="00687D77" w:rsidRDefault="00687D77" w:rsidP="00687D77">
            <w:pPr>
              <w:jc w:val="right"/>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Pr>
                <w:rFonts w:ascii="Calibri" w:hAnsi="Calibri" w:cs="Calibri"/>
                <w:color w:val="000000"/>
              </w:rPr>
              <w:t xml:space="preserve">     </w:t>
            </w:r>
            <w:r w:rsidRPr="00687D77">
              <w:rPr>
                <w:rFonts w:ascii="Calibri" w:hAnsi="Calibri" w:cs="Calibri"/>
                <w:b/>
                <w:color w:val="000000"/>
              </w:rPr>
              <w:t xml:space="preserve">68,613,914.34 </w:t>
            </w:r>
          </w:p>
        </w:tc>
      </w:tr>
    </w:tbl>
    <w:p w:rsidR="00687D77" w:rsidRDefault="00687D77" w:rsidP="00B1425F">
      <w:pPr>
        <w:jc w:val="both"/>
        <w:rPr>
          <w:rFonts w:ascii="Arial" w:hAnsi="Arial" w:cs="Arial"/>
          <w:color w:val="000000"/>
          <w:highlight w:val="yellow"/>
        </w:rPr>
      </w:pPr>
    </w:p>
    <w:p w:rsidR="00637867" w:rsidRDefault="00637867" w:rsidP="00B1425F">
      <w:pPr>
        <w:jc w:val="both"/>
        <w:rPr>
          <w:rStyle w:val="Strong"/>
        </w:rPr>
      </w:pPr>
      <w:r w:rsidRPr="00637867">
        <w:rPr>
          <w:rStyle w:val="Strong"/>
        </w:rPr>
        <w:t>Tentative Underwriting Details.</w:t>
      </w:r>
    </w:p>
    <w:tbl>
      <w:tblPr>
        <w:tblStyle w:val="GridTable4-Accent3"/>
        <w:tblW w:w="9438" w:type="dxa"/>
        <w:tblLook w:val="04A0" w:firstRow="1" w:lastRow="0" w:firstColumn="1" w:lastColumn="0" w:noHBand="0" w:noVBand="1"/>
      </w:tblPr>
      <w:tblGrid>
        <w:gridCol w:w="2875"/>
        <w:gridCol w:w="2610"/>
        <w:gridCol w:w="1710"/>
        <w:gridCol w:w="2243"/>
      </w:tblGrid>
      <w:tr w:rsidR="00F805C2" w:rsidRPr="008E52EC" w:rsidTr="00F805C2">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875" w:type="dxa"/>
            <w:noWrap/>
            <w:hideMark/>
          </w:tcPr>
          <w:p w:rsidR="008E52EC" w:rsidRPr="008E52EC" w:rsidRDefault="008E52EC" w:rsidP="008E52EC">
            <w:pPr>
              <w:rPr>
                <w:rFonts w:ascii="Calibri" w:eastAsia="Times New Roman" w:hAnsi="Calibri" w:cs="Calibri"/>
                <w:color w:val="000000"/>
              </w:rPr>
            </w:pPr>
            <w:r w:rsidRPr="008E52EC">
              <w:rPr>
                <w:rFonts w:ascii="Calibri" w:eastAsia="Times New Roman" w:hAnsi="Calibri" w:cs="Calibri"/>
                <w:color w:val="000000"/>
              </w:rPr>
              <w:t xml:space="preserve">Underwriter </w:t>
            </w:r>
          </w:p>
        </w:tc>
        <w:tc>
          <w:tcPr>
            <w:tcW w:w="2610" w:type="dxa"/>
            <w:noWrap/>
            <w:hideMark/>
          </w:tcPr>
          <w:p w:rsidR="008E52EC" w:rsidRPr="008E52EC" w:rsidRDefault="008E52EC" w:rsidP="008E52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Tentative Amount (Crore)</w:t>
            </w:r>
          </w:p>
        </w:tc>
        <w:tc>
          <w:tcPr>
            <w:tcW w:w="1710" w:type="dxa"/>
            <w:noWrap/>
            <w:hideMark/>
          </w:tcPr>
          <w:p w:rsidR="008E52EC" w:rsidRPr="008E52EC" w:rsidRDefault="008E52EC" w:rsidP="008E52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Rate %</w:t>
            </w:r>
          </w:p>
        </w:tc>
        <w:tc>
          <w:tcPr>
            <w:tcW w:w="2243" w:type="dxa"/>
            <w:noWrap/>
            <w:hideMark/>
          </w:tcPr>
          <w:p w:rsidR="008E52EC" w:rsidRPr="008E52EC" w:rsidRDefault="008E52EC" w:rsidP="008E52E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Tentative fee</w:t>
            </w:r>
            <w:r w:rsidR="00F805C2">
              <w:rPr>
                <w:rFonts w:ascii="Calibri" w:eastAsia="Times New Roman" w:hAnsi="Calibri" w:cs="Calibri"/>
                <w:color w:val="000000"/>
              </w:rPr>
              <w:t xml:space="preserve"> </w:t>
            </w:r>
            <w:r w:rsidRPr="008E52EC">
              <w:rPr>
                <w:rFonts w:ascii="Calibri" w:eastAsia="Times New Roman" w:hAnsi="Calibri" w:cs="Calibri"/>
                <w:color w:val="000000"/>
              </w:rPr>
              <w:t>(Rs.)</w:t>
            </w:r>
          </w:p>
        </w:tc>
      </w:tr>
      <w:tr w:rsidR="00F805C2" w:rsidRPr="008E52EC" w:rsidTr="00F805C2">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875" w:type="dxa"/>
            <w:noWrap/>
            <w:hideMark/>
          </w:tcPr>
          <w:p w:rsidR="008E52EC" w:rsidRPr="008E52EC" w:rsidRDefault="008E52EC" w:rsidP="008E52EC">
            <w:pPr>
              <w:rPr>
                <w:rFonts w:ascii="Calibri" w:eastAsia="Times New Roman" w:hAnsi="Calibri" w:cs="Calibri"/>
                <w:color w:val="000000"/>
              </w:rPr>
            </w:pPr>
            <w:proofErr w:type="spellStart"/>
            <w:r w:rsidRPr="008E52EC">
              <w:rPr>
                <w:rFonts w:ascii="Calibri" w:eastAsia="Times New Roman" w:hAnsi="Calibri" w:cs="Calibri"/>
                <w:color w:val="000000"/>
              </w:rPr>
              <w:t>Sanima</w:t>
            </w:r>
            <w:proofErr w:type="spellEnd"/>
            <w:r w:rsidRPr="008E52EC">
              <w:rPr>
                <w:rFonts w:ascii="Calibri" w:eastAsia="Times New Roman" w:hAnsi="Calibri" w:cs="Calibri"/>
                <w:color w:val="000000"/>
              </w:rPr>
              <w:t xml:space="preserve"> Capital Ltd</w:t>
            </w:r>
          </w:p>
        </w:tc>
        <w:tc>
          <w:tcPr>
            <w:tcW w:w="2610" w:type="dxa"/>
            <w:noWrap/>
            <w:hideMark/>
          </w:tcPr>
          <w:p w:rsidR="008E52EC" w:rsidRPr="008E52EC" w:rsidRDefault="008E52EC" w:rsidP="00F805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80</w:t>
            </w:r>
          </w:p>
        </w:tc>
        <w:tc>
          <w:tcPr>
            <w:tcW w:w="1710" w:type="dxa"/>
            <w:noWrap/>
            <w:hideMark/>
          </w:tcPr>
          <w:p w:rsidR="008E52EC" w:rsidRPr="008E52EC" w:rsidRDefault="008E52EC" w:rsidP="00F805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0.40%</w:t>
            </w:r>
          </w:p>
        </w:tc>
        <w:tc>
          <w:tcPr>
            <w:tcW w:w="2243" w:type="dxa"/>
            <w:noWrap/>
            <w:hideMark/>
          </w:tcPr>
          <w:p w:rsidR="008E52EC" w:rsidRPr="008E52EC" w:rsidRDefault="008E52EC" w:rsidP="00F805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 xml:space="preserve"> 3,200,000 </w:t>
            </w:r>
          </w:p>
        </w:tc>
      </w:tr>
      <w:tr w:rsidR="00F805C2" w:rsidRPr="008E52EC" w:rsidTr="00F805C2">
        <w:trPr>
          <w:trHeight w:val="212"/>
        </w:trPr>
        <w:tc>
          <w:tcPr>
            <w:cnfStyle w:val="001000000000" w:firstRow="0" w:lastRow="0" w:firstColumn="1" w:lastColumn="0" w:oddVBand="0" w:evenVBand="0" w:oddHBand="0" w:evenHBand="0" w:firstRowFirstColumn="0" w:firstRowLastColumn="0" w:lastRowFirstColumn="0" w:lastRowLastColumn="0"/>
            <w:tcW w:w="2875" w:type="dxa"/>
            <w:noWrap/>
            <w:hideMark/>
          </w:tcPr>
          <w:p w:rsidR="008E52EC" w:rsidRPr="008E52EC" w:rsidRDefault="008E52EC" w:rsidP="008E52EC">
            <w:pPr>
              <w:rPr>
                <w:rFonts w:ascii="Calibri" w:eastAsia="Times New Roman" w:hAnsi="Calibri" w:cs="Calibri"/>
                <w:color w:val="000000"/>
              </w:rPr>
            </w:pPr>
            <w:proofErr w:type="spellStart"/>
            <w:r w:rsidRPr="008E52EC">
              <w:rPr>
                <w:rFonts w:ascii="Calibri" w:eastAsia="Times New Roman" w:hAnsi="Calibri" w:cs="Calibri"/>
                <w:color w:val="000000"/>
              </w:rPr>
              <w:t>Sanima</w:t>
            </w:r>
            <w:proofErr w:type="spellEnd"/>
            <w:r w:rsidRPr="008E52EC">
              <w:rPr>
                <w:rFonts w:ascii="Calibri" w:eastAsia="Times New Roman" w:hAnsi="Calibri" w:cs="Calibri"/>
                <w:color w:val="000000"/>
              </w:rPr>
              <w:t xml:space="preserve"> Equity Fund</w:t>
            </w:r>
          </w:p>
        </w:tc>
        <w:tc>
          <w:tcPr>
            <w:tcW w:w="2610" w:type="dxa"/>
            <w:noWrap/>
            <w:hideMark/>
          </w:tcPr>
          <w:p w:rsidR="008E52EC" w:rsidRPr="008E52EC" w:rsidRDefault="008E52EC" w:rsidP="00F805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13.5</w:t>
            </w:r>
          </w:p>
        </w:tc>
        <w:tc>
          <w:tcPr>
            <w:tcW w:w="1710" w:type="dxa"/>
            <w:noWrap/>
            <w:hideMark/>
          </w:tcPr>
          <w:p w:rsidR="008E52EC" w:rsidRPr="008E52EC" w:rsidRDefault="008E52EC" w:rsidP="00F805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0.40%</w:t>
            </w:r>
          </w:p>
        </w:tc>
        <w:tc>
          <w:tcPr>
            <w:tcW w:w="2243" w:type="dxa"/>
            <w:noWrap/>
            <w:hideMark/>
          </w:tcPr>
          <w:p w:rsidR="008E52EC" w:rsidRPr="008E52EC" w:rsidRDefault="008E52EC" w:rsidP="00F805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 xml:space="preserve"> 540,000 </w:t>
            </w:r>
          </w:p>
        </w:tc>
      </w:tr>
      <w:tr w:rsidR="00F805C2" w:rsidRPr="008E52EC" w:rsidTr="00F805C2">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875" w:type="dxa"/>
            <w:noWrap/>
            <w:hideMark/>
          </w:tcPr>
          <w:p w:rsidR="008E52EC" w:rsidRPr="008E52EC" w:rsidRDefault="008E52EC" w:rsidP="008E52EC">
            <w:pPr>
              <w:rPr>
                <w:rFonts w:ascii="Calibri" w:eastAsia="Times New Roman" w:hAnsi="Calibri" w:cs="Calibri"/>
                <w:color w:val="000000"/>
              </w:rPr>
            </w:pPr>
            <w:proofErr w:type="spellStart"/>
            <w:r w:rsidRPr="008E52EC">
              <w:rPr>
                <w:rFonts w:ascii="Calibri" w:eastAsia="Times New Roman" w:hAnsi="Calibri" w:cs="Calibri"/>
                <w:color w:val="000000"/>
              </w:rPr>
              <w:t>Sanima</w:t>
            </w:r>
            <w:proofErr w:type="spellEnd"/>
            <w:r w:rsidRPr="008E52EC">
              <w:rPr>
                <w:rFonts w:ascii="Calibri" w:eastAsia="Times New Roman" w:hAnsi="Calibri" w:cs="Calibri"/>
                <w:color w:val="000000"/>
              </w:rPr>
              <w:t xml:space="preserve"> Growth Fund</w:t>
            </w:r>
          </w:p>
        </w:tc>
        <w:tc>
          <w:tcPr>
            <w:tcW w:w="2610" w:type="dxa"/>
            <w:noWrap/>
            <w:hideMark/>
          </w:tcPr>
          <w:p w:rsidR="008E52EC" w:rsidRPr="008E52EC" w:rsidRDefault="008E52EC" w:rsidP="00F805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6.5</w:t>
            </w:r>
          </w:p>
        </w:tc>
        <w:tc>
          <w:tcPr>
            <w:tcW w:w="1710" w:type="dxa"/>
            <w:noWrap/>
            <w:hideMark/>
          </w:tcPr>
          <w:p w:rsidR="008E52EC" w:rsidRPr="008E52EC" w:rsidRDefault="008E52EC" w:rsidP="00F805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0.40%</w:t>
            </w:r>
          </w:p>
        </w:tc>
        <w:tc>
          <w:tcPr>
            <w:tcW w:w="2243" w:type="dxa"/>
            <w:noWrap/>
            <w:hideMark/>
          </w:tcPr>
          <w:p w:rsidR="008E52EC" w:rsidRPr="008E52EC" w:rsidRDefault="008E52EC" w:rsidP="00F805C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 xml:space="preserve"> 260,000 </w:t>
            </w:r>
          </w:p>
        </w:tc>
      </w:tr>
      <w:tr w:rsidR="00F805C2" w:rsidRPr="008E52EC" w:rsidTr="00F805C2">
        <w:trPr>
          <w:trHeight w:val="212"/>
        </w:trPr>
        <w:tc>
          <w:tcPr>
            <w:cnfStyle w:val="001000000000" w:firstRow="0" w:lastRow="0" w:firstColumn="1" w:lastColumn="0" w:oddVBand="0" w:evenVBand="0" w:oddHBand="0" w:evenHBand="0" w:firstRowFirstColumn="0" w:firstRowLastColumn="0" w:lastRowFirstColumn="0" w:lastRowLastColumn="0"/>
            <w:tcW w:w="2875" w:type="dxa"/>
            <w:noWrap/>
            <w:hideMark/>
          </w:tcPr>
          <w:p w:rsidR="008E52EC" w:rsidRPr="008E52EC" w:rsidRDefault="008E52EC" w:rsidP="008E52EC">
            <w:pPr>
              <w:rPr>
                <w:rFonts w:ascii="Calibri" w:eastAsia="Times New Roman" w:hAnsi="Calibri" w:cs="Calibri"/>
                <w:color w:val="000000"/>
              </w:rPr>
            </w:pPr>
            <w:r w:rsidRPr="008E52EC">
              <w:rPr>
                <w:rFonts w:ascii="Calibri" w:eastAsia="Times New Roman" w:hAnsi="Calibri" w:cs="Calibri"/>
                <w:color w:val="000000"/>
              </w:rPr>
              <w:t>Total</w:t>
            </w:r>
          </w:p>
        </w:tc>
        <w:tc>
          <w:tcPr>
            <w:tcW w:w="2610" w:type="dxa"/>
            <w:noWrap/>
            <w:hideMark/>
          </w:tcPr>
          <w:p w:rsidR="008E52EC" w:rsidRPr="008E52EC" w:rsidRDefault="008E52EC" w:rsidP="00F805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100</w:t>
            </w:r>
          </w:p>
        </w:tc>
        <w:tc>
          <w:tcPr>
            <w:tcW w:w="1710" w:type="dxa"/>
            <w:noWrap/>
            <w:hideMark/>
          </w:tcPr>
          <w:p w:rsidR="008E52EC" w:rsidRPr="008E52EC" w:rsidRDefault="008E52EC" w:rsidP="00F805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 </w:t>
            </w:r>
          </w:p>
        </w:tc>
        <w:tc>
          <w:tcPr>
            <w:tcW w:w="2243" w:type="dxa"/>
            <w:noWrap/>
            <w:hideMark/>
          </w:tcPr>
          <w:p w:rsidR="008E52EC" w:rsidRPr="008E52EC" w:rsidRDefault="008E52EC" w:rsidP="00F805C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 </w:t>
            </w:r>
          </w:p>
        </w:tc>
      </w:tr>
    </w:tbl>
    <w:p w:rsidR="008E52EC" w:rsidRDefault="008E52EC" w:rsidP="00B1425F">
      <w:pPr>
        <w:jc w:val="both"/>
        <w:rPr>
          <w:rStyle w:val="Strong"/>
        </w:rPr>
      </w:pPr>
    </w:p>
    <w:p w:rsidR="00F805C2" w:rsidRDefault="00F805C2" w:rsidP="00B1425F">
      <w:pPr>
        <w:jc w:val="both"/>
        <w:rPr>
          <w:rStyle w:val="Strong"/>
        </w:rPr>
      </w:pPr>
    </w:p>
    <w:p w:rsidR="00B1425F" w:rsidRPr="00D02DB8" w:rsidRDefault="00E60F41" w:rsidP="00B1425F">
      <w:pPr>
        <w:jc w:val="both"/>
        <w:rPr>
          <w:rStyle w:val="Strong"/>
          <w:rFonts w:ascii="Arial" w:hAnsi="Arial" w:cs="Arial"/>
        </w:rPr>
      </w:pPr>
      <w:r w:rsidRPr="00D02DB8">
        <w:rPr>
          <w:rStyle w:val="Strong"/>
          <w:rFonts w:ascii="Arial" w:hAnsi="Arial" w:cs="Arial"/>
          <w:color w:val="000000"/>
        </w:rPr>
        <w:lastRenderedPageBreak/>
        <w:t>Background of the company</w:t>
      </w:r>
      <w:r w:rsidR="00B1425F" w:rsidRPr="00D02DB8">
        <w:rPr>
          <w:rStyle w:val="Strong"/>
          <w:rFonts w:ascii="Arial" w:hAnsi="Arial" w:cs="Arial"/>
          <w:color w:val="000000"/>
        </w:rPr>
        <w:t>.</w:t>
      </w:r>
    </w:p>
    <w:p w:rsidR="00BC6FAB" w:rsidRPr="00BC6FAB" w:rsidRDefault="00BC6FAB" w:rsidP="00BC6FAB">
      <w:pPr>
        <w:jc w:val="both"/>
        <w:rPr>
          <w:rFonts w:ascii="Arial" w:hAnsi="Arial" w:cs="Arial"/>
          <w:color w:val="000000"/>
        </w:rPr>
      </w:pPr>
      <w:r>
        <w:rPr>
          <w:rFonts w:ascii="Arial" w:hAnsi="Arial" w:cs="Arial"/>
          <w:color w:val="000000"/>
        </w:rPr>
        <w:t>H</w:t>
      </w:r>
      <w:r w:rsidRPr="00BC6FAB">
        <w:rPr>
          <w:rFonts w:ascii="Arial" w:hAnsi="Arial" w:cs="Arial"/>
          <w:color w:val="000000"/>
        </w:rPr>
        <w:t xml:space="preserve">SPL is a part of the </w:t>
      </w:r>
      <w:proofErr w:type="spellStart"/>
      <w:r w:rsidRPr="00BC6FAB">
        <w:rPr>
          <w:rFonts w:ascii="Arial" w:hAnsi="Arial" w:cs="Arial"/>
          <w:color w:val="000000"/>
        </w:rPr>
        <w:t>Shanker</w:t>
      </w:r>
      <w:proofErr w:type="spellEnd"/>
      <w:r w:rsidRPr="00BC6FAB">
        <w:rPr>
          <w:rFonts w:ascii="Arial" w:hAnsi="Arial" w:cs="Arial"/>
          <w:color w:val="000000"/>
        </w:rPr>
        <w:t xml:space="preserve"> Group, a conglomerate with a strong presence in Nepal across various industries. This affiliation with the </w:t>
      </w:r>
      <w:proofErr w:type="spellStart"/>
      <w:r w:rsidRPr="00BC6FAB">
        <w:rPr>
          <w:rFonts w:ascii="Arial" w:hAnsi="Arial" w:cs="Arial"/>
          <w:color w:val="000000"/>
        </w:rPr>
        <w:t>Shanker</w:t>
      </w:r>
      <w:proofErr w:type="spellEnd"/>
      <w:r w:rsidRPr="00BC6FAB">
        <w:rPr>
          <w:rFonts w:ascii="Arial" w:hAnsi="Arial" w:cs="Arial"/>
          <w:color w:val="000000"/>
        </w:rPr>
        <w:t xml:space="preserve"> Group suggests a solid foundation of support and resources, which can contribute to JSPL's growth and success in the steel industry.</w:t>
      </w:r>
    </w:p>
    <w:p w:rsidR="00BC6FAB" w:rsidRDefault="00BC6FAB" w:rsidP="00BC6FAB">
      <w:pPr>
        <w:jc w:val="both"/>
        <w:rPr>
          <w:rFonts w:ascii="Arial" w:hAnsi="Arial" w:cs="Arial"/>
          <w:color w:val="000000"/>
          <w:highlight w:val="yellow"/>
        </w:rPr>
      </w:pPr>
      <w:r>
        <w:rPr>
          <w:rFonts w:ascii="Arial" w:hAnsi="Arial" w:cs="Arial"/>
          <w:color w:val="000000"/>
        </w:rPr>
        <w:t>I</w:t>
      </w:r>
      <w:r w:rsidRPr="00BC6FAB">
        <w:rPr>
          <w:rFonts w:ascii="Arial" w:hAnsi="Arial" w:cs="Arial"/>
          <w:color w:val="000000"/>
        </w:rPr>
        <w:t>ncorporated in 1993 and based in Bara, Nepal, JSPL is a prominent player in the steel manufacturing sector in the region. With its extensive manufacturing capacity and diverse product range, it plays a crucial role in meeting the demand for steel products in Nepal and potentially in neighboring regions</w:t>
      </w:r>
      <w:r>
        <w:rPr>
          <w:rFonts w:ascii="Arial" w:hAnsi="Arial" w:cs="Arial"/>
          <w:color w:val="000000"/>
        </w:rPr>
        <w:t>.</w:t>
      </w:r>
      <w:r w:rsidRPr="00BC6FAB">
        <w:rPr>
          <w:rFonts w:ascii="Arial" w:hAnsi="Arial" w:cs="Arial"/>
          <w:color w:val="000000"/>
          <w:highlight w:val="yellow"/>
        </w:rPr>
        <w:t xml:space="preserve"> </w:t>
      </w:r>
    </w:p>
    <w:p w:rsidR="00E60F41" w:rsidRPr="00BC6FAB" w:rsidRDefault="00363510" w:rsidP="00B1425F">
      <w:pPr>
        <w:jc w:val="both"/>
        <w:rPr>
          <w:rFonts w:ascii="Arial" w:hAnsi="Arial" w:cs="Arial"/>
          <w:color w:val="000000"/>
        </w:rPr>
      </w:pPr>
      <w:r w:rsidRPr="00BC6FAB">
        <w:rPr>
          <w:rFonts w:ascii="Arial" w:hAnsi="Arial" w:cs="Arial"/>
          <w:color w:val="000000"/>
        </w:rPr>
        <w:t>Share structure of the company is divided into</w:t>
      </w:r>
      <w:r w:rsidR="0019668D" w:rsidRPr="00BC6FAB">
        <w:rPr>
          <w:rFonts w:ascii="Arial" w:hAnsi="Arial" w:cs="Arial"/>
          <w:color w:val="000000"/>
        </w:rPr>
        <w:t>70</w:t>
      </w:r>
      <w:r w:rsidR="0040388A" w:rsidRPr="00BC6FAB">
        <w:rPr>
          <w:rFonts w:ascii="Arial" w:hAnsi="Arial" w:cs="Arial"/>
          <w:color w:val="000000"/>
        </w:rPr>
        <w:t>:</w:t>
      </w:r>
      <w:r w:rsidR="0019668D" w:rsidRPr="00BC6FAB">
        <w:rPr>
          <w:rFonts w:ascii="Arial" w:hAnsi="Arial" w:cs="Arial"/>
          <w:color w:val="000000"/>
        </w:rPr>
        <w:t>30</w:t>
      </w:r>
      <w:r w:rsidRPr="00BC6FAB">
        <w:rPr>
          <w:rFonts w:ascii="Arial" w:hAnsi="Arial" w:cs="Arial"/>
          <w:color w:val="000000"/>
        </w:rPr>
        <w:t xml:space="preserve"> ratio, </w:t>
      </w:r>
      <w:r w:rsidR="00BC6FAB" w:rsidRPr="00BC6FAB">
        <w:rPr>
          <w:rFonts w:ascii="Arial" w:hAnsi="Arial" w:cs="Arial"/>
          <w:color w:val="000000"/>
        </w:rPr>
        <w:t>7</w:t>
      </w:r>
      <w:r w:rsidR="00B45CF6" w:rsidRPr="00BC6FAB">
        <w:rPr>
          <w:rFonts w:ascii="Arial" w:hAnsi="Arial" w:cs="Arial"/>
          <w:color w:val="000000"/>
        </w:rPr>
        <w:t>0</w:t>
      </w:r>
      <w:r w:rsidR="0040388A" w:rsidRPr="00BC6FAB">
        <w:rPr>
          <w:rFonts w:ascii="Arial" w:hAnsi="Arial" w:cs="Arial"/>
          <w:color w:val="000000"/>
        </w:rPr>
        <w:t>%</w:t>
      </w:r>
      <w:r w:rsidRPr="00BC6FAB">
        <w:rPr>
          <w:rFonts w:ascii="Arial" w:hAnsi="Arial" w:cs="Arial"/>
          <w:color w:val="000000"/>
        </w:rPr>
        <w:t xml:space="preserve"> is being held by the promoters while </w:t>
      </w:r>
      <w:r w:rsidR="00BC6FAB" w:rsidRPr="00BC6FAB">
        <w:rPr>
          <w:rFonts w:ascii="Arial" w:hAnsi="Arial" w:cs="Arial"/>
          <w:color w:val="000000"/>
        </w:rPr>
        <w:t>3</w:t>
      </w:r>
      <w:r w:rsidR="00B45CF6" w:rsidRPr="00BC6FAB">
        <w:rPr>
          <w:rFonts w:ascii="Arial" w:hAnsi="Arial" w:cs="Arial"/>
          <w:color w:val="000000"/>
        </w:rPr>
        <w:t>0</w:t>
      </w:r>
      <w:r w:rsidRPr="00BC6FAB">
        <w:rPr>
          <w:rFonts w:ascii="Arial" w:hAnsi="Arial" w:cs="Arial"/>
          <w:color w:val="000000"/>
        </w:rPr>
        <w:t>% has been set aside for public offerings.</w:t>
      </w:r>
    </w:p>
    <w:p w:rsidR="007D6C67" w:rsidRPr="003912F4" w:rsidRDefault="00B1425F" w:rsidP="00B1425F">
      <w:pPr>
        <w:jc w:val="both"/>
        <w:rPr>
          <w:rFonts w:ascii="Arial" w:hAnsi="Arial" w:cs="Arial"/>
          <w:b/>
          <w:bCs/>
          <w:color w:val="000000"/>
        </w:rPr>
      </w:pPr>
      <w:r w:rsidRPr="003912F4">
        <w:rPr>
          <w:rFonts w:ascii="Arial" w:hAnsi="Arial" w:cs="Arial"/>
          <w:b/>
          <w:bCs/>
          <w:color w:val="000000"/>
        </w:rPr>
        <w:t>Board &amp; Management Detail</w:t>
      </w:r>
    </w:p>
    <w:p w:rsidR="007D6C67" w:rsidRPr="003912F4" w:rsidRDefault="007D6C67" w:rsidP="00B1425F">
      <w:pPr>
        <w:jc w:val="both"/>
        <w:rPr>
          <w:rFonts w:ascii="Arial" w:hAnsi="Arial" w:cs="Arial"/>
          <w:b/>
          <w:bCs/>
          <w:color w:val="000000"/>
        </w:rPr>
      </w:pPr>
      <w:r w:rsidRPr="003912F4">
        <w:rPr>
          <w:rFonts w:ascii="Arial" w:hAnsi="Arial" w:cs="Arial"/>
          <w:b/>
          <w:bCs/>
          <w:color w:val="000000"/>
        </w:rPr>
        <w:t>Board Member Details</w:t>
      </w:r>
    </w:p>
    <w:tbl>
      <w:tblPr>
        <w:tblStyle w:val="GridTable4-Accent3"/>
        <w:tblW w:w="5270" w:type="pct"/>
        <w:tblLook w:val="04A0" w:firstRow="1" w:lastRow="0" w:firstColumn="1" w:lastColumn="0" w:noHBand="0" w:noVBand="1"/>
      </w:tblPr>
      <w:tblGrid>
        <w:gridCol w:w="644"/>
        <w:gridCol w:w="2538"/>
        <w:gridCol w:w="1475"/>
        <w:gridCol w:w="5198"/>
      </w:tblGrid>
      <w:tr w:rsidR="00931238" w:rsidRPr="005613A3" w:rsidTr="002E51B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6" w:type="pct"/>
            <w:hideMark/>
          </w:tcPr>
          <w:p w:rsidR="00931238" w:rsidRPr="002E51B7" w:rsidRDefault="00931238" w:rsidP="00931238">
            <w:pPr>
              <w:rPr>
                <w:rFonts w:ascii="Arial" w:eastAsia="Calibri" w:hAnsi="Arial" w:cs="Arial"/>
                <w:b w:val="0"/>
                <w:bCs w:val="0"/>
                <w:color w:val="000000" w:themeColor="text1"/>
              </w:rPr>
            </w:pPr>
            <w:proofErr w:type="gramStart"/>
            <w:r w:rsidRPr="002E51B7">
              <w:rPr>
                <w:rFonts w:ascii="Arial" w:hAnsi="Arial" w:cs="Arial"/>
                <w:color w:val="000000" w:themeColor="text1"/>
              </w:rPr>
              <w:t>S.N</w:t>
            </w:r>
            <w:proofErr w:type="gramEnd"/>
          </w:p>
        </w:tc>
        <w:tc>
          <w:tcPr>
            <w:tcW w:w="1297" w:type="pct"/>
            <w:hideMark/>
          </w:tcPr>
          <w:p w:rsidR="00931238" w:rsidRPr="002E51B7" w:rsidRDefault="00931238" w:rsidP="00931238">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000000" w:themeColor="text1"/>
              </w:rPr>
            </w:pPr>
            <w:r w:rsidRPr="002E51B7">
              <w:rPr>
                <w:rFonts w:ascii="Arial" w:hAnsi="Arial" w:cs="Arial"/>
                <w:color w:val="000000" w:themeColor="text1"/>
              </w:rPr>
              <w:t>Name</w:t>
            </w:r>
          </w:p>
        </w:tc>
        <w:tc>
          <w:tcPr>
            <w:tcW w:w="721" w:type="pct"/>
          </w:tcPr>
          <w:p w:rsidR="00931238" w:rsidRPr="002E51B7" w:rsidRDefault="00931238" w:rsidP="00931238">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000000" w:themeColor="text1"/>
              </w:rPr>
            </w:pPr>
            <w:r w:rsidRPr="002E51B7">
              <w:rPr>
                <w:rFonts w:ascii="Arial" w:hAnsi="Arial" w:cs="Arial"/>
                <w:color w:val="000000" w:themeColor="text1"/>
              </w:rPr>
              <w:t>Designation</w:t>
            </w:r>
          </w:p>
        </w:tc>
        <w:tc>
          <w:tcPr>
            <w:tcW w:w="2646" w:type="pct"/>
          </w:tcPr>
          <w:p w:rsidR="00931238" w:rsidRPr="002E51B7" w:rsidRDefault="005222A6" w:rsidP="00931238">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2E51B7">
              <w:rPr>
                <w:rFonts w:ascii="Arial" w:hAnsi="Arial" w:cs="Arial"/>
                <w:color w:val="000000" w:themeColor="text1"/>
              </w:rPr>
              <w:t>Remar</w:t>
            </w:r>
            <w:r w:rsidR="00E20607" w:rsidRPr="002E51B7">
              <w:rPr>
                <w:rFonts w:ascii="Arial" w:hAnsi="Arial" w:cs="Arial"/>
                <w:color w:val="000000" w:themeColor="text1"/>
              </w:rPr>
              <w:t>k</w:t>
            </w:r>
          </w:p>
        </w:tc>
      </w:tr>
      <w:tr w:rsidR="00931238" w:rsidRPr="005613A3" w:rsidTr="002E51B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6" w:type="pct"/>
            <w:hideMark/>
          </w:tcPr>
          <w:p w:rsidR="00931238" w:rsidRPr="0019751B" w:rsidRDefault="00931238" w:rsidP="00931238">
            <w:pPr>
              <w:rPr>
                <w:rFonts w:ascii="Arial" w:eastAsia="Calibri" w:hAnsi="Arial" w:cs="Arial"/>
              </w:rPr>
            </w:pPr>
            <w:r w:rsidRPr="0019751B">
              <w:rPr>
                <w:rFonts w:ascii="Arial" w:hAnsi="Arial" w:cs="Arial"/>
              </w:rPr>
              <w:t>1</w:t>
            </w:r>
          </w:p>
        </w:tc>
        <w:tc>
          <w:tcPr>
            <w:tcW w:w="1297" w:type="pct"/>
            <w:hideMark/>
          </w:tcPr>
          <w:p w:rsidR="00931238" w:rsidRPr="0019751B" w:rsidRDefault="004B19CC" w:rsidP="00931238">
            <w:pPr>
              <w:pStyle w:val="Heading2"/>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9751B">
              <w:rPr>
                <w:rFonts w:ascii="Arial" w:eastAsiaTheme="minorEastAsia" w:hAnsi="Arial" w:cs="Arial"/>
                <w:color w:val="auto"/>
                <w:sz w:val="22"/>
                <w:szCs w:val="22"/>
              </w:rPr>
              <w:t xml:space="preserve">Mr. </w:t>
            </w:r>
            <w:proofErr w:type="spellStart"/>
            <w:r w:rsidR="0019751B" w:rsidRPr="0019751B">
              <w:rPr>
                <w:rFonts w:ascii="Arial" w:eastAsiaTheme="minorEastAsia" w:hAnsi="Arial" w:cs="Arial"/>
                <w:color w:val="auto"/>
                <w:sz w:val="22"/>
                <w:szCs w:val="22"/>
              </w:rPr>
              <w:t>Shahil</w:t>
            </w:r>
            <w:proofErr w:type="spellEnd"/>
            <w:r w:rsidR="0019751B" w:rsidRPr="0019751B">
              <w:rPr>
                <w:rFonts w:ascii="Arial" w:eastAsiaTheme="minorEastAsia" w:hAnsi="Arial" w:cs="Arial"/>
                <w:color w:val="auto"/>
                <w:sz w:val="22"/>
                <w:szCs w:val="22"/>
              </w:rPr>
              <w:t xml:space="preserve"> Agrawal</w:t>
            </w:r>
          </w:p>
        </w:tc>
        <w:tc>
          <w:tcPr>
            <w:tcW w:w="721" w:type="pct"/>
          </w:tcPr>
          <w:p w:rsidR="00931238" w:rsidRPr="0019751B" w:rsidRDefault="00931238" w:rsidP="00931238">
            <w:pP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19751B">
              <w:rPr>
                <w:rFonts w:ascii="Arial" w:hAnsi="Arial" w:cs="Arial"/>
              </w:rPr>
              <w:t>Chairman</w:t>
            </w:r>
          </w:p>
        </w:tc>
        <w:tc>
          <w:tcPr>
            <w:tcW w:w="2646" w:type="pct"/>
          </w:tcPr>
          <w:p w:rsidR="00931238" w:rsidRPr="005613A3" w:rsidRDefault="0019751B" w:rsidP="0019751B">
            <w:pPr>
              <w:pStyle w:val="Heading2"/>
              <w:outlineLvl w:val="1"/>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19751B">
              <w:rPr>
                <w:rFonts w:ascii="Arial" w:eastAsiaTheme="minorEastAsia" w:hAnsi="Arial" w:cs="Arial"/>
                <w:color w:val="auto"/>
                <w:sz w:val="22"/>
                <w:szCs w:val="22"/>
              </w:rPr>
              <w:t>21 Years of Business and Experience in Industry</w:t>
            </w:r>
            <w:r>
              <w:rPr>
                <w:rFonts w:ascii="Arial" w:hAnsi="Arial" w:cs="Arial"/>
                <w:highlight w:val="yellow"/>
              </w:rPr>
              <w:t xml:space="preserve"> </w:t>
            </w:r>
          </w:p>
        </w:tc>
      </w:tr>
      <w:tr w:rsidR="00931238" w:rsidRPr="005613A3" w:rsidTr="002E51B7">
        <w:trPr>
          <w:trHeight w:val="443"/>
        </w:trPr>
        <w:tc>
          <w:tcPr>
            <w:cnfStyle w:val="001000000000" w:firstRow="0" w:lastRow="0" w:firstColumn="1" w:lastColumn="0" w:oddVBand="0" w:evenVBand="0" w:oddHBand="0" w:evenHBand="0" w:firstRowFirstColumn="0" w:firstRowLastColumn="0" w:lastRowFirstColumn="0" w:lastRowLastColumn="0"/>
            <w:tcW w:w="336" w:type="pct"/>
            <w:hideMark/>
          </w:tcPr>
          <w:p w:rsidR="00931238" w:rsidRPr="0019751B" w:rsidRDefault="00931238" w:rsidP="00931238">
            <w:pPr>
              <w:rPr>
                <w:rFonts w:ascii="Arial" w:eastAsia="Calibri" w:hAnsi="Arial" w:cs="Arial"/>
              </w:rPr>
            </w:pPr>
            <w:r w:rsidRPr="0019751B">
              <w:rPr>
                <w:rFonts w:ascii="Arial" w:eastAsia="Calibri" w:hAnsi="Arial" w:cs="Arial"/>
              </w:rPr>
              <w:t>2</w:t>
            </w:r>
          </w:p>
        </w:tc>
        <w:tc>
          <w:tcPr>
            <w:tcW w:w="1297" w:type="pct"/>
            <w:hideMark/>
          </w:tcPr>
          <w:p w:rsidR="00931238" w:rsidRPr="0019751B" w:rsidRDefault="0019751B" w:rsidP="00931238">
            <w:pPr>
              <w:pStyle w:val="Heading2"/>
              <w:outlineLvl w:val="1"/>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sidRPr="0019751B">
              <w:rPr>
                <w:rFonts w:ascii="Arial" w:eastAsiaTheme="minorEastAsia" w:hAnsi="Arial" w:cs="Arial"/>
                <w:color w:val="auto"/>
                <w:sz w:val="22"/>
                <w:szCs w:val="22"/>
              </w:rPr>
              <w:t>Ms. Deepa Agrawal</w:t>
            </w:r>
          </w:p>
        </w:tc>
        <w:tc>
          <w:tcPr>
            <w:tcW w:w="721" w:type="pct"/>
          </w:tcPr>
          <w:p w:rsidR="00931238" w:rsidRPr="0019751B" w:rsidRDefault="00931238" w:rsidP="00931238">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19751B">
              <w:rPr>
                <w:rFonts w:ascii="Arial" w:hAnsi="Arial" w:cs="Arial"/>
              </w:rPr>
              <w:t>Director</w:t>
            </w:r>
          </w:p>
        </w:tc>
        <w:tc>
          <w:tcPr>
            <w:tcW w:w="2646" w:type="pct"/>
          </w:tcPr>
          <w:p w:rsidR="00BA60E0" w:rsidRPr="0019751B" w:rsidRDefault="0019751B" w:rsidP="001975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9751B">
              <w:rPr>
                <w:rFonts w:ascii="Arial" w:hAnsi="Arial" w:cs="Arial"/>
              </w:rPr>
              <w:t>15 years of business and</w:t>
            </w:r>
            <w:r>
              <w:rPr>
                <w:rFonts w:ascii="Arial" w:hAnsi="Arial" w:cs="Arial"/>
              </w:rPr>
              <w:t xml:space="preserve"> </w:t>
            </w:r>
            <w:r w:rsidRPr="0019751B">
              <w:rPr>
                <w:rFonts w:ascii="Arial" w:hAnsi="Arial" w:cs="Arial"/>
              </w:rPr>
              <w:t>Experience in industry</w:t>
            </w:r>
          </w:p>
        </w:tc>
      </w:tr>
      <w:tr w:rsidR="00931238" w:rsidRPr="005613A3" w:rsidTr="002E51B7">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336" w:type="pct"/>
            <w:hideMark/>
          </w:tcPr>
          <w:p w:rsidR="00931238" w:rsidRPr="0019751B" w:rsidRDefault="00931238" w:rsidP="00931238">
            <w:pPr>
              <w:rPr>
                <w:rFonts w:ascii="Arial" w:eastAsia="Calibri" w:hAnsi="Arial" w:cs="Arial"/>
              </w:rPr>
            </w:pPr>
            <w:r w:rsidRPr="0019751B">
              <w:rPr>
                <w:rFonts w:ascii="Arial" w:hAnsi="Arial" w:cs="Arial"/>
              </w:rPr>
              <w:t>3</w:t>
            </w:r>
          </w:p>
        </w:tc>
        <w:tc>
          <w:tcPr>
            <w:tcW w:w="1297" w:type="pct"/>
            <w:hideMark/>
          </w:tcPr>
          <w:p w:rsidR="00931238" w:rsidRPr="0019751B" w:rsidRDefault="005B3D3F" w:rsidP="00931238">
            <w:pPr>
              <w:pStyle w:val="Heading2"/>
              <w:outlineLvl w:val="1"/>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2"/>
                <w:szCs w:val="22"/>
              </w:rPr>
            </w:pPr>
            <w:r w:rsidRPr="0019751B">
              <w:rPr>
                <w:rFonts w:ascii="Arial" w:eastAsiaTheme="minorEastAsia" w:hAnsi="Arial" w:cs="Arial"/>
                <w:color w:val="auto"/>
                <w:sz w:val="22"/>
                <w:szCs w:val="22"/>
              </w:rPr>
              <w:t xml:space="preserve">Mr. </w:t>
            </w:r>
            <w:r w:rsidR="0019751B" w:rsidRPr="0019751B">
              <w:rPr>
                <w:rFonts w:ascii="Arial" w:eastAsiaTheme="minorEastAsia" w:hAnsi="Arial" w:cs="Arial"/>
                <w:color w:val="auto"/>
                <w:sz w:val="22"/>
                <w:szCs w:val="22"/>
              </w:rPr>
              <w:t xml:space="preserve">Deepak </w:t>
            </w:r>
            <w:proofErr w:type="spellStart"/>
            <w:r w:rsidR="0019751B" w:rsidRPr="0019751B">
              <w:rPr>
                <w:rFonts w:ascii="Arial" w:eastAsiaTheme="minorEastAsia" w:hAnsi="Arial" w:cs="Arial"/>
                <w:color w:val="auto"/>
                <w:sz w:val="22"/>
                <w:szCs w:val="22"/>
              </w:rPr>
              <w:t>Banshal</w:t>
            </w:r>
            <w:proofErr w:type="spellEnd"/>
            <w:r w:rsidRPr="0019751B">
              <w:rPr>
                <w:rFonts w:ascii="Arial" w:eastAsiaTheme="minorEastAsia" w:hAnsi="Arial" w:cs="Arial"/>
                <w:color w:val="auto"/>
                <w:sz w:val="22"/>
                <w:szCs w:val="22"/>
              </w:rPr>
              <w:t xml:space="preserve"> </w:t>
            </w:r>
          </w:p>
        </w:tc>
        <w:tc>
          <w:tcPr>
            <w:tcW w:w="721" w:type="pct"/>
          </w:tcPr>
          <w:p w:rsidR="00931238" w:rsidRPr="0019751B" w:rsidRDefault="005B3D3F" w:rsidP="00931238">
            <w:pP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19751B">
              <w:rPr>
                <w:rFonts w:ascii="Arial" w:hAnsi="Arial" w:cs="Arial"/>
              </w:rPr>
              <w:t>Director</w:t>
            </w:r>
          </w:p>
        </w:tc>
        <w:tc>
          <w:tcPr>
            <w:tcW w:w="2646" w:type="pct"/>
          </w:tcPr>
          <w:p w:rsidR="005B3D3F" w:rsidRPr="0019751B" w:rsidRDefault="0019751B" w:rsidP="0019751B">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Work experience in </w:t>
            </w:r>
            <w:r w:rsidRPr="0019751B">
              <w:rPr>
                <w:rFonts w:ascii="Arial" w:hAnsi="Arial" w:cs="Arial"/>
              </w:rPr>
              <w:t xml:space="preserve">Various industries </w:t>
            </w:r>
            <w:r>
              <w:rPr>
                <w:rFonts w:ascii="Arial" w:hAnsi="Arial" w:cs="Arial"/>
              </w:rPr>
              <w:t>.</w:t>
            </w:r>
            <w:r w:rsidRPr="0019751B">
              <w:rPr>
                <w:rFonts w:ascii="Arial" w:hAnsi="Arial" w:cs="Arial"/>
              </w:rPr>
              <w:t>30 years in business</w:t>
            </w:r>
            <w:r>
              <w:rPr>
                <w:rFonts w:ascii="Arial" w:hAnsi="Arial" w:cs="Arial"/>
              </w:rPr>
              <w:t xml:space="preserve"> </w:t>
            </w:r>
            <w:r w:rsidRPr="0019751B">
              <w:rPr>
                <w:rFonts w:ascii="Arial" w:hAnsi="Arial" w:cs="Arial"/>
              </w:rPr>
              <w:t>work experience</w:t>
            </w:r>
          </w:p>
        </w:tc>
      </w:tr>
      <w:tr w:rsidR="0019751B" w:rsidRPr="005613A3" w:rsidTr="002E51B7">
        <w:trPr>
          <w:trHeight w:val="857"/>
        </w:trPr>
        <w:tc>
          <w:tcPr>
            <w:cnfStyle w:val="001000000000" w:firstRow="0" w:lastRow="0" w:firstColumn="1" w:lastColumn="0" w:oddVBand="0" w:evenVBand="0" w:oddHBand="0" w:evenHBand="0" w:firstRowFirstColumn="0" w:firstRowLastColumn="0" w:lastRowFirstColumn="0" w:lastRowLastColumn="0"/>
            <w:tcW w:w="336" w:type="pct"/>
          </w:tcPr>
          <w:p w:rsidR="0019751B" w:rsidRPr="0019751B" w:rsidRDefault="0019751B" w:rsidP="00931238">
            <w:pPr>
              <w:rPr>
                <w:rFonts w:ascii="Arial" w:hAnsi="Arial" w:cs="Arial"/>
              </w:rPr>
            </w:pPr>
            <w:r>
              <w:rPr>
                <w:rFonts w:ascii="Arial" w:hAnsi="Arial" w:cs="Arial"/>
              </w:rPr>
              <w:t>4</w:t>
            </w:r>
          </w:p>
        </w:tc>
        <w:tc>
          <w:tcPr>
            <w:tcW w:w="1297" w:type="pct"/>
          </w:tcPr>
          <w:p w:rsidR="0019751B" w:rsidRPr="0019751B" w:rsidRDefault="0019751B" w:rsidP="00931238">
            <w:pPr>
              <w:pStyle w:val="Heading2"/>
              <w:outlineLvl w:val="1"/>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2"/>
                <w:szCs w:val="22"/>
              </w:rPr>
            </w:pPr>
            <w:r>
              <w:rPr>
                <w:rFonts w:ascii="Arial" w:eastAsiaTheme="minorEastAsia" w:hAnsi="Arial" w:cs="Arial"/>
                <w:color w:val="auto"/>
                <w:sz w:val="22"/>
                <w:szCs w:val="22"/>
              </w:rPr>
              <w:t xml:space="preserve">Ms. </w:t>
            </w:r>
            <w:proofErr w:type="spellStart"/>
            <w:r>
              <w:rPr>
                <w:rFonts w:ascii="Arial" w:eastAsiaTheme="minorEastAsia" w:hAnsi="Arial" w:cs="Arial"/>
                <w:color w:val="auto"/>
                <w:sz w:val="22"/>
                <w:szCs w:val="22"/>
              </w:rPr>
              <w:t>Upasana</w:t>
            </w:r>
            <w:proofErr w:type="spellEnd"/>
            <w:r>
              <w:rPr>
                <w:rFonts w:ascii="Arial" w:eastAsiaTheme="minorEastAsia" w:hAnsi="Arial" w:cs="Arial"/>
                <w:color w:val="auto"/>
                <w:sz w:val="22"/>
                <w:szCs w:val="22"/>
              </w:rPr>
              <w:t xml:space="preserve"> </w:t>
            </w:r>
            <w:proofErr w:type="spellStart"/>
            <w:r>
              <w:rPr>
                <w:rFonts w:ascii="Arial" w:eastAsiaTheme="minorEastAsia" w:hAnsi="Arial" w:cs="Arial"/>
                <w:color w:val="auto"/>
                <w:sz w:val="22"/>
                <w:szCs w:val="22"/>
              </w:rPr>
              <w:t>Paudel</w:t>
            </w:r>
            <w:proofErr w:type="spellEnd"/>
          </w:p>
        </w:tc>
        <w:tc>
          <w:tcPr>
            <w:tcW w:w="721" w:type="pct"/>
          </w:tcPr>
          <w:p w:rsidR="0019751B" w:rsidRPr="0019751B" w:rsidRDefault="00F60047" w:rsidP="00931238">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Independent </w:t>
            </w:r>
            <w:r w:rsidR="0019751B">
              <w:rPr>
                <w:rFonts w:ascii="Arial" w:hAnsi="Arial" w:cs="Arial"/>
              </w:rPr>
              <w:t>Director</w:t>
            </w:r>
          </w:p>
        </w:tc>
        <w:tc>
          <w:tcPr>
            <w:tcW w:w="2646" w:type="pct"/>
          </w:tcPr>
          <w:p w:rsidR="0019751B" w:rsidRDefault="00F60047" w:rsidP="0019751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w:t>
            </w:r>
            <w:r w:rsidR="0019751B" w:rsidRPr="0019751B">
              <w:rPr>
                <w:rFonts w:ascii="Arial" w:hAnsi="Arial" w:cs="Arial"/>
              </w:rPr>
              <w:t>nsurance business,</w:t>
            </w:r>
            <w:r>
              <w:rPr>
                <w:rFonts w:ascii="Arial" w:hAnsi="Arial" w:cs="Arial"/>
              </w:rPr>
              <w:t xml:space="preserve"> </w:t>
            </w:r>
            <w:r w:rsidR="0019751B" w:rsidRPr="0019751B">
              <w:rPr>
                <w:rFonts w:ascii="Arial" w:hAnsi="Arial" w:cs="Arial"/>
              </w:rPr>
              <w:t>Telecommunications and manufacturing13 years of work in the field</w:t>
            </w:r>
            <w:r>
              <w:rPr>
                <w:rFonts w:ascii="Arial" w:hAnsi="Arial" w:cs="Arial"/>
              </w:rPr>
              <w:t xml:space="preserve"> Experience</w:t>
            </w:r>
          </w:p>
        </w:tc>
      </w:tr>
    </w:tbl>
    <w:p w:rsidR="006C26A5" w:rsidRPr="005613A3" w:rsidRDefault="006C26A5" w:rsidP="00B1425F">
      <w:pPr>
        <w:jc w:val="both"/>
        <w:rPr>
          <w:rFonts w:ascii="Arial" w:hAnsi="Arial" w:cs="Arial"/>
          <w:color w:val="000000"/>
          <w:highlight w:val="yellow"/>
        </w:rPr>
      </w:pPr>
    </w:p>
    <w:p w:rsidR="007D6C67" w:rsidRPr="00581D5E" w:rsidRDefault="007D6C67" w:rsidP="007D6C67">
      <w:pPr>
        <w:jc w:val="both"/>
        <w:rPr>
          <w:rFonts w:ascii="Arial" w:hAnsi="Arial" w:cs="Arial"/>
          <w:b/>
          <w:bCs/>
          <w:color w:val="000000"/>
        </w:rPr>
      </w:pPr>
      <w:r w:rsidRPr="00581D5E">
        <w:rPr>
          <w:rFonts w:ascii="Arial" w:hAnsi="Arial" w:cs="Arial"/>
          <w:b/>
          <w:bCs/>
          <w:color w:val="000000"/>
        </w:rPr>
        <w:t>Management Details</w:t>
      </w:r>
    </w:p>
    <w:tbl>
      <w:tblPr>
        <w:tblStyle w:val="GridTable4-Accent3"/>
        <w:tblW w:w="5274" w:type="pct"/>
        <w:tblLook w:val="04A0" w:firstRow="1" w:lastRow="0" w:firstColumn="1" w:lastColumn="0" w:noHBand="0" w:noVBand="1"/>
      </w:tblPr>
      <w:tblGrid>
        <w:gridCol w:w="1343"/>
        <w:gridCol w:w="2047"/>
        <w:gridCol w:w="2107"/>
        <w:gridCol w:w="4365"/>
      </w:tblGrid>
      <w:tr w:rsidR="00581D5E" w:rsidRPr="00581D5E" w:rsidTr="002E51B7">
        <w:trPr>
          <w:cnfStyle w:val="100000000000" w:firstRow="1" w:lastRow="0" w:firstColumn="0" w:lastColumn="0" w:oddVBand="0" w:evenVBand="0" w:oddHBand="0"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681" w:type="pct"/>
            <w:hideMark/>
          </w:tcPr>
          <w:p w:rsidR="00581D5E" w:rsidRPr="002E51B7" w:rsidRDefault="00581D5E" w:rsidP="00581D5E">
            <w:pPr>
              <w:rPr>
                <w:rFonts w:ascii="Arial" w:eastAsia="Calibri" w:hAnsi="Arial" w:cs="Arial"/>
                <w:b w:val="0"/>
                <w:bCs w:val="0"/>
                <w:color w:val="000000" w:themeColor="text1"/>
              </w:rPr>
            </w:pPr>
            <w:proofErr w:type="gramStart"/>
            <w:r w:rsidRPr="002E51B7">
              <w:rPr>
                <w:rFonts w:ascii="Arial" w:hAnsi="Arial" w:cs="Arial"/>
                <w:color w:val="000000" w:themeColor="text1"/>
              </w:rPr>
              <w:t>S.N</w:t>
            </w:r>
            <w:proofErr w:type="gramEnd"/>
          </w:p>
        </w:tc>
        <w:tc>
          <w:tcPr>
            <w:tcW w:w="1038" w:type="pct"/>
            <w:hideMark/>
          </w:tcPr>
          <w:p w:rsidR="00581D5E" w:rsidRPr="002E51B7" w:rsidRDefault="00581D5E" w:rsidP="00581D5E">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000000" w:themeColor="text1"/>
              </w:rPr>
            </w:pPr>
            <w:r w:rsidRPr="002E51B7">
              <w:rPr>
                <w:rFonts w:ascii="Arial" w:hAnsi="Arial" w:cs="Arial"/>
                <w:color w:val="000000" w:themeColor="text1"/>
              </w:rPr>
              <w:t>Name</w:t>
            </w:r>
          </w:p>
        </w:tc>
        <w:tc>
          <w:tcPr>
            <w:tcW w:w="1068" w:type="pct"/>
          </w:tcPr>
          <w:p w:rsidR="00581D5E" w:rsidRPr="002E51B7" w:rsidRDefault="00581D5E" w:rsidP="00581D5E">
            <w:pPr>
              <w:cnfStyle w:val="100000000000" w:firstRow="1" w:lastRow="0" w:firstColumn="0" w:lastColumn="0" w:oddVBand="0" w:evenVBand="0" w:oddHBand="0" w:evenHBand="0" w:firstRowFirstColumn="0" w:firstRowLastColumn="0" w:lastRowFirstColumn="0" w:lastRowLastColumn="0"/>
              <w:rPr>
                <w:rFonts w:ascii="Arial" w:eastAsia="Calibri" w:hAnsi="Arial" w:cs="Arial"/>
                <w:b w:val="0"/>
                <w:bCs w:val="0"/>
                <w:color w:val="000000" w:themeColor="text1"/>
              </w:rPr>
            </w:pPr>
            <w:r w:rsidRPr="002E51B7">
              <w:rPr>
                <w:rFonts w:ascii="Arial" w:hAnsi="Arial" w:cs="Arial"/>
                <w:color w:val="000000" w:themeColor="text1"/>
              </w:rPr>
              <w:t>Designation</w:t>
            </w:r>
          </w:p>
        </w:tc>
        <w:tc>
          <w:tcPr>
            <w:tcW w:w="2213" w:type="pct"/>
          </w:tcPr>
          <w:p w:rsidR="00581D5E" w:rsidRPr="002E51B7" w:rsidRDefault="00581D5E" w:rsidP="00581D5E">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rPr>
            </w:pPr>
            <w:r w:rsidRPr="002E51B7">
              <w:rPr>
                <w:rFonts w:ascii="Arial" w:hAnsi="Arial" w:cs="Arial"/>
                <w:color w:val="000000" w:themeColor="text1"/>
              </w:rPr>
              <w:t>Remarks</w:t>
            </w:r>
          </w:p>
        </w:tc>
      </w:tr>
      <w:tr w:rsidR="00581D5E" w:rsidRPr="00581D5E" w:rsidTr="002E51B7">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681" w:type="pct"/>
            <w:hideMark/>
          </w:tcPr>
          <w:p w:rsidR="00581D5E" w:rsidRPr="00581D5E" w:rsidRDefault="00581D5E" w:rsidP="00581D5E">
            <w:pPr>
              <w:rPr>
                <w:rFonts w:ascii="Arial" w:eastAsia="Calibri" w:hAnsi="Arial" w:cs="Arial"/>
              </w:rPr>
            </w:pPr>
            <w:r w:rsidRPr="00581D5E">
              <w:rPr>
                <w:rFonts w:ascii="Arial" w:hAnsi="Arial" w:cs="Arial"/>
              </w:rPr>
              <w:t>1</w:t>
            </w:r>
          </w:p>
        </w:tc>
        <w:tc>
          <w:tcPr>
            <w:tcW w:w="1038" w:type="pct"/>
            <w:hideMark/>
          </w:tcPr>
          <w:p w:rsidR="00581D5E" w:rsidRPr="00581D5E" w:rsidRDefault="00581D5E" w:rsidP="00581D5E">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581D5E">
              <w:rPr>
                <w:rFonts w:ascii="Arial" w:hAnsi="Arial" w:cs="Arial"/>
              </w:rPr>
              <w:t>Mr</w:t>
            </w:r>
            <w:proofErr w:type="spellEnd"/>
            <w:r w:rsidRPr="00581D5E">
              <w:rPr>
                <w:rFonts w:ascii="Arial" w:hAnsi="Arial" w:cs="Arial"/>
              </w:rPr>
              <w:t xml:space="preserve"> Anurag Sharma</w:t>
            </w:r>
          </w:p>
        </w:tc>
        <w:tc>
          <w:tcPr>
            <w:tcW w:w="1068" w:type="pct"/>
          </w:tcPr>
          <w:p w:rsidR="00581D5E" w:rsidRPr="00581D5E" w:rsidRDefault="00581D5E" w:rsidP="00581D5E">
            <w:pP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581D5E">
              <w:rPr>
                <w:rFonts w:ascii="Arial" w:hAnsi="Arial" w:cs="Arial"/>
              </w:rPr>
              <w:t>CEO</w:t>
            </w:r>
          </w:p>
        </w:tc>
        <w:tc>
          <w:tcPr>
            <w:tcW w:w="2213" w:type="pct"/>
          </w:tcPr>
          <w:p w:rsidR="00581D5E" w:rsidRPr="00581D5E" w:rsidRDefault="00581D5E" w:rsidP="00581D5E">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81D5E">
              <w:rPr>
                <w:rFonts w:ascii="Arial" w:hAnsi="Arial" w:cs="Arial"/>
              </w:rPr>
              <w:t>29 years of work in steel industry</w:t>
            </w:r>
            <w:r>
              <w:rPr>
                <w:rFonts w:ascii="Arial" w:hAnsi="Arial" w:cs="Arial"/>
              </w:rPr>
              <w:t xml:space="preserve"> </w:t>
            </w:r>
            <w:r w:rsidRPr="00581D5E">
              <w:rPr>
                <w:rFonts w:ascii="Arial" w:hAnsi="Arial" w:cs="Arial"/>
              </w:rPr>
              <w:t>Experience</w:t>
            </w:r>
          </w:p>
        </w:tc>
      </w:tr>
      <w:tr w:rsidR="00581D5E" w:rsidRPr="005613A3" w:rsidTr="002E51B7">
        <w:trPr>
          <w:trHeight w:val="141"/>
        </w:trPr>
        <w:tc>
          <w:tcPr>
            <w:cnfStyle w:val="001000000000" w:firstRow="0" w:lastRow="0" w:firstColumn="1" w:lastColumn="0" w:oddVBand="0" w:evenVBand="0" w:oddHBand="0" w:evenHBand="0" w:firstRowFirstColumn="0" w:firstRowLastColumn="0" w:lastRowFirstColumn="0" w:lastRowLastColumn="0"/>
            <w:tcW w:w="681" w:type="pct"/>
            <w:hideMark/>
          </w:tcPr>
          <w:p w:rsidR="00581D5E" w:rsidRPr="00581D5E" w:rsidRDefault="00581D5E" w:rsidP="00581D5E">
            <w:pPr>
              <w:rPr>
                <w:rFonts w:ascii="Arial" w:eastAsia="Calibri" w:hAnsi="Arial" w:cs="Arial"/>
              </w:rPr>
            </w:pPr>
            <w:r w:rsidRPr="00581D5E">
              <w:rPr>
                <w:rFonts w:ascii="Arial" w:eastAsia="Calibri" w:hAnsi="Arial" w:cs="Arial"/>
              </w:rPr>
              <w:t>2</w:t>
            </w:r>
          </w:p>
        </w:tc>
        <w:tc>
          <w:tcPr>
            <w:tcW w:w="1038" w:type="pct"/>
            <w:hideMark/>
          </w:tcPr>
          <w:p w:rsidR="00581D5E" w:rsidRPr="00581D5E" w:rsidRDefault="00581D5E" w:rsidP="00581D5E">
            <w:pPr>
              <w:pStyle w:val="Heading4"/>
              <w:outlineLvl w:val="3"/>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i w:val="0"/>
                <w:iCs w:val="0"/>
                <w:color w:val="auto"/>
              </w:rPr>
            </w:pPr>
            <w:proofErr w:type="spellStart"/>
            <w:r w:rsidRPr="00581D5E">
              <w:rPr>
                <w:rFonts w:ascii="Arial" w:eastAsiaTheme="minorEastAsia" w:hAnsi="Arial" w:cs="Arial"/>
                <w:i w:val="0"/>
                <w:iCs w:val="0"/>
                <w:color w:val="auto"/>
              </w:rPr>
              <w:t>Mr</w:t>
            </w:r>
            <w:proofErr w:type="spellEnd"/>
            <w:r w:rsidRPr="00581D5E">
              <w:rPr>
                <w:rFonts w:ascii="Arial" w:eastAsiaTheme="minorEastAsia" w:hAnsi="Arial" w:cs="Arial"/>
                <w:i w:val="0"/>
                <w:iCs w:val="0"/>
                <w:color w:val="auto"/>
              </w:rPr>
              <w:t xml:space="preserve"> Ravi Ranjan Prakash </w:t>
            </w:r>
          </w:p>
        </w:tc>
        <w:tc>
          <w:tcPr>
            <w:tcW w:w="1068" w:type="pct"/>
          </w:tcPr>
          <w:p w:rsidR="00581D5E" w:rsidRPr="00581D5E" w:rsidRDefault="00581D5E" w:rsidP="00581D5E">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581D5E">
              <w:rPr>
                <w:rFonts w:ascii="Arial" w:hAnsi="Arial" w:cs="Arial"/>
              </w:rPr>
              <w:t>Executive Director</w:t>
            </w:r>
          </w:p>
        </w:tc>
        <w:tc>
          <w:tcPr>
            <w:tcW w:w="2213" w:type="pct"/>
          </w:tcPr>
          <w:p w:rsidR="00581D5E" w:rsidRPr="00581D5E" w:rsidRDefault="00581D5E" w:rsidP="00581D5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81D5E">
              <w:rPr>
                <w:rFonts w:ascii="Arial" w:hAnsi="Arial" w:cs="Arial"/>
              </w:rPr>
              <w:t>30 on Marketing and Merchandising</w:t>
            </w:r>
            <w:r>
              <w:rPr>
                <w:rFonts w:ascii="Arial" w:hAnsi="Arial" w:cs="Arial"/>
              </w:rPr>
              <w:t xml:space="preserve"> </w:t>
            </w:r>
            <w:r w:rsidRPr="00581D5E">
              <w:rPr>
                <w:rFonts w:ascii="Arial" w:hAnsi="Arial" w:cs="Arial"/>
              </w:rPr>
              <w:t>years of experience</w:t>
            </w:r>
          </w:p>
        </w:tc>
      </w:tr>
    </w:tbl>
    <w:p w:rsidR="00295061" w:rsidRDefault="00295061" w:rsidP="00701EF7">
      <w:pPr>
        <w:spacing w:after="0"/>
        <w:rPr>
          <w:rFonts w:ascii="Arial" w:hAnsi="Arial" w:cs="Arial"/>
          <w:b/>
          <w:bCs/>
          <w:color w:val="000000"/>
        </w:rPr>
      </w:pPr>
    </w:p>
    <w:p w:rsidR="00295061" w:rsidRDefault="00295061" w:rsidP="00701EF7">
      <w:pPr>
        <w:spacing w:after="0"/>
        <w:rPr>
          <w:rFonts w:ascii="Arial" w:hAnsi="Arial" w:cs="Arial"/>
          <w:b/>
          <w:bCs/>
          <w:color w:val="000000"/>
        </w:rPr>
      </w:pPr>
    </w:p>
    <w:p w:rsidR="000B6920" w:rsidRPr="00581D5E" w:rsidRDefault="00B1425F" w:rsidP="00701EF7">
      <w:pPr>
        <w:spacing w:after="0"/>
        <w:rPr>
          <w:rFonts w:ascii="Arial" w:hAnsi="Arial" w:cs="Arial"/>
          <w:b/>
          <w:bCs/>
          <w:color w:val="000000"/>
        </w:rPr>
      </w:pPr>
      <w:r w:rsidRPr="00581D5E">
        <w:rPr>
          <w:rFonts w:ascii="Arial" w:hAnsi="Arial" w:cs="Arial"/>
          <w:b/>
          <w:bCs/>
          <w:color w:val="000000"/>
        </w:rPr>
        <w:t>Financial Highlights </w:t>
      </w:r>
      <w:r w:rsidR="00701EF7" w:rsidRPr="00581D5E">
        <w:rPr>
          <w:rFonts w:ascii="Arial" w:hAnsi="Arial" w:cs="Arial"/>
          <w:b/>
          <w:bCs/>
          <w:color w:val="000000"/>
        </w:rPr>
        <w:tab/>
      </w:r>
      <w:r w:rsidR="00A140B9">
        <w:rPr>
          <w:rFonts w:ascii="Arial" w:hAnsi="Arial" w:cs="Arial"/>
          <w:b/>
          <w:bCs/>
          <w:color w:val="000000"/>
        </w:rPr>
        <w:t xml:space="preserve">of </w:t>
      </w:r>
      <w:proofErr w:type="spellStart"/>
      <w:r w:rsidR="00A140B9">
        <w:rPr>
          <w:rFonts w:ascii="Arial" w:hAnsi="Arial" w:cs="Arial"/>
          <w:b/>
          <w:bCs/>
          <w:color w:val="000000"/>
        </w:rPr>
        <w:t>Ja</w:t>
      </w:r>
      <w:r w:rsidR="0011692F">
        <w:rPr>
          <w:rFonts w:ascii="Arial" w:hAnsi="Arial" w:cs="Arial"/>
          <w:b/>
          <w:bCs/>
          <w:color w:val="000000"/>
        </w:rPr>
        <w:t>gdambha</w:t>
      </w:r>
      <w:proofErr w:type="spellEnd"/>
      <w:r w:rsidR="0011692F">
        <w:rPr>
          <w:rFonts w:ascii="Arial" w:hAnsi="Arial" w:cs="Arial"/>
          <w:b/>
          <w:bCs/>
          <w:color w:val="000000"/>
        </w:rPr>
        <w:t xml:space="preserve"> </w:t>
      </w:r>
      <w:proofErr w:type="spellStart"/>
      <w:r w:rsidR="0011692F">
        <w:rPr>
          <w:rFonts w:ascii="Arial" w:hAnsi="Arial" w:cs="Arial"/>
          <w:b/>
          <w:bCs/>
          <w:color w:val="000000"/>
        </w:rPr>
        <w:t>Steets</w:t>
      </w:r>
      <w:proofErr w:type="spellEnd"/>
      <w:r w:rsidR="0011692F">
        <w:rPr>
          <w:rFonts w:ascii="Arial" w:hAnsi="Arial" w:cs="Arial"/>
          <w:b/>
          <w:bCs/>
          <w:color w:val="000000"/>
        </w:rPr>
        <w:t xml:space="preserve"> Pvt Ltd. </w:t>
      </w:r>
      <w:r w:rsidR="00701EF7" w:rsidRPr="00581D5E">
        <w:rPr>
          <w:rFonts w:ascii="Arial" w:hAnsi="Arial" w:cs="Arial"/>
          <w:b/>
          <w:bCs/>
          <w:color w:val="000000"/>
        </w:rPr>
        <w:tab/>
      </w:r>
      <w:r w:rsidR="00701EF7" w:rsidRPr="00581D5E">
        <w:rPr>
          <w:rFonts w:ascii="Arial" w:hAnsi="Arial" w:cs="Arial"/>
          <w:b/>
          <w:bCs/>
          <w:color w:val="000000"/>
        </w:rPr>
        <w:tab/>
      </w:r>
      <w:r w:rsidR="00701EF7" w:rsidRPr="00581D5E">
        <w:rPr>
          <w:rFonts w:ascii="Arial" w:hAnsi="Arial" w:cs="Arial"/>
          <w:b/>
          <w:bCs/>
          <w:color w:val="000000"/>
        </w:rPr>
        <w:tab/>
      </w:r>
      <w:r w:rsidR="00701EF7" w:rsidRPr="00581D5E">
        <w:rPr>
          <w:rFonts w:ascii="Arial" w:hAnsi="Arial" w:cs="Arial"/>
          <w:b/>
          <w:bCs/>
          <w:color w:val="000000"/>
        </w:rPr>
        <w:tab/>
      </w:r>
      <w:r w:rsidR="00701EF7" w:rsidRPr="00581D5E">
        <w:rPr>
          <w:rFonts w:ascii="Arial" w:hAnsi="Arial" w:cs="Arial"/>
          <w:b/>
          <w:bCs/>
          <w:color w:val="000000"/>
        </w:rPr>
        <w:tab/>
      </w:r>
      <w:r w:rsidR="00701EF7" w:rsidRPr="00581D5E">
        <w:rPr>
          <w:rFonts w:ascii="Arial" w:hAnsi="Arial" w:cs="Arial"/>
          <w:b/>
          <w:bCs/>
          <w:color w:val="000000"/>
        </w:rPr>
        <w:tab/>
      </w:r>
      <w:r w:rsidR="00E83B77" w:rsidRPr="00581D5E">
        <w:rPr>
          <w:rFonts w:ascii="Arial" w:hAnsi="Arial" w:cs="Arial"/>
          <w:b/>
          <w:bCs/>
          <w:color w:val="000000"/>
        </w:rPr>
        <w:tab/>
      </w:r>
      <w:r w:rsidR="00E83B77" w:rsidRPr="00581D5E">
        <w:rPr>
          <w:rFonts w:ascii="Arial" w:hAnsi="Arial" w:cs="Arial"/>
          <w:b/>
          <w:bCs/>
          <w:color w:val="000000"/>
        </w:rPr>
        <w:tab/>
      </w:r>
    </w:p>
    <w:tbl>
      <w:tblPr>
        <w:tblStyle w:val="GridTable4-Accent3"/>
        <w:tblW w:w="9897" w:type="dxa"/>
        <w:tblLook w:val="04A0" w:firstRow="1" w:lastRow="0" w:firstColumn="1" w:lastColumn="0" w:noHBand="0" w:noVBand="1"/>
      </w:tblPr>
      <w:tblGrid>
        <w:gridCol w:w="4189"/>
        <w:gridCol w:w="1461"/>
        <w:gridCol w:w="1454"/>
        <w:gridCol w:w="1379"/>
        <w:gridCol w:w="1414"/>
      </w:tblGrid>
      <w:tr w:rsidR="009E4F5B" w:rsidRPr="00A140B9" w:rsidTr="002E51B7">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 </w:t>
            </w:r>
          </w:p>
        </w:tc>
        <w:tc>
          <w:tcPr>
            <w:tcW w:w="0" w:type="auto"/>
            <w:noWrap/>
            <w:hideMark/>
          </w:tcPr>
          <w:p w:rsidR="00A140B9" w:rsidRPr="00A140B9" w:rsidRDefault="00A140B9" w:rsidP="009E4F5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79/80</w:t>
            </w:r>
          </w:p>
        </w:tc>
        <w:tc>
          <w:tcPr>
            <w:tcW w:w="0" w:type="auto"/>
            <w:noWrap/>
            <w:hideMark/>
          </w:tcPr>
          <w:p w:rsidR="00A140B9" w:rsidRPr="00A140B9" w:rsidRDefault="00A140B9" w:rsidP="009E4F5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78/79</w:t>
            </w:r>
          </w:p>
        </w:tc>
        <w:tc>
          <w:tcPr>
            <w:tcW w:w="0" w:type="auto"/>
            <w:noWrap/>
            <w:hideMark/>
          </w:tcPr>
          <w:p w:rsidR="00A140B9" w:rsidRPr="00A140B9" w:rsidRDefault="00A140B9" w:rsidP="009E4F5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77/78</w:t>
            </w:r>
          </w:p>
        </w:tc>
        <w:tc>
          <w:tcPr>
            <w:tcW w:w="0" w:type="auto"/>
            <w:noWrap/>
            <w:hideMark/>
          </w:tcPr>
          <w:p w:rsidR="00A140B9" w:rsidRPr="00A140B9" w:rsidRDefault="00A140B9" w:rsidP="009E4F5B">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76/77</w:t>
            </w:r>
          </w:p>
        </w:tc>
      </w:tr>
      <w:tr w:rsidR="009E4F5B" w:rsidRPr="00A140B9" w:rsidTr="002E51B7">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Paid Up (</w:t>
            </w:r>
            <w:proofErr w:type="spellStart"/>
            <w:r w:rsidR="006140CE">
              <w:rPr>
                <w:rFonts w:ascii="Calibri" w:eastAsia="Times New Roman" w:hAnsi="Calibri" w:cs="Calibri"/>
                <w:color w:val="000000"/>
              </w:rPr>
              <w:t>A</w:t>
            </w:r>
            <w:r w:rsidRPr="00A140B9">
              <w:rPr>
                <w:rFonts w:ascii="Calibri" w:eastAsia="Times New Roman" w:hAnsi="Calibri" w:cs="Calibri"/>
                <w:color w:val="000000"/>
              </w:rPr>
              <w:t>rba</w:t>
            </w:r>
            <w:proofErr w:type="spellEnd"/>
            <w:r w:rsidRPr="00A140B9">
              <w:rPr>
                <w:rFonts w:ascii="Calibri" w:eastAsia="Times New Roman" w:hAnsi="Calibri" w:cs="Calibri"/>
                <w:color w:val="000000"/>
              </w:rPr>
              <w:t>)</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4.68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1.75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1.75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1.75 </w:t>
            </w:r>
          </w:p>
        </w:tc>
      </w:tr>
      <w:tr w:rsidR="009E4F5B" w:rsidRPr="00A140B9" w:rsidTr="002E51B7">
        <w:trPr>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proofErr w:type="gramStart"/>
            <w:r w:rsidRPr="00A140B9">
              <w:rPr>
                <w:rFonts w:ascii="Calibri" w:eastAsia="Times New Roman" w:hAnsi="Calibri" w:cs="Calibri"/>
                <w:color w:val="000000"/>
              </w:rPr>
              <w:t>Reserves(</w:t>
            </w:r>
            <w:proofErr w:type="spellStart"/>
            <w:proofErr w:type="gramEnd"/>
            <w:r w:rsidR="006140CE">
              <w:rPr>
                <w:rFonts w:ascii="Calibri" w:eastAsia="Times New Roman" w:hAnsi="Calibri" w:cs="Calibri"/>
                <w:color w:val="000000"/>
              </w:rPr>
              <w:t>A</w:t>
            </w:r>
            <w:r w:rsidRPr="00A140B9">
              <w:rPr>
                <w:rFonts w:ascii="Calibri" w:eastAsia="Times New Roman" w:hAnsi="Calibri" w:cs="Calibri"/>
                <w:color w:val="000000"/>
              </w:rPr>
              <w:t>rba</w:t>
            </w:r>
            <w:proofErr w:type="spellEnd"/>
            <w:r w:rsidRPr="00A140B9">
              <w:rPr>
                <w:rFonts w:ascii="Calibri" w:eastAsia="Times New Roman" w:hAnsi="Calibri" w:cs="Calibri"/>
                <w:color w:val="000000"/>
              </w:rPr>
              <w:t>)</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2.34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5.16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3.79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2.83 </w:t>
            </w:r>
          </w:p>
        </w:tc>
      </w:tr>
      <w:tr w:rsidR="009E4F5B" w:rsidRPr="00A140B9" w:rsidTr="002E51B7">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 xml:space="preserve">Long term </w:t>
            </w:r>
            <w:proofErr w:type="gramStart"/>
            <w:r w:rsidRPr="00A140B9">
              <w:rPr>
                <w:rFonts w:ascii="Calibri" w:eastAsia="Times New Roman" w:hAnsi="Calibri" w:cs="Calibri"/>
                <w:color w:val="000000"/>
              </w:rPr>
              <w:t>Loan(</w:t>
            </w:r>
            <w:proofErr w:type="spellStart"/>
            <w:proofErr w:type="gramEnd"/>
            <w:r w:rsidR="006140CE">
              <w:rPr>
                <w:rFonts w:ascii="Calibri" w:eastAsia="Times New Roman" w:hAnsi="Calibri" w:cs="Calibri"/>
                <w:color w:val="000000"/>
              </w:rPr>
              <w:t>A</w:t>
            </w:r>
            <w:r w:rsidRPr="00A140B9">
              <w:rPr>
                <w:rFonts w:ascii="Calibri" w:eastAsia="Times New Roman" w:hAnsi="Calibri" w:cs="Calibri"/>
                <w:color w:val="000000"/>
              </w:rPr>
              <w:t>rba</w:t>
            </w:r>
            <w:proofErr w:type="spellEnd"/>
            <w:r w:rsidRPr="00A140B9">
              <w:rPr>
                <w:rFonts w:ascii="Calibri" w:eastAsia="Times New Roman" w:hAnsi="Calibri" w:cs="Calibri"/>
                <w:color w:val="000000"/>
              </w:rPr>
              <w:t>)</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8.22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8.62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8.01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8.17 </w:t>
            </w:r>
          </w:p>
        </w:tc>
      </w:tr>
      <w:tr w:rsidR="009E4F5B" w:rsidRPr="00A140B9" w:rsidTr="002E51B7">
        <w:trPr>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Short term Loan (</w:t>
            </w:r>
            <w:proofErr w:type="spellStart"/>
            <w:r w:rsidR="006140CE">
              <w:rPr>
                <w:rFonts w:ascii="Calibri" w:eastAsia="Times New Roman" w:hAnsi="Calibri" w:cs="Calibri"/>
                <w:color w:val="000000"/>
              </w:rPr>
              <w:t>A</w:t>
            </w:r>
            <w:r w:rsidRPr="00A140B9">
              <w:rPr>
                <w:rFonts w:ascii="Calibri" w:eastAsia="Times New Roman" w:hAnsi="Calibri" w:cs="Calibri"/>
                <w:color w:val="000000"/>
              </w:rPr>
              <w:t>rba</w:t>
            </w:r>
            <w:proofErr w:type="spellEnd"/>
            <w:r w:rsidRPr="00A140B9">
              <w:rPr>
                <w:rFonts w:ascii="Calibri" w:eastAsia="Times New Roman" w:hAnsi="Calibri" w:cs="Calibri"/>
                <w:color w:val="000000"/>
              </w:rPr>
              <w:t>)</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11.73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14.11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14.13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9.24 </w:t>
            </w:r>
          </w:p>
        </w:tc>
      </w:tr>
      <w:tr w:rsidR="009E4F5B" w:rsidRPr="00A140B9" w:rsidTr="002E51B7">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Current Liabilities (</w:t>
            </w:r>
            <w:proofErr w:type="spellStart"/>
            <w:r w:rsidR="006140CE">
              <w:rPr>
                <w:rFonts w:ascii="Calibri" w:eastAsia="Times New Roman" w:hAnsi="Calibri" w:cs="Calibri"/>
                <w:color w:val="000000"/>
              </w:rPr>
              <w:t>A</w:t>
            </w:r>
            <w:r w:rsidRPr="00A140B9">
              <w:rPr>
                <w:rFonts w:ascii="Calibri" w:eastAsia="Times New Roman" w:hAnsi="Calibri" w:cs="Calibri"/>
                <w:color w:val="000000"/>
              </w:rPr>
              <w:t>rba</w:t>
            </w:r>
            <w:proofErr w:type="spellEnd"/>
            <w:r w:rsidRPr="00A140B9">
              <w:rPr>
                <w:rFonts w:ascii="Calibri" w:eastAsia="Times New Roman" w:hAnsi="Calibri" w:cs="Calibri"/>
                <w:color w:val="000000"/>
              </w:rPr>
              <w:t>)</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17.04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17.89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17.20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11.12 </w:t>
            </w:r>
          </w:p>
        </w:tc>
      </w:tr>
      <w:tr w:rsidR="009E4F5B" w:rsidRPr="00A140B9" w:rsidTr="002E51B7">
        <w:trPr>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Plant&amp; Equipment (</w:t>
            </w:r>
            <w:proofErr w:type="spellStart"/>
            <w:r w:rsidR="006140CE">
              <w:rPr>
                <w:rFonts w:ascii="Calibri" w:eastAsia="Times New Roman" w:hAnsi="Calibri" w:cs="Calibri"/>
                <w:color w:val="000000"/>
              </w:rPr>
              <w:t>A</w:t>
            </w:r>
            <w:r w:rsidRPr="00A140B9">
              <w:rPr>
                <w:rFonts w:ascii="Calibri" w:eastAsia="Times New Roman" w:hAnsi="Calibri" w:cs="Calibri"/>
                <w:color w:val="000000"/>
              </w:rPr>
              <w:t>rba</w:t>
            </w:r>
            <w:proofErr w:type="spellEnd"/>
            <w:r w:rsidRPr="00A140B9">
              <w:rPr>
                <w:rFonts w:ascii="Calibri" w:eastAsia="Times New Roman" w:hAnsi="Calibri" w:cs="Calibri"/>
                <w:color w:val="000000"/>
              </w:rPr>
              <w:t>)</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11.43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10.43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10.52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10.01 </w:t>
            </w:r>
          </w:p>
        </w:tc>
      </w:tr>
      <w:tr w:rsidR="009E4F5B" w:rsidRPr="00A140B9" w:rsidTr="002E51B7">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Current Assets (</w:t>
            </w:r>
            <w:proofErr w:type="spellStart"/>
            <w:r w:rsidR="006140CE">
              <w:rPr>
                <w:rFonts w:ascii="Calibri" w:eastAsia="Times New Roman" w:hAnsi="Calibri" w:cs="Calibri"/>
                <w:color w:val="000000"/>
              </w:rPr>
              <w:t>A</w:t>
            </w:r>
            <w:r w:rsidRPr="00A140B9">
              <w:rPr>
                <w:rFonts w:ascii="Calibri" w:eastAsia="Times New Roman" w:hAnsi="Calibri" w:cs="Calibri"/>
                <w:color w:val="000000"/>
              </w:rPr>
              <w:t>rba</w:t>
            </w:r>
            <w:proofErr w:type="spellEnd"/>
            <w:r w:rsidRPr="00A140B9">
              <w:rPr>
                <w:rFonts w:ascii="Calibri" w:eastAsia="Times New Roman" w:hAnsi="Calibri" w:cs="Calibri"/>
                <w:color w:val="000000"/>
              </w:rPr>
              <w:t>)</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19.86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21.69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18.40 </w:t>
            </w:r>
          </w:p>
        </w:tc>
        <w:tc>
          <w:tcPr>
            <w:tcW w:w="0" w:type="auto"/>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12.69 </w:t>
            </w:r>
          </w:p>
        </w:tc>
      </w:tr>
      <w:tr w:rsidR="009E4F5B" w:rsidRPr="00A140B9" w:rsidTr="002E51B7">
        <w:trPr>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Sales (</w:t>
            </w:r>
            <w:proofErr w:type="spellStart"/>
            <w:r w:rsidR="006140CE">
              <w:rPr>
                <w:rFonts w:ascii="Calibri" w:eastAsia="Times New Roman" w:hAnsi="Calibri" w:cs="Calibri"/>
                <w:color w:val="000000"/>
              </w:rPr>
              <w:t>A</w:t>
            </w:r>
            <w:r w:rsidRPr="00A140B9">
              <w:rPr>
                <w:rFonts w:ascii="Calibri" w:eastAsia="Times New Roman" w:hAnsi="Calibri" w:cs="Calibri"/>
                <w:color w:val="000000"/>
              </w:rPr>
              <w:t>rba</w:t>
            </w:r>
            <w:proofErr w:type="spellEnd"/>
            <w:r w:rsidRPr="00A140B9">
              <w:rPr>
                <w:rFonts w:ascii="Calibri" w:eastAsia="Times New Roman" w:hAnsi="Calibri" w:cs="Calibri"/>
                <w:color w:val="000000"/>
              </w:rPr>
              <w:t>)</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40.17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w:t>
            </w:r>
            <w:r w:rsidR="00DC6123">
              <w:rPr>
                <w:rFonts w:ascii="Arial" w:eastAsia="Times New Roman" w:hAnsi="Arial" w:cs="Arial"/>
                <w:color w:val="000000"/>
                <w:sz w:val="20"/>
                <w:szCs w:val="20"/>
              </w:rPr>
              <w:t>49.74</w:t>
            </w:r>
            <w:r w:rsidRPr="00A140B9">
              <w:rPr>
                <w:rFonts w:ascii="Arial" w:eastAsia="Times New Roman" w:hAnsi="Arial" w:cs="Arial"/>
                <w:color w:val="000000"/>
                <w:sz w:val="20"/>
                <w:szCs w:val="20"/>
              </w:rPr>
              <w:t xml:space="preserve">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29.56 </w:t>
            </w:r>
          </w:p>
        </w:tc>
        <w:tc>
          <w:tcPr>
            <w:tcW w:w="0" w:type="auto"/>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140B9">
              <w:rPr>
                <w:rFonts w:ascii="Arial" w:eastAsia="Times New Roman" w:hAnsi="Arial" w:cs="Arial"/>
                <w:color w:val="000000"/>
                <w:sz w:val="20"/>
                <w:szCs w:val="20"/>
              </w:rPr>
              <w:t xml:space="preserve"> 21.10 </w:t>
            </w:r>
          </w:p>
        </w:tc>
      </w:tr>
      <w:tr w:rsidR="009E4F5B" w:rsidRPr="00A140B9" w:rsidTr="002E51B7">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Gross Income (</w:t>
            </w:r>
            <w:r w:rsidR="006140CE">
              <w:rPr>
                <w:rFonts w:ascii="Calibri" w:eastAsia="Times New Roman" w:hAnsi="Calibri" w:cs="Calibri"/>
                <w:color w:val="000000"/>
              </w:rPr>
              <w:t>C</w:t>
            </w:r>
            <w:r w:rsidRPr="00A140B9">
              <w:rPr>
                <w:rFonts w:ascii="Calibri" w:eastAsia="Times New Roman" w:hAnsi="Calibri" w:cs="Calibri"/>
                <w:color w:val="000000"/>
              </w:rPr>
              <w:t>rore)</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411.83 </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502.33 </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290.34 </w:t>
            </w:r>
          </w:p>
        </w:tc>
        <w:tc>
          <w:tcPr>
            <w:tcW w:w="0" w:type="auto"/>
            <w:noWrap/>
            <w:hideMark/>
          </w:tcPr>
          <w:p w:rsidR="00A140B9" w:rsidRPr="00A140B9" w:rsidRDefault="008E52EC"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185.40</w:t>
            </w:r>
            <w:r w:rsidR="00A140B9" w:rsidRPr="00A140B9">
              <w:rPr>
                <w:rFonts w:ascii="Calibri" w:eastAsia="Times New Roman" w:hAnsi="Calibri" w:cs="Calibri"/>
                <w:color w:val="000000"/>
              </w:rPr>
              <w:t xml:space="preserve"> </w:t>
            </w:r>
          </w:p>
        </w:tc>
      </w:tr>
      <w:tr w:rsidR="009E4F5B" w:rsidRPr="00A140B9" w:rsidTr="002E51B7">
        <w:trPr>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Gross profit margin%</w:t>
            </w:r>
          </w:p>
        </w:tc>
        <w:tc>
          <w:tcPr>
            <w:tcW w:w="0" w:type="auto"/>
            <w:noWrap/>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10.25%</w:t>
            </w:r>
          </w:p>
        </w:tc>
        <w:tc>
          <w:tcPr>
            <w:tcW w:w="0" w:type="auto"/>
            <w:noWrap/>
            <w:hideMark/>
          </w:tcPr>
          <w:p w:rsidR="00A140B9" w:rsidRPr="008E52EC" w:rsidRDefault="008E52EC"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10.10%</w:t>
            </w:r>
          </w:p>
        </w:tc>
        <w:tc>
          <w:tcPr>
            <w:tcW w:w="0" w:type="auto"/>
            <w:noWrap/>
            <w:hideMark/>
          </w:tcPr>
          <w:p w:rsidR="00A140B9" w:rsidRPr="008E52EC" w:rsidRDefault="008E52EC"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9.82%</w:t>
            </w:r>
          </w:p>
        </w:tc>
        <w:tc>
          <w:tcPr>
            <w:tcW w:w="0" w:type="auto"/>
            <w:noWrap/>
            <w:hideMark/>
          </w:tcPr>
          <w:p w:rsidR="00A140B9" w:rsidRPr="008E52EC"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8E52EC">
              <w:rPr>
                <w:rFonts w:ascii="Calibri" w:eastAsia="Times New Roman" w:hAnsi="Calibri" w:cs="Calibri"/>
                <w:color w:val="000000"/>
              </w:rPr>
              <w:t>8.31%</w:t>
            </w:r>
          </w:p>
        </w:tc>
      </w:tr>
      <w:tr w:rsidR="009E4F5B" w:rsidRPr="00A140B9" w:rsidTr="002E51B7">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lastRenderedPageBreak/>
              <w:t>EBIT (</w:t>
            </w:r>
            <w:r w:rsidR="006140CE">
              <w:rPr>
                <w:rFonts w:ascii="Calibri" w:eastAsia="Times New Roman" w:hAnsi="Calibri" w:cs="Calibri"/>
                <w:color w:val="000000"/>
              </w:rPr>
              <w:t>C</w:t>
            </w:r>
            <w:r w:rsidRPr="00A140B9">
              <w:rPr>
                <w:rFonts w:ascii="Calibri" w:eastAsia="Times New Roman" w:hAnsi="Calibri" w:cs="Calibri"/>
                <w:color w:val="000000"/>
              </w:rPr>
              <w:t>rore)</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 292.82 </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376.26 </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202.62 </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107.69 </w:t>
            </w:r>
          </w:p>
        </w:tc>
      </w:tr>
      <w:tr w:rsidR="006E0D41" w:rsidRPr="00A140B9" w:rsidTr="002E51B7">
        <w:trPr>
          <w:trHeight w:val="204"/>
        </w:trPr>
        <w:tc>
          <w:tcPr>
            <w:cnfStyle w:val="001000000000" w:firstRow="0" w:lastRow="0" w:firstColumn="1" w:lastColumn="0" w:oddVBand="0" w:evenVBand="0" w:oddHBand="0" w:evenHBand="0" w:firstRowFirstColumn="0" w:firstRowLastColumn="0" w:lastRowFirstColumn="0" w:lastRowLastColumn="0"/>
            <w:tcW w:w="0" w:type="auto"/>
            <w:noWrap/>
          </w:tcPr>
          <w:p w:rsidR="006E0D41" w:rsidRPr="00A140B9" w:rsidRDefault="006E0D41" w:rsidP="00A140B9">
            <w:pPr>
              <w:rPr>
                <w:rFonts w:ascii="Calibri" w:eastAsia="Times New Roman" w:hAnsi="Calibri" w:cs="Calibri"/>
                <w:color w:val="000000"/>
              </w:rPr>
            </w:pPr>
            <w:r>
              <w:rPr>
                <w:rFonts w:ascii="Calibri" w:eastAsia="Times New Roman" w:hAnsi="Calibri" w:cs="Calibri"/>
                <w:color w:val="000000"/>
              </w:rPr>
              <w:t>F</w:t>
            </w:r>
            <w:r>
              <w:rPr>
                <w:rFonts w:ascii="Calibri" w:eastAsia="Times New Roman" w:hAnsi="Calibri" w:cs="Calibri"/>
              </w:rPr>
              <w:t>inance Cost (Crore)</w:t>
            </w:r>
          </w:p>
        </w:tc>
        <w:tc>
          <w:tcPr>
            <w:tcW w:w="0" w:type="auto"/>
            <w:noWrap/>
          </w:tcPr>
          <w:p w:rsidR="006E0D41" w:rsidRPr="00A140B9" w:rsidRDefault="006E0D41" w:rsidP="006E0D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D41">
              <w:rPr>
                <w:rFonts w:ascii="Calibri" w:eastAsia="Times New Roman" w:hAnsi="Calibri" w:cs="Calibri"/>
                <w:color w:val="000000"/>
              </w:rPr>
              <w:t>298.80</w:t>
            </w:r>
          </w:p>
        </w:tc>
        <w:tc>
          <w:tcPr>
            <w:tcW w:w="0" w:type="auto"/>
            <w:noWrap/>
          </w:tcPr>
          <w:p w:rsidR="006E0D41" w:rsidRPr="00A140B9" w:rsidRDefault="006E0D41" w:rsidP="006E0D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D41">
              <w:rPr>
                <w:rFonts w:ascii="Calibri" w:eastAsia="Times New Roman" w:hAnsi="Calibri" w:cs="Calibri"/>
                <w:color w:val="000000"/>
              </w:rPr>
              <w:t>220.00</w:t>
            </w:r>
          </w:p>
        </w:tc>
        <w:tc>
          <w:tcPr>
            <w:tcW w:w="0" w:type="auto"/>
            <w:noWrap/>
          </w:tcPr>
          <w:p w:rsidR="006E0D41" w:rsidRPr="00A140B9" w:rsidRDefault="006E0D41" w:rsidP="006E0D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D41">
              <w:rPr>
                <w:rFonts w:ascii="Calibri" w:eastAsia="Times New Roman" w:hAnsi="Calibri" w:cs="Calibri"/>
                <w:color w:val="000000"/>
              </w:rPr>
              <w:t>94.50</w:t>
            </w:r>
          </w:p>
        </w:tc>
        <w:tc>
          <w:tcPr>
            <w:tcW w:w="0" w:type="auto"/>
            <w:noWrap/>
          </w:tcPr>
          <w:p w:rsidR="006E0D41" w:rsidRPr="00A140B9" w:rsidRDefault="006E0D41" w:rsidP="006E0D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E0D41">
              <w:rPr>
                <w:rFonts w:ascii="Calibri" w:eastAsia="Times New Roman" w:hAnsi="Calibri" w:cs="Calibri"/>
                <w:color w:val="000000"/>
              </w:rPr>
              <w:t>127.90</w:t>
            </w:r>
          </w:p>
        </w:tc>
      </w:tr>
      <w:tr w:rsidR="009E4F5B" w:rsidRPr="00A140B9" w:rsidTr="002E51B7">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EBT(</w:t>
            </w:r>
            <w:r w:rsidR="006140CE">
              <w:rPr>
                <w:rFonts w:ascii="Calibri" w:eastAsia="Times New Roman" w:hAnsi="Calibri" w:cs="Calibri"/>
                <w:color w:val="000000"/>
              </w:rPr>
              <w:t>C</w:t>
            </w:r>
            <w:r w:rsidRPr="00A140B9">
              <w:rPr>
                <w:rFonts w:ascii="Calibri" w:eastAsia="Times New Roman" w:hAnsi="Calibri" w:cs="Calibri"/>
                <w:color w:val="000000"/>
              </w:rPr>
              <w:t>rore)</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 17.53 </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167.87 </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111.42 </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(19.03)</w:t>
            </w:r>
          </w:p>
        </w:tc>
      </w:tr>
      <w:tr w:rsidR="009E4F5B" w:rsidRPr="00A140B9" w:rsidTr="002E51B7">
        <w:trPr>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EAT(</w:t>
            </w:r>
            <w:r w:rsidR="006140CE">
              <w:rPr>
                <w:rFonts w:ascii="Calibri" w:eastAsia="Times New Roman" w:hAnsi="Calibri" w:cs="Calibri"/>
                <w:color w:val="000000"/>
              </w:rPr>
              <w:t>C</w:t>
            </w:r>
            <w:r w:rsidRPr="00A140B9">
              <w:rPr>
                <w:rFonts w:ascii="Calibri" w:eastAsia="Times New Roman" w:hAnsi="Calibri" w:cs="Calibri"/>
                <w:color w:val="000000"/>
              </w:rPr>
              <w:t>rore)</w:t>
            </w:r>
          </w:p>
        </w:tc>
        <w:tc>
          <w:tcPr>
            <w:tcW w:w="0" w:type="auto"/>
            <w:noWrap/>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8.61 </w:t>
            </w:r>
          </w:p>
        </w:tc>
        <w:tc>
          <w:tcPr>
            <w:tcW w:w="0" w:type="auto"/>
            <w:noWrap/>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141.96 </w:t>
            </w:r>
          </w:p>
        </w:tc>
        <w:tc>
          <w:tcPr>
            <w:tcW w:w="0" w:type="auto"/>
            <w:noWrap/>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92.55 </w:t>
            </w:r>
          </w:p>
        </w:tc>
        <w:tc>
          <w:tcPr>
            <w:tcW w:w="0" w:type="auto"/>
            <w:noWrap/>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(16.07)</w:t>
            </w:r>
          </w:p>
        </w:tc>
      </w:tr>
      <w:tr w:rsidR="009E4F5B" w:rsidRPr="00A140B9" w:rsidTr="002E51B7">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Net profit margin%</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0.21%</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3.43%</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3.13%</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-0.76%</w:t>
            </w:r>
          </w:p>
        </w:tc>
      </w:tr>
      <w:tr w:rsidR="009E4F5B" w:rsidRPr="00A140B9" w:rsidTr="002E51B7">
        <w:trPr>
          <w:trHeight w:val="71"/>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EPS</w:t>
            </w:r>
          </w:p>
        </w:tc>
        <w:tc>
          <w:tcPr>
            <w:tcW w:w="0" w:type="auto"/>
            <w:noWrap/>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1.84 </w:t>
            </w:r>
          </w:p>
        </w:tc>
        <w:tc>
          <w:tcPr>
            <w:tcW w:w="0" w:type="auto"/>
            <w:noWrap/>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81.12 </w:t>
            </w:r>
          </w:p>
        </w:tc>
        <w:tc>
          <w:tcPr>
            <w:tcW w:w="0" w:type="auto"/>
            <w:noWrap/>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52.89 </w:t>
            </w:r>
          </w:p>
        </w:tc>
        <w:tc>
          <w:tcPr>
            <w:tcW w:w="0" w:type="auto"/>
            <w:noWrap/>
            <w:hideMark/>
          </w:tcPr>
          <w:p w:rsidR="00A140B9" w:rsidRPr="00A140B9" w:rsidRDefault="00A140B9" w:rsidP="009E4F5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w:t>
            </w:r>
          </w:p>
        </w:tc>
      </w:tr>
      <w:tr w:rsidR="009E4F5B" w:rsidRPr="00A140B9" w:rsidTr="002E51B7">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noWrap/>
            <w:hideMark/>
          </w:tcPr>
          <w:p w:rsidR="00A140B9" w:rsidRPr="00A140B9" w:rsidRDefault="00A140B9" w:rsidP="00A140B9">
            <w:pPr>
              <w:rPr>
                <w:rFonts w:ascii="Calibri" w:eastAsia="Times New Roman" w:hAnsi="Calibri" w:cs="Calibri"/>
                <w:color w:val="000000"/>
              </w:rPr>
            </w:pPr>
            <w:r w:rsidRPr="00A140B9">
              <w:rPr>
                <w:rFonts w:ascii="Calibri" w:eastAsia="Times New Roman" w:hAnsi="Calibri" w:cs="Calibri"/>
                <w:color w:val="000000"/>
              </w:rPr>
              <w:t>BV</w:t>
            </w:r>
            <w:r w:rsidR="00D02DB8">
              <w:rPr>
                <w:rFonts w:ascii="Calibri" w:eastAsia="Times New Roman" w:hAnsi="Calibri" w:cs="Calibri"/>
                <w:color w:val="000000"/>
              </w:rPr>
              <w:t>P</w:t>
            </w:r>
            <w:r w:rsidR="00D02DB8">
              <w:rPr>
                <w:rFonts w:ascii="Calibri" w:eastAsia="Times New Roman" w:hAnsi="Calibri" w:cs="Calibri"/>
              </w:rPr>
              <w:t>S</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 150.05 </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394.62 </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316.58 </w:t>
            </w:r>
          </w:p>
        </w:tc>
        <w:tc>
          <w:tcPr>
            <w:tcW w:w="0" w:type="auto"/>
            <w:noWrap/>
            <w:hideMark/>
          </w:tcPr>
          <w:p w:rsidR="00A140B9" w:rsidRPr="00A140B9" w:rsidRDefault="00A140B9" w:rsidP="009E4F5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140B9">
              <w:rPr>
                <w:rFonts w:ascii="Calibri" w:eastAsia="Times New Roman" w:hAnsi="Calibri" w:cs="Calibri"/>
                <w:color w:val="000000"/>
              </w:rPr>
              <w:t xml:space="preserve">261.86 </w:t>
            </w:r>
          </w:p>
        </w:tc>
      </w:tr>
    </w:tbl>
    <w:p w:rsidR="00DB1C98" w:rsidRDefault="00DB1C98" w:rsidP="00701EF7">
      <w:pPr>
        <w:spacing w:after="0"/>
        <w:rPr>
          <w:rFonts w:ascii="Arial" w:hAnsi="Arial" w:cs="Arial"/>
          <w:b/>
          <w:bCs/>
          <w:color w:val="000000"/>
          <w:highlight w:val="yellow"/>
        </w:rPr>
      </w:pPr>
    </w:p>
    <w:p w:rsidR="00233346" w:rsidRPr="0011692F" w:rsidRDefault="00E83B77" w:rsidP="00E83B77">
      <w:pPr>
        <w:jc w:val="both"/>
        <w:rPr>
          <w:rFonts w:ascii="Arial" w:hAnsi="Arial" w:cs="Arial"/>
          <w:bCs/>
          <w:color w:val="000000"/>
        </w:rPr>
      </w:pPr>
      <w:r w:rsidRPr="0011692F">
        <w:rPr>
          <w:rFonts w:ascii="Arial" w:hAnsi="Arial" w:cs="Arial"/>
          <w:bCs/>
          <w:color w:val="000000"/>
        </w:rPr>
        <w:t xml:space="preserve">The </w:t>
      </w:r>
      <w:r w:rsidR="0011692F" w:rsidRPr="0011692F">
        <w:rPr>
          <w:rFonts w:ascii="Arial" w:hAnsi="Arial" w:cs="Arial"/>
          <w:bCs/>
          <w:color w:val="000000"/>
        </w:rPr>
        <w:t>Steel</w:t>
      </w:r>
      <w:r w:rsidR="00702338">
        <w:rPr>
          <w:rFonts w:ascii="Arial" w:hAnsi="Arial" w:cs="Arial"/>
          <w:bCs/>
          <w:color w:val="000000"/>
        </w:rPr>
        <w:t xml:space="preserve"> </w:t>
      </w:r>
      <w:r w:rsidRPr="0011692F">
        <w:rPr>
          <w:rFonts w:ascii="Arial" w:hAnsi="Arial" w:cs="Arial"/>
          <w:bCs/>
          <w:color w:val="000000"/>
        </w:rPr>
        <w:t>industry is highly cyclical in nature and depends largely on the economic growth of the country.</w:t>
      </w:r>
      <w:r w:rsidR="00F344AA">
        <w:rPr>
          <w:rFonts w:ascii="Arial" w:hAnsi="Arial" w:cs="Arial"/>
          <w:bCs/>
          <w:color w:val="000000"/>
        </w:rPr>
        <w:t xml:space="preserve"> </w:t>
      </w:r>
      <w:r w:rsidRPr="0011692F">
        <w:rPr>
          <w:rFonts w:ascii="Arial" w:hAnsi="Arial" w:cs="Arial"/>
          <w:bCs/>
          <w:color w:val="000000"/>
        </w:rPr>
        <w:t>Hence, the company is exposed to cyclical trends in supply and demand in the industry, impacting the capacity utilization, revenues and margins</w:t>
      </w:r>
    </w:p>
    <w:p w:rsidR="0015256D" w:rsidRDefault="0015256D" w:rsidP="009B12F4">
      <w:pPr>
        <w:spacing w:after="0" w:line="240" w:lineRule="auto"/>
        <w:jc w:val="both"/>
        <w:rPr>
          <w:rStyle w:val="Strong"/>
          <w:rFonts w:ascii="Arial" w:hAnsi="Arial" w:cs="Arial"/>
          <w:color w:val="000000"/>
        </w:rPr>
      </w:pPr>
    </w:p>
    <w:p w:rsidR="0015256D" w:rsidRDefault="0015256D" w:rsidP="009B12F4">
      <w:pPr>
        <w:spacing w:after="0" w:line="240" w:lineRule="auto"/>
        <w:jc w:val="both"/>
        <w:rPr>
          <w:rStyle w:val="Strong"/>
          <w:rFonts w:ascii="Arial" w:hAnsi="Arial" w:cs="Arial"/>
          <w:color w:val="000000"/>
        </w:rPr>
      </w:pPr>
    </w:p>
    <w:p w:rsidR="00B1425F" w:rsidRPr="009E4F5B" w:rsidRDefault="00B1425F" w:rsidP="009B12F4">
      <w:pPr>
        <w:spacing w:after="0" w:line="240" w:lineRule="auto"/>
        <w:jc w:val="both"/>
        <w:rPr>
          <w:rFonts w:ascii="Arial" w:hAnsi="Arial" w:cs="Arial"/>
          <w:color w:val="000000"/>
        </w:rPr>
      </w:pPr>
      <w:r w:rsidRPr="009E4F5B">
        <w:rPr>
          <w:rStyle w:val="Strong"/>
          <w:rFonts w:ascii="Arial" w:hAnsi="Arial" w:cs="Arial"/>
          <w:color w:val="000000"/>
        </w:rPr>
        <w:t>Capital Market Situation</w:t>
      </w:r>
      <w:r w:rsidRPr="009E4F5B">
        <w:rPr>
          <w:rFonts w:ascii="Arial" w:hAnsi="Arial" w:cs="Arial"/>
          <w:color w:val="000000"/>
        </w:rPr>
        <w:t xml:space="preserve"> </w:t>
      </w:r>
    </w:p>
    <w:p w:rsidR="009B12F4" w:rsidRPr="005613A3" w:rsidRDefault="009B12F4" w:rsidP="009B12F4">
      <w:pPr>
        <w:spacing w:after="0" w:line="240" w:lineRule="auto"/>
        <w:jc w:val="both"/>
        <w:rPr>
          <w:rFonts w:ascii="Arial" w:hAnsi="Arial" w:cs="Arial"/>
          <w:highlight w:val="yellow"/>
        </w:rPr>
      </w:pPr>
    </w:p>
    <w:p w:rsidR="00F344AA" w:rsidRPr="00F344AA" w:rsidRDefault="00F344AA" w:rsidP="00F344AA">
      <w:pPr>
        <w:spacing w:after="0" w:line="240" w:lineRule="auto"/>
        <w:jc w:val="both"/>
        <w:rPr>
          <w:rFonts w:ascii="Arial" w:hAnsi="Arial" w:cs="Arial"/>
          <w:color w:val="000000"/>
        </w:rPr>
      </w:pPr>
      <w:r w:rsidRPr="00F344AA">
        <w:rPr>
          <w:rFonts w:ascii="Arial" w:hAnsi="Arial" w:cs="Arial"/>
          <w:color w:val="000000"/>
        </w:rPr>
        <w:t>Currently, NEPSE is hovering around the 2000 level, exhibiting mostly sideways correction. The market closed at 2,004.30 as of September 27, 2023, with a market capitalization of NPR 3038.69 billion.</w:t>
      </w:r>
    </w:p>
    <w:p w:rsidR="00F344AA" w:rsidRPr="00F344AA" w:rsidRDefault="00F344AA" w:rsidP="00F344AA">
      <w:pPr>
        <w:spacing w:after="0" w:line="240" w:lineRule="auto"/>
        <w:jc w:val="both"/>
        <w:rPr>
          <w:rFonts w:ascii="Arial" w:hAnsi="Arial" w:cs="Arial"/>
          <w:color w:val="000000"/>
        </w:rPr>
      </w:pPr>
    </w:p>
    <w:p w:rsidR="00F344AA" w:rsidRPr="00F344AA" w:rsidRDefault="00F344AA" w:rsidP="00F344AA">
      <w:pPr>
        <w:spacing w:after="0" w:line="240" w:lineRule="auto"/>
        <w:jc w:val="both"/>
        <w:rPr>
          <w:rFonts w:ascii="Arial" w:hAnsi="Arial" w:cs="Arial"/>
          <w:color w:val="000000"/>
        </w:rPr>
      </w:pPr>
      <w:r w:rsidRPr="00F344AA">
        <w:rPr>
          <w:rFonts w:ascii="Arial" w:hAnsi="Arial" w:cs="Arial"/>
          <w:color w:val="000000"/>
        </w:rPr>
        <w:t xml:space="preserve">The current market position appears to be improving, driven by positive economic data. Notably, the Balance of Payments (BOP) and remittance data are positive. In the 1-month data for 2080/81, remittances increased by 25.8 percent in NPR terms and 21.5 percent in USD terms. The Balance of Payments maintained a surplus of Rs. 32.90 billion. Additionally, the policy of the Nepal </w:t>
      </w:r>
      <w:proofErr w:type="spellStart"/>
      <w:r w:rsidRPr="00F344AA">
        <w:rPr>
          <w:rFonts w:ascii="Arial" w:hAnsi="Arial" w:cs="Arial"/>
          <w:color w:val="000000"/>
        </w:rPr>
        <w:t>Rastra</w:t>
      </w:r>
      <w:proofErr w:type="spellEnd"/>
      <w:r w:rsidRPr="00F344AA">
        <w:rPr>
          <w:rFonts w:ascii="Arial" w:hAnsi="Arial" w:cs="Arial"/>
          <w:color w:val="000000"/>
        </w:rPr>
        <w:t xml:space="preserve"> Bank (NRB) seems more lenient, contributing to an improved liquidity situation.</w:t>
      </w:r>
    </w:p>
    <w:p w:rsidR="00F344AA" w:rsidRPr="00F344AA" w:rsidRDefault="00F344AA" w:rsidP="00F344AA">
      <w:pPr>
        <w:spacing w:after="0" w:line="240" w:lineRule="auto"/>
        <w:jc w:val="both"/>
        <w:rPr>
          <w:rFonts w:ascii="Arial" w:hAnsi="Arial" w:cs="Arial"/>
          <w:color w:val="000000"/>
        </w:rPr>
      </w:pPr>
    </w:p>
    <w:p w:rsidR="00F344AA" w:rsidRPr="00F344AA" w:rsidRDefault="00F344AA" w:rsidP="00F344AA">
      <w:pPr>
        <w:spacing w:after="0" w:line="240" w:lineRule="auto"/>
        <w:jc w:val="both"/>
        <w:rPr>
          <w:rFonts w:ascii="Arial" w:hAnsi="Arial" w:cs="Arial"/>
          <w:color w:val="000000"/>
        </w:rPr>
      </w:pPr>
      <w:r w:rsidRPr="00F344AA">
        <w:rPr>
          <w:rFonts w:ascii="Arial" w:hAnsi="Arial" w:cs="Arial"/>
          <w:color w:val="000000"/>
        </w:rPr>
        <w:t>Public participation in primary issues is still witnessing oversubscription, exceeding the call amount by more than 1.5 times. This is attributed to the attractive trading prices of issued company stocks on NEPSE. Furthermore, public perception towards the manufacturing sector is notably optimistic.</w:t>
      </w:r>
    </w:p>
    <w:p w:rsidR="00F344AA" w:rsidRPr="00F344AA" w:rsidRDefault="00F344AA" w:rsidP="00F344AA">
      <w:pPr>
        <w:spacing w:after="0" w:line="240" w:lineRule="auto"/>
        <w:jc w:val="both"/>
        <w:rPr>
          <w:rFonts w:ascii="Arial" w:hAnsi="Arial" w:cs="Arial"/>
          <w:color w:val="000000"/>
        </w:rPr>
      </w:pPr>
    </w:p>
    <w:p w:rsidR="00FA0667" w:rsidRDefault="00F344AA" w:rsidP="00F344AA">
      <w:pPr>
        <w:spacing w:after="0" w:line="240" w:lineRule="auto"/>
        <w:jc w:val="both"/>
        <w:rPr>
          <w:rFonts w:ascii="Arial" w:hAnsi="Arial" w:cs="Arial"/>
          <w:color w:val="000000"/>
        </w:rPr>
      </w:pPr>
      <w:r w:rsidRPr="00F344AA">
        <w:rPr>
          <w:rFonts w:ascii="Arial" w:hAnsi="Arial" w:cs="Arial"/>
          <w:color w:val="000000"/>
        </w:rPr>
        <w:t>Below is a list of large companies that have recently raised capital via IPO, along with the total applications received from the public:</w:t>
      </w:r>
    </w:p>
    <w:p w:rsidR="00F344AA" w:rsidRDefault="00F344AA" w:rsidP="009B12F4">
      <w:pPr>
        <w:spacing w:after="0" w:line="240" w:lineRule="auto"/>
        <w:jc w:val="both"/>
        <w:rPr>
          <w:rFonts w:ascii="Arial" w:hAnsi="Arial" w:cs="Arial"/>
          <w:color w:val="000000"/>
        </w:rPr>
      </w:pPr>
    </w:p>
    <w:p w:rsidR="00F344AA" w:rsidRDefault="00F344AA" w:rsidP="009B12F4">
      <w:pPr>
        <w:spacing w:after="0" w:line="240" w:lineRule="auto"/>
        <w:jc w:val="both"/>
        <w:rPr>
          <w:rFonts w:ascii="Arial" w:hAnsi="Arial" w:cs="Arial"/>
          <w:color w:val="000000"/>
        </w:rPr>
      </w:pPr>
    </w:p>
    <w:tbl>
      <w:tblPr>
        <w:tblStyle w:val="GridTable4-Accent3"/>
        <w:tblW w:w="10441" w:type="dxa"/>
        <w:tblLook w:val="04A0" w:firstRow="1" w:lastRow="0" w:firstColumn="1" w:lastColumn="0" w:noHBand="0" w:noVBand="1"/>
      </w:tblPr>
      <w:tblGrid>
        <w:gridCol w:w="1081"/>
        <w:gridCol w:w="1081"/>
        <w:gridCol w:w="1010"/>
        <w:gridCol w:w="774"/>
        <w:gridCol w:w="1026"/>
        <w:gridCol w:w="1089"/>
        <w:gridCol w:w="1166"/>
        <w:gridCol w:w="1250"/>
        <w:gridCol w:w="1076"/>
        <w:gridCol w:w="888"/>
      </w:tblGrid>
      <w:tr w:rsidR="006E0D41" w:rsidRPr="007E4578" w:rsidTr="000736FB">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0" w:type="auto"/>
            <w:hideMark/>
          </w:tcPr>
          <w:p w:rsidR="006E0D41" w:rsidRPr="002E51B7" w:rsidRDefault="006E0D41" w:rsidP="007E4578">
            <w:pPr>
              <w:rPr>
                <w:rFonts w:ascii="Calibri" w:eastAsia="Times New Roman" w:hAnsi="Calibri" w:cs="Calibri"/>
                <w:b w:val="0"/>
                <w:color w:val="000000" w:themeColor="text1"/>
                <w:sz w:val="20"/>
                <w:szCs w:val="20"/>
              </w:rPr>
            </w:pPr>
            <w:r w:rsidRPr="002E51B7">
              <w:rPr>
                <w:rFonts w:ascii="Calibri" w:eastAsia="Times New Roman" w:hAnsi="Calibri" w:cs="Calibri"/>
                <w:color w:val="000000" w:themeColor="text1"/>
                <w:sz w:val="20"/>
                <w:szCs w:val="20"/>
              </w:rPr>
              <w:t>Closing Date</w:t>
            </w:r>
          </w:p>
        </w:tc>
        <w:tc>
          <w:tcPr>
            <w:tcW w:w="0" w:type="auto"/>
            <w:hideMark/>
          </w:tcPr>
          <w:p w:rsidR="006E0D41" w:rsidRPr="002E51B7" w:rsidRDefault="006E0D41" w:rsidP="007E4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themeColor="text1"/>
                <w:sz w:val="20"/>
                <w:szCs w:val="20"/>
              </w:rPr>
            </w:pPr>
            <w:r w:rsidRPr="002E51B7">
              <w:rPr>
                <w:rFonts w:ascii="Calibri" w:eastAsia="Times New Roman" w:hAnsi="Calibri" w:cs="Calibri"/>
                <w:color w:val="000000" w:themeColor="text1"/>
                <w:sz w:val="20"/>
                <w:szCs w:val="20"/>
              </w:rPr>
              <w:t>Last Closing Date</w:t>
            </w:r>
          </w:p>
        </w:tc>
        <w:tc>
          <w:tcPr>
            <w:tcW w:w="1010" w:type="dxa"/>
            <w:hideMark/>
          </w:tcPr>
          <w:p w:rsidR="006E0D41" w:rsidRPr="002E51B7" w:rsidRDefault="006E0D41" w:rsidP="007E4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0"/>
                <w:szCs w:val="20"/>
              </w:rPr>
            </w:pPr>
            <w:r w:rsidRPr="002E51B7">
              <w:rPr>
                <w:rFonts w:ascii="Calibri" w:eastAsia="Times New Roman" w:hAnsi="Calibri" w:cs="Calibri"/>
                <w:color w:val="000000" w:themeColor="text1"/>
                <w:sz w:val="20"/>
                <w:szCs w:val="20"/>
              </w:rPr>
              <w:t>Company</w:t>
            </w:r>
          </w:p>
          <w:p w:rsidR="006E0D41" w:rsidRPr="002E51B7" w:rsidRDefault="006E0D41" w:rsidP="007E4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0"/>
                <w:szCs w:val="20"/>
              </w:rPr>
            </w:pPr>
            <w:r w:rsidRPr="002E51B7">
              <w:rPr>
                <w:rFonts w:ascii="Calibri" w:eastAsia="Times New Roman" w:hAnsi="Calibri" w:cs="Calibri"/>
                <w:color w:val="000000" w:themeColor="text1"/>
                <w:sz w:val="20"/>
                <w:szCs w:val="20"/>
              </w:rPr>
              <w:t> </w:t>
            </w:r>
          </w:p>
        </w:tc>
        <w:tc>
          <w:tcPr>
            <w:tcW w:w="774" w:type="dxa"/>
            <w:hideMark/>
          </w:tcPr>
          <w:p w:rsidR="006E0D41" w:rsidRPr="002E51B7" w:rsidRDefault="006E0D41" w:rsidP="007E45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0"/>
                <w:szCs w:val="20"/>
              </w:rPr>
            </w:pPr>
            <w:r w:rsidRPr="002E51B7">
              <w:rPr>
                <w:rFonts w:ascii="Calibri" w:eastAsia="Times New Roman" w:hAnsi="Calibri" w:cs="Calibri"/>
                <w:color w:val="000000" w:themeColor="text1"/>
                <w:sz w:val="20"/>
                <w:szCs w:val="20"/>
              </w:rPr>
              <w:t>Price (Rs.)</w:t>
            </w:r>
          </w:p>
          <w:p w:rsidR="006E0D41" w:rsidRPr="002E51B7" w:rsidRDefault="006E0D41" w:rsidP="007E4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0"/>
                <w:szCs w:val="20"/>
              </w:rPr>
            </w:pPr>
          </w:p>
        </w:tc>
        <w:tc>
          <w:tcPr>
            <w:tcW w:w="1026" w:type="dxa"/>
            <w:hideMark/>
          </w:tcPr>
          <w:p w:rsidR="006E0D41" w:rsidRPr="002E51B7" w:rsidRDefault="006E0D41" w:rsidP="007E457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0"/>
                <w:szCs w:val="20"/>
              </w:rPr>
            </w:pPr>
            <w:proofErr w:type="spellStart"/>
            <w:r w:rsidRPr="002E51B7">
              <w:rPr>
                <w:rFonts w:ascii="Calibri" w:eastAsia="Times New Roman" w:hAnsi="Calibri" w:cs="Calibri"/>
                <w:color w:val="000000" w:themeColor="text1"/>
                <w:sz w:val="20"/>
                <w:szCs w:val="20"/>
              </w:rPr>
              <w:t>Kitta</w:t>
            </w:r>
            <w:proofErr w:type="spellEnd"/>
            <w:r w:rsidRPr="002E51B7">
              <w:rPr>
                <w:rFonts w:ascii="Calibri" w:eastAsia="Times New Roman" w:hAnsi="Calibri" w:cs="Calibri"/>
                <w:color w:val="000000" w:themeColor="text1"/>
                <w:sz w:val="20"/>
                <w:szCs w:val="20"/>
              </w:rPr>
              <w:t xml:space="preserve"> Issued</w:t>
            </w:r>
          </w:p>
          <w:p w:rsidR="006E0D41" w:rsidRPr="002E51B7" w:rsidRDefault="006E0D41" w:rsidP="007E4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0"/>
                <w:szCs w:val="20"/>
              </w:rPr>
            </w:pPr>
          </w:p>
        </w:tc>
        <w:tc>
          <w:tcPr>
            <w:tcW w:w="1089" w:type="dxa"/>
            <w:hideMark/>
          </w:tcPr>
          <w:p w:rsidR="006E0D41" w:rsidRPr="002E51B7" w:rsidRDefault="006E0D41" w:rsidP="007E4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0"/>
                <w:szCs w:val="20"/>
              </w:rPr>
            </w:pPr>
            <w:r w:rsidRPr="002E51B7">
              <w:rPr>
                <w:rFonts w:ascii="Calibri" w:eastAsia="Times New Roman" w:hAnsi="Calibri" w:cs="Calibri"/>
                <w:color w:val="000000" w:themeColor="text1"/>
                <w:sz w:val="20"/>
                <w:szCs w:val="20"/>
              </w:rPr>
              <w:t>Valid Applicants</w:t>
            </w:r>
          </w:p>
          <w:p w:rsidR="006E0D41" w:rsidRPr="002E51B7" w:rsidRDefault="006E0D41" w:rsidP="007E4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0"/>
                <w:szCs w:val="20"/>
              </w:rPr>
            </w:pPr>
            <w:r w:rsidRPr="002E51B7">
              <w:rPr>
                <w:rFonts w:ascii="Calibri" w:eastAsia="Times New Roman" w:hAnsi="Calibri" w:cs="Calibri"/>
                <w:color w:val="000000" w:themeColor="text1"/>
                <w:sz w:val="20"/>
                <w:szCs w:val="20"/>
              </w:rPr>
              <w:t> </w:t>
            </w:r>
          </w:p>
        </w:tc>
        <w:tc>
          <w:tcPr>
            <w:tcW w:w="1166" w:type="dxa"/>
          </w:tcPr>
          <w:p w:rsidR="006E0D41" w:rsidRPr="002E51B7" w:rsidRDefault="006E0D41" w:rsidP="006E0D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0"/>
                <w:szCs w:val="20"/>
              </w:rPr>
            </w:pPr>
            <w:r w:rsidRPr="002E51B7">
              <w:rPr>
                <w:rFonts w:ascii="Calibri" w:eastAsia="Times New Roman" w:hAnsi="Calibri" w:cs="Calibri"/>
                <w:color w:val="000000" w:themeColor="text1"/>
                <w:sz w:val="20"/>
                <w:szCs w:val="20"/>
              </w:rPr>
              <w:t>Total Application in amount (</w:t>
            </w:r>
            <w:proofErr w:type="spellStart"/>
            <w:r w:rsidRPr="002E51B7">
              <w:rPr>
                <w:rFonts w:ascii="Calibri" w:eastAsia="Times New Roman" w:hAnsi="Calibri" w:cs="Calibri"/>
                <w:color w:val="000000" w:themeColor="text1"/>
                <w:sz w:val="20"/>
                <w:szCs w:val="20"/>
              </w:rPr>
              <w:t>cr</w:t>
            </w:r>
            <w:proofErr w:type="spellEnd"/>
            <w:r w:rsidRPr="002E51B7">
              <w:rPr>
                <w:rFonts w:ascii="Calibri" w:eastAsia="Times New Roman" w:hAnsi="Calibri" w:cs="Calibri"/>
                <w:color w:val="000000" w:themeColor="text1"/>
                <w:sz w:val="20"/>
                <w:szCs w:val="20"/>
              </w:rPr>
              <w:t>)</w:t>
            </w:r>
          </w:p>
        </w:tc>
        <w:tc>
          <w:tcPr>
            <w:tcW w:w="868" w:type="dxa"/>
            <w:hideMark/>
          </w:tcPr>
          <w:p w:rsidR="006E0D41" w:rsidRPr="002E51B7" w:rsidRDefault="006E0D41" w:rsidP="007E4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0"/>
                <w:szCs w:val="20"/>
              </w:rPr>
            </w:pPr>
            <w:r w:rsidRPr="002E51B7">
              <w:rPr>
                <w:rFonts w:ascii="Calibri" w:eastAsia="Times New Roman" w:hAnsi="Calibri" w:cs="Calibri"/>
                <w:color w:val="000000" w:themeColor="text1"/>
                <w:sz w:val="20"/>
                <w:szCs w:val="20"/>
              </w:rPr>
              <w:t>Subscription times</w:t>
            </w:r>
          </w:p>
          <w:p w:rsidR="006E0D41" w:rsidRPr="002E51B7" w:rsidRDefault="006E0D41" w:rsidP="007E457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themeColor="text1"/>
                <w:sz w:val="20"/>
                <w:szCs w:val="20"/>
              </w:rPr>
            </w:pPr>
            <w:r w:rsidRPr="002E51B7">
              <w:rPr>
                <w:rFonts w:ascii="Calibri" w:eastAsia="Times New Roman" w:hAnsi="Calibri" w:cs="Calibri"/>
                <w:color w:val="000000" w:themeColor="text1"/>
                <w:sz w:val="20"/>
                <w:szCs w:val="20"/>
              </w:rPr>
              <w:t> </w:t>
            </w:r>
          </w:p>
        </w:tc>
        <w:tc>
          <w:tcPr>
            <w:tcW w:w="1458" w:type="dxa"/>
          </w:tcPr>
          <w:p w:rsidR="006E0D41" w:rsidRPr="002E51B7" w:rsidRDefault="006E0D41" w:rsidP="007E4578">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2E51B7">
              <w:rPr>
                <w:color w:val="000000" w:themeColor="text1"/>
              </w:rPr>
              <w:t>Issue Manager</w:t>
            </w:r>
          </w:p>
        </w:tc>
        <w:tc>
          <w:tcPr>
            <w:tcW w:w="888" w:type="dxa"/>
          </w:tcPr>
          <w:p w:rsidR="006E0D41" w:rsidRPr="002E51B7" w:rsidRDefault="006E0D41" w:rsidP="007E4578">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2E51B7">
              <w:rPr>
                <w:color w:val="000000" w:themeColor="text1"/>
              </w:rPr>
              <w:t>Market price</w:t>
            </w:r>
          </w:p>
        </w:tc>
      </w:tr>
      <w:tr w:rsidR="006E0D41" w:rsidRPr="007E4578" w:rsidTr="000736FB">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0" w:type="auto"/>
            <w:noWrap/>
            <w:hideMark/>
          </w:tcPr>
          <w:p w:rsidR="006E0D41" w:rsidRPr="000736FB" w:rsidRDefault="006E0D41" w:rsidP="006E0D41">
            <w:pPr>
              <w:jc w:val="right"/>
              <w:rPr>
                <w:rFonts w:ascii="Calibri" w:eastAsia="Times New Roman" w:hAnsi="Calibri" w:cs="Calibri"/>
                <w:b w:val="0"/>
                <w:color w:val="000000"/>
                <w:sz w:val="20"/>
                <w:szCs w:val="20"/>
              </w:rPr>
            </w:pPr>
            <w:r w:rsidRPr="000736FB">
              <w:rPr>
                <w:rFonts w:ascii="Calibri" w:eastAsia="Times New Roman" w:hAnsi="Calibri" w:cs="Calibri"/>
                <w:b w:val="0"/>
                <w:color w:val="000000"/>
                <w:sz w:val="20"/>
                <w:szCs w:val="20"/>
              </w:rPr>
              <w:t>7/10/2023</w:t>
            </w:r>
          </w:p>
        </w:tc>
        <w:tc>
          <w:tcPr>
            <w:tcW w:w="0" w:type="auto"/>
            <w:noWrap/>
            <w:hideMark/>
          </w:tcPr>
          <w:p w:rsidR="006E0D41" w:rsidRPr="000736FB" w:rsidRDefault="006E0D41" w:rsidP="006E0D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7/20/2023</w:t>
            </w:r>
          </w:p>
        </w:tc>
        <w:tc>
          <w:tcPr>
            <w:tcW w:w="1010" w:type="dxa"/>
            <w:noWrap/>
            <w:hideMark/>
          </w:tcPr>
          <w:p w:rsidR="006E0D41" w:rsidRPr="000736FB" w:rsidRDefault="006E0D41" w:rsidP="006E0D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IME Life Insurance</w:t>
            </w:r>
          </w:p>
        </w:tc>
        <w:tc>
          <w:tcPr>
            <w:tcW w:w="774"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236.91</w:t>
            </w:r>
          </w:p>
        </w:tc>
        <w:tc>
          <w:tcPr>
            <w:tcW w:w="1026"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9,600,000 </w:t>
            </w:r>
          </w:p>
        </w:tc>
        <w:tc>
          <w:tcPr>
            <w:tcW w:w="1089"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1,195,932 </w:t>
            </w:r>
          </w:p>
        </w:tc>
        <w:tc>
          <w:tcPr>
            <w:tcW w:w="1166" w:type="dxa"/>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sz w:val="20"/>
                <w:szCs w:val="20"/>
              </w:rPr>
            </w:pPr>
            <w:r w:rsidRPr="000736FB">
              <w:rPr>
                <w:sz w:val="20"/>
                <w:szCs w:val="20"/>
              </w:rPr>
              <w:t>340.50</w:t>
            </w:r>
          </w:p>
        </w:tc>
        <w:tc>
          <w:tcPr>
            <w:tcW w:w="868"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1.50 </w:t>
            </w:r>
          </w:p>
        </w:tc>
        <w:tc>
          <w:tcPr>
            <w:tcW w:w="1458" w:type="dxa"/>
          </w:tcPr>
          <w:p w:rsidR="006E0D41" w:rsidRPr="000736FB" w:rsidRDefault="006E0D41" w:rsidP="006E0D41">
            <w:pPr>
              <w:cnfStyle w:val="000000100000" w:firstRow="0" w:lastRow="0" w:firstColumn="0" w:lastColumn="0" w:oddVBand="0" w:evenVBand="0" w:oddHBand="1" w:evenHBand="0" w:firstRowFirstColumn="0" w:firstRowLastColumn="0" w:lastRowFirstColumn="0" w:lastRowLastColumn="0"/>
              <w:rPr>
                <w:sz w:val="20"/>
                <w:szCs w:val="20"/>
              </w:rPr>
            </w:pPr>
            <w:r w:rsidRPr="000736FB">
              <w:rPr>
                <w:sz w:val="20"/>
                <w:szCs w:val="20"/>
              </w:rPr>
              <w:t>Civil Capital Market Ltd.</w:t>
            </w:r>
          </w:p>
        </w:tc>
        <w:tc>
          <w:tcPr>
            <w:tcW w:w="888" w:type="dxa"/>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sz w:val="20"/>
                <w:szCs w:val="20"/>
              </w:rPr>
            </w:pPr>
            <w:r w:rsidRPr="000736FB">
              <w:rPr>
                <w:sz w:val="20"/>
                <w:szCs w:val="20"/>
              </w:rPr>
              <w:t>532.50</w:t>
            </w:r>
          </w:p>
        </w:tc>
      </w:tr>
      <w:tr w:rsidR="006E0D41" w:rsidRPr="007E4578" w:rsidTr="000736FB">
        <w:trPr>
          <w:trHeight w:val="116"/>
        </w:trPr>
        <w:tc>
          <w:tcPr>
            <w:cnfStyle w:val="001000000000" w:firstRow="0" w:lastRow="0" w:firstColumn="1" w:lastColumn="0" w:oddVBand="0" w:evenVBand="0" w:oddHBand="0" w:evenHBand="0" w:firstRowFirstColumn="0" w:firstRowLastColumn="0" w:lastRowFirstColumn="0" w:lastRowLastColumn="0"/>
            <w:tcW w:w="0" w:type="auto"/>
            <w:noWrap/>
            <w:hideMark/>
          </w:tcPr>
          <w:p w:rsidR="006E0D41" w:rsidRPr="000736FB" w:rsidRDefault="006E0D41" w:rsidP="006E0D41">
            <w:pPr>
              <w:jc w:val="right"/>
              <w:rPr>
                <w:rFonts w:ascii="Calibri" w:eastAsia="Times New Roman" w:hAnsi="Calibri" w:cs="Calibri"/>
                <w:b w:val="0"/>
                <w:color w:val="000000"/>
                <w:sz w:val="20"/>
                <w:szCs w:val="20"/>
              </w:rPr>
            </w:pPr>
            <w:r w:rsidRPr="000736FB">
              <w:rPr>
                <w:rFonts w:ascii="Calibri" w:eastAsia="Times New Roman" w:hAnsi="Calibri" w:cs="Calibri"/>
                <w:b w:val="0"/>
                <w:color w:val="000000"/>
                <w:sz w:val="20"/>
                <w:szCs w:val="20"/>
              </w:rPr>
              <w:t>8/11/2023</w:t>
            </w:r>
          </w:p>
        </w:tc>
        <w:tc>
          <w:tcPr>
            <w:tcW w:w="0" w:type="auto"/>
            <w:noWrap/>
            <w:hideMark/>
          </w:tcPr>
          <w:p w:rsidR="006E0D41" w:rsidRPr="000736FB" w:rsidRDefault="006E0D41" w:rsidP="006E0D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8/22/2023</w:t>
            </w:r>
          </w:p>
        </w:tc>
        <w:tc>
          <w:tcPr>
            <w:tcW w:w="1010" w:type="dxa"/>
            <w:noWrap/>
            <w:hideMark/>
          </w:tcPr>
          <w:p w:rsidR="006E0D41" w:rsidRPr="000736FB" w:rsidRDefault="006E0D41" w:rsidP="006E0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Reliable Nepal Life Insurance</w:t>
            </w:r>
          </w:p>
        </w:tc>
        <w:tc>
          <w:tcPr>
            <w:tcW w:w="774" w:type="dxa"/>
            <w:noWrap/>
            <w:hideMark/>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257</w:t>
            </w:r>
          </w:p>
        </w:tc>
        <w:tc>
          <w:tcPr>
            <w:tcW w:w="1026" w:type="dxa"/>
            <w:noWrap/>
            <w:hideMark/>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9,600,000 </w:t>
            </w:r>
          </w:p>
        </w:tc>
        <w:tc>
          <w:tcPr>
            <w:tcW w:w="1089" w:type="dxa"/>
            <w:noWrap/>
            <w:hideMark/>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1,364,353 </w:t>
            </w:r>
          </w:p>
        </w:tc>
        <w:tc>
          <w:tcPr>
            <w:tcW w:w="1166" w:type="dxa"/>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sz w:val="20"/>
                <w:szCs w:val="20"/>
              </w:rPr>
            </w:pPr>
            <w:r w:rsidRPr="000736FB">
              <w:rPr>
                <w:sz w:val="20"/>
                <w:szCs w:val="20"/>
              </w:rPr>
              <w:t>409.40</w:t>
            </w:r>
          </w:p>
        </w:tc>
        <w:tc>
          <w:tcPr>
            <w:tcW w:w="868" w:type="dxa"/>
            <w:noWrap/>
            <w:hideMark/>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1.66 </w:t>
            </w:r>
          </w:p>
        </w:tc>
        <w:tc>
          <w:tcPr>
            <w:tcW w:w="1458" w:type="dxa"/>
          </w:tcPr>
          <w:p w:rsidR="006E0D41" w:rsidRPr="000736FB" w:rsidRDefault="006E0D41" w:rsidP="006E0D41">
            <w:pPr>
              <w:cnfStyle w:val="000000000000" w:firstRow="0" w:lastRow="0" w:firstColumn="0" w:lastColumn="0" w:oddVBand="0" w:evenVBand="0" w:oddHBand="0" w:evenHBand="0" w:firstRowFirstColumn="0" w:firstRowLastColumn="0" w:lastRowFirstColumn="0" w:lastRowLastColumn="0"/>
              <w:rPr>
                <w:sz w:val="20"/>
                <w:szCs w:val="20"/>
              </w:rPr>
            </w:pPr>
            <w:r w:rsidRPr="000736FB">
              <w:rPr>
                <w:sz w:val="20"/>
                <w:szCs w:val="20"/>
              </w:rPr>
              <w:t>Civil Capital Market Ltd.</w:t>
            </w:r>
          </w:p>
        </w:tc>
        <w:tc>
          <w:tcPr>
            <w:tcW w:w="888" w:type="dxa"/>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sz w:val="20"/>
                <w:szCs w:val="20"/>
              </w:rPr>
            </w:pPr>
            <w:r w:rsidRPr="000736FB">
              <w:rPr>
                <w:sz w:val="20"/>
                <w:szCs w:val="20"/>
              </w:rPr>
              <w:t>479</w:t>
            </w:r>
          </w:p>
        </w:tc>
      </w:tr>
      <w:tr w:rsidR="006E0D41" w:rsidRPr="007E4578" w:rsidTr="000736FB">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0" w:type="auto"/>
            <w:noWrap/>
            <w:hideMark/>
          </w:tcPr>
          <w:p w:rsidR="006E0D41" w:rsidRPr="000736FB" w:rsidRDefault="006E0D41" w:rsidP="006E0D41">
            <w:pPr>
              <w:jc w:val="right"/>
              <w:rPr>
                <w:rFonts w:ascii="Calibri" w:eastAsia="Times New Roman" w:hAnsi="Calibri" w:cs="Calibri"/>
                <w:b w:val="0"/>
                <w:color w:val="000000"/>
                <w:sz w:val="20"/>
                <w:szCs w:val="20"/>
              </w:rPr>
            </w:pPr>
            <w:r w:rsidRPr="000736FB">
              <w:rPr>
                <w:rFonts w:ascii="Calibri" w:eastAsia="Times New Roman" w:hAnsi="Calibri" w:cs="Calibri"/>
                <w:b w:val="0"/>
                <w:color w:val="000000"/>
                <w:sz w:val="20"/>
                <w:szCs w:val="20"/>
              </w:rPr>
              <w:t>8/21/2023</w:t>
            </w:r>
          </w:p>
        </w:tc>
        <w:tc>
          <w:tcPr>
            <w:tcW w:w="0" w:type="auto"/>
            <w:noWrap/>
            <w:hideMark/>
          </w:tcPr>
          <w:p w:rsidR="006E0D41" w:rsidRPr="000736FB" w:rsidRDefault="006E0D41" w:rsidP="006E0D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8/31/2023</w:t>
            </w:r>
          </w:p>
        </w:tc>
        <w:tc>
          <w:tcPr>
            <w:tcW w:w="1010" w:type="dxa"/>
            <w:noWrap/>
            <w:hideMark/>
          </w:tcPr>
          <w:p w:rsidR="006E0D41" w:rsidRPr="000736FB" w:rsidRDefault="006E0D41" w:rsidP="006E0D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Sun Nepal Life Insurance</w:t>
            </w:r>
          </w:p>
        </w:tc>
        <w:tc>
          <w:tcPr>
            <w:tcW w:w="774"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239</w:t>
            </w:r>
          </w:p>
        </w:tc>
        <w:tc>
          <w:tcPr>
            <w:tcW w:w="1026"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7,680,000 </w:t>
            </w:r>
          </w:p>
        </w:tc>
        <w:tc>
          <w:tcPr>
            <w:tcW w:w="1089"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1,460,061 </w:t>
            </w:r>
          </w:p>
        </w:tc>
        <w:tc>
          <w:tcPr>
            <w:tcW w:w="1166" w:type="dxa"/>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sz w:val="20"/>
                <w:szCs w:val="20"/>
              </w:rPr>
            </w:pPr>
            <w:r w:rsidRPr="000736FB">
              <w:rPr>
                <w:sz w:val="20"/>
                <w:szCs w:val="20"/>
              </w:rPr>
              <w:t>390.96</w:t>
            </w:r>
          </w:p>
        </w:tc>
        <w:tc>
          <w:tcPr>
            <w:tcW w:w="868"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2.13 </w:t>
            </w:r>
          </w:p>
        </w:tc>
        <w:tc>
          <w:tcPr>
            <w:tcW w:w="1458" w:type="dxa"/>
          </w:tcPr>
          <w:p w:rsidR="006E0D41" w:rsidRPr="000736FB" w:rsidRDefault="006E0D41" w:rsidP="006E0D41">
            <w:pPr>
              <w:cnfStyle w:val="000000100000" w:firstRow="0" w:lastRow="0" w:firstColumn="0" w:lastColumn="0" w:oddVBand="0" w:evenVBand="0" w:oddHBand="1" w:evenHBand="0" w:firstRowFirstColumn="0" w:firstRowLastColumn="0" w:lastRowFirstColumn="0" w:lastRowLastColumn="0"/>
              <w:rPr>
                <w:sz w:val="20"/>
                <w:szCs w:val="20"/>
              </w:rPr>
            </w:pPr>
            <w:r w:rsidRPr="000736FB">
              <w:rPr>
                <w:sz w:val="20"/>
                <w:szCs w:val="20"/>
              </w:rPr>
              <w:t>Nepal SBI Merchant Banking Limited</w:t>
            </w:r>
          </w:p>
        </w:tc>
        <w:tc>
          <w:tcPr>
            <w:tcW w:w="888" w:type="dxa"/>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sz w:val="20"/>
                <w:szCs w:val="20"/>
              </w:rPr>
            </w:pPr>
            <w:r w:rsidRPr="000736FB">
              <w:rPr>
                <w:sz w:val="20"/>
                <w:szCs w:val="20"/>
              </w:rPr>
              <w:t>481</w:t>
            </w:r>
          </w:p>
        </w:tc>
      </w:tr>
      <w:tr w:rsidR="006E0D41" w:rsidRPr="007E4578" w:rsidTr="000736FB">
        <w:trPr>
          <w:trHeight w:val="116"/>
        </w:trPr>
        <w:tc>
          <w:tcPr>
            <w:cnfStyle w:val="001000000000" w:firstRow="0" w:lastRow="0" w:firstColumn="1" w:lastColumn="0" w:oddVBand="0" w:evenVBand="0" w:oddHBand="0" w:evenHBand="0" w:firstRowFirstColumn="0" w:firstRowLastColumn="0" w:lastRowFirstColumn="0" w:lastRowLastColumn="0"/>
            <w:tcW w:w="0" w:type="auto"/>
            <w:noWrap/>
            <w:hideMark/>
          </w:tcPr>
          <w:p w:rsidR="006E0D41" w:rsidRPr="000736FB" w:rsidRDefault="006E0D41" w:rsidP="006E0D41">
            <w:pPr>
              <w:jc w:val="right"/>
              <w:rPr>
                <w:rFonts w:ascii="Calibri" w:eastAsia="Times New Roman" w:hAnsi="Calibri" w:cs="Calibri"/>
                <w:b w:val="0"/>
                <w:color w:val="000000"/>
                <w:sz w:val="20"/>
                <w:szCs w:val="20"/>
              </w:rPr>
            </w:pPr>
            <w:r w:rsidRPr="000736FB">
              <w:rPr>
                <w:rFonts w:ascii="Calibri" w:eastAsia="Times New Roman" w:hAnsi="Calibri" w:cs="Calibri"/>
                <w:b w:val="0"/>
                <w:color w:val="000000"/>
                <w:sz w:val="20"/>
                <w:szCs w:val="20"/>
              </w:rPr>
              <w:t>9/5/2023</w:t>
            </w:r>
          </w:p>
        </w:tc>
        <w:tc>
          <w:tcPr>
            <w:tcW w:w="0" w:type="auto"/>
            <w:noWrap/>
            <w:hideMark/>
          </w:tcPr>
          <w:p w:rsidR="006E0D41" w:rsidRPr="000736FB" w:rsidRDefault="006E0D41" w:rsidP="006E0D4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9/15/2023</w:t>
            </w:r>
          </w:p>
        </w:tc>
        <w:tc>
          <w:tcPr>
            <w:tcW w:w="1010" w:type="dxa"/>
            <w:noWrap/>
            <w:hideMark/>
          </w:tcPr>
          <w:p w:rsidR="006E0D41" w:rsidRPr="000736FB" w:rsidRDefault="006E0D41" w:rsidP="006E0D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Citizens Life Insurance</w:t>
            </w:r>
          </w:p>
        </w:tc>
        <w:tc>
          <w:tcPr>
            <w:tcW w:w="774" w:type="dxa"/>
            <w:noWrap/>
            <w:hideMark/>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244</w:t>
            </w:r>
          </w:p>
        </w:tc>
        <w:tc>
          <w:tcPr>
            <w:tcW w:w="1026" w:type="dxa"/>
            <w:noWrap/>
            <w:hideMark/>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9,000,000 </w:t>
            </w:r>
          </w:p>
        </w:tc>
        <w:tc>
          <w:tcPr>
            <w:tcW w:w="1089" w:type="dxa"/>
            <w:noWrap/>
            <w:hideMark/>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1,413,158 </w:t>
            </w:r>
          </w:p>
        </w:tc>
        <w:tc>
          <w:tcPr>
            <w:tcW w:w="1166" w:type="dxa"/>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sz w:val="20"/>
                <w:szCs w:val="20"/>
              </w:rPr>
            </w:pPr>
            <w:r w:rsidRPr="000736FB">
              <w:rPr>
                <w:sz w:val="20"/>
                <w:szCs w:val="20"/>
              </w:rPr>
              <w:t>428.68</w:t>
            </w:r>
          </w:p>
        </w:tc>
        <w:tc>
          <w:tcPr>
            <w:tcW w:w="868" w:type="dxa"/>
            <w:noWrap/>
            <w:hideMark/>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1.38 </w:t>
            </w:r>
          </w:p>
        </w:tc>
        <w:tc>
          <w:tcPr>
            <w:tcW w:w="1458" w:type="dxa"/>
          </w:tcPr>
          <w:p w:rsidR="006E0D41" w:rsidRPr="000736FB" w:rsidRDefault="006E0D41" w:rsidP="006E0D41">
            <w:pPr>
              <w:cnfStyle w:val="000000000000" w:firstRow="0" w:lastRow="0" w:firstColumn="0" w:lastColumn="0" w:oddVBand="0" w:evenVBand="0" w:oddHBand="0" w:evenHBand="0" w:firstRowFirstColumn="0" w:firstRowLastColumn="0" w:lastRowFirstColumn="0" w:lastRowLastColumn="0"/>
              <w:rPr>
                <w:sz w:val="20"/>
                <w:szCs w:val="20"/>
              </w:rPr>
            </w:pPr>
            <w:r w:rsidRPr="000736FB">
              <w:rPr>
                <w:sz w:val="20"/>
                <w:szCs w:val="20"/>
              </w:rPr>
              <w:t>NIMB Ace Capital Limited</w:t>
            </w:r>
          </w:p>
        </w:tc>
        <w:tc>
          <w:tcPr>
            <w:tcW w:w="888" w:type="dxa"/>
          </w:tcPr>
          <w:p w:rsidR="006E0D41" w:rsidRPr="000736FB" w:rsidRDefault="006E0D41" w:rsidP="000B6CDD">
            <w:pPr>
              <w:jc w:val="right"/>
              <w:cnfStyle w:val="000000000000" w:firstRow="0" w:lastRow="0" w:firstColumn="0" w:lastColumn="0" w:oddVBand="0" w:evenVBand="0" w:oddHBand="0" w:evenHBand="0" w:firstRowFirstColumn="0" w:firstRowLastColumn="0" w:lastRowFirstColumn="0" w:lastRowLastColumn="0"/>
              <w:rPr>
                <w:sz w:val="20"/>
                <w:szCs w:val="20"/>
              </w:rPr>
            </w:pPr>
          </w:p>
        </w:tc>
      </w:tr>
      <w:tr w:rsidR="006E0D41" w:rsidRPr="007E4578" w:rsidTr="000736FB">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0" w:type="auto"/>
            <w:noWrap/>
            <w:hideMark/>
          </w:tcPr>
          <w:p w:rsidR="006E0D41" w:rsidRPr="000736FB" w:rsidRDefault="006E0D41" w:rsidP="006E0D41">
            <w:pPr>
              <w:jc w:val="right"/>
              <w:rPr>
                <w:rFonts w:ascii="Calibri" w:eastAsia="Times New Roman" w:hAnsi="Calibri" w:cs="Calibri"/>
                <w:b w:val="0"/>
                <w:color w:val="000000"/>
                <w:sz w:val="20"/>
                <w:szCs w:val="20"/>
              </w:rPr>
            </w:pPr>
            <w:r w:rsidRPr="000736FB">
              <w:rPr>
                <w:rFonts w:ascii="Calibri" w:eastAsia="Times New Roman" w:hAnsi="Calibri" w:cs="Calibri"/>
                <w:b w:val="0"/>
                <w:color w:val="000000"/>
                <w:sz w:val="20"/>
                <w:szCs w:val="20"/>
              </w:rPr>
              <w:lastRenderedPageBreak/>
              <w:t>7/10/2023</w:t>
            </w:r>
          </w:p>
        </w:tc>
        <w:tc>
          <w:tcPr>
            <w:tcW w:w="0" w:type="auto"/>
            <w:noWrap/>
            <w:hideMark/>
          </w:tcPr>
          <w:p w:rsidR="006E0D41" w:rsidRPr="000736FB" w:rsidRDefault="006E0D41" w:rsidP="006E0D4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7/10/2023</w:t>
            </w:r>
          </w:p>
        </w:tc>
        <w:tc>
          <w:tcPr>
            <w:tcW w:w="1010" w:type="dxa"/>
            <w:noWrap/>
            <w:hideMark/>
          </w:tcPr>
          <w:p w:rsidR="006E0D41" w:rsidRPr="000736FB" w:rsidRDefault="006E0D41" w:rsidP="006E0D4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roofErr w:type="spellStart"/>
            <w:r w:rsidRPr="000736FB">
              <w:rPr>
                <w:rFonts w:ascii="Calibri" w:eastAsia="Times New Roman" w:hAnsi="Calibri" w:cs="Calibri"/>
                <w:color w:val="000000"/>
                <w:sz w:val="20"/>
                <w:szCs w:val="20"/>
              </w:rPr>
              <w:t>Ghorahi</w:t>
            </w:r>
            <w:proofErr w:type="spellEnd"/>
            <w:r w:rsidRPr="000736FB">
              <w:rPr>
                <w:rFonts w:ascii="Calibri" w:eastAsia="Times New Roman" w:hAnsi="Calibri" w:cs="Calibri"/>
                <w:color w:val="000000"/>
                <w:sz w:val="20"/>
                <w:szCs w:val="20"/>
              </w:rPr>
              <w:t xml:space="preserve"> Cements Industry</w:t>
            </w:r>
          </w:p>
        </w:tc>
        <w:tc>
          <w:tcPr>
            <w:tcW w:w="774"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435</w:t>
            </w:r>
          </w:p>
        </w:tc>
        <w:tc>
          <w:tcPr>
            <w:tcW w:w="1026"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6,911,670 </w:t>
            </w:r>
          </w:p>
        </w:tc>
        <w:tc>
          <w:tcPr>
            <w:tcW w:w="1089"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 557,701 </w:t>
            </w:r>
          </w:p>
        </w:tc>
        <w:tc>
          <w:tcPr>
            <w:tcW w:w="1166" w:type="dxa"/>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sz w:val="20"/>
                <w:szCs w:val="20"/>
              </w:rPr>
            </w:pPr>
            <w:r w:rsidRPr="000736FB">
              <w:rPr>
                <w:sz w:val="20"/>
                <w:szCs w:val="20"/>
              </w:rPr>
              <w:t>339.03</w:t>
            </w:r>
          </w:p>
        </w:tc>
        <w:tc>
          <w:tcPr>
            <w:tcW w:w="868" w:type="dxa"/>
            <w:noWrap/>
            <w:hideMark/>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0736FB">
              <w:rPr>
                <w:rFonts w:ascii="Calibri" w:eastAsia="Times New Roman" w:hAnsi="Calibri" w:cs="Calibri"/>
                <w:color w:val="000000"/>
                <w:sz w:val="20"/>
                <w:szCs w:val="20"/>
              </w:rPr>
              <w:t xml:space="preserve">1.12 </w:t>
            </w:r>
          </w:p>
        </w:tc>
        <w:tc>
          <w:tcPr>
            <w:tcW w:w="1458" w:type="dxa"/>
          </w:tcPr>
          <w:p w:rsidR="006E0D41" w:rsidRPr="000736FB" w:rsidRDefault="006E0D41" w:rsidP="006E0D41">
            <w:pPr>
              <w:cnfStyle w:val="000000100000" w:firstRow="0" w:lastRow="0" w:firstColumn="0" w:lastColumn="0" w:oddVBand="0" w:evenVBand="0" w:oddHBand="1" w:evenHBand="0" w:firstRowFirstColumn="0" w:firstRowLastColumn="0" w:lastRowFirstColumn="0" w:lastRowLastColumn="0"/>
              <w:rPr>
                <w:sz w:val="20"/>
                <w:szCs w:val="20"/>
              </w:rPr>
            </w:pPr>
            <w:r w:rsidRPr="000736FB">
              <w:rPr>
                <w:sz w:val="20"/>
                <w:szCs w:val="20"/>
              </w:rPr>
              <w:t>Himalayan Capital Ltd.</w:t>
            </w:r>
          </w:p>
        </w:tc>
        <w:tc>
          <w:tcPr>
            <w:tcW w:w="888" w:type="dxa"/>
          </w:tcPr>
          <w:p w:rsidR="006E0D41" w:rsidRPr="000736FB" w:rsidRDefault="006E0D41" w:rsidP="000B6CDD">
            <w:pPr>
              <w:jc w:val="right"/>
              <w:cnfStyle w:val="000000100000" w:firstRow="0" w:lastRow="0" w:firstColumn="0" w:lastColumn="0" w:oddVBand="0" w:evenVBand="0" w:oddHBand="1" w:evenHBand="0" w:firstRowFirstColumn="0" w:firstRowLastColumn="0" w:lastRowFirstColumn="0" w:lastRowLastColumn="0"/>
              <w:rPr>
                <w:sz w:val="20"/>
                <w:szCs w:val="20"/>
              </w:rPr>
            </w:pPr>
            <w:r w:rsidRPr="000736FB">
              <w:rPr>
                <w:sz w:val="20"/>
                <w:szCs w:val="20"/>
              </w:rPr>
              <w:t>475.1</w:t>
            </w:r>
          </w:p>
        </w:tc>
      </w:tr>
    </w:tbl>
    <w:p w:rsidR="000736FB" w:rsidRDefault="000736FB" w:rsidP="00B1425F">
      <w:pPr>
        <w:jc w:val="both"/>
        <w:rPr>
          <w:rStyle w:val="Strong"/>
          <w:rFonts w:ascii="Arial" w:hAnsi="Arial" w:cs="Arial"/>
          <w:color w:val="000000"/>
        </w:rPr>
      </w:pPr>
    </w:p>
    <w:p w:rsidR="00B1425F" w:rsidRPr="00713C9F" w:rsidRDefault="00B1425F" w:rsidP="00B1425F">
      <w:pPr>
        <w:jc w:val="both"/>
        <w:rPr>
          <w:rStyle w:val="Strong"/>
          <w:rFonts w:ascii="Arial" w:hAnsi="Arial" w:cs="Arial"/>
          <w:color w:val="000000"/>
        </w:rPr>
      </w:pPr>
      <w:r w:rsidRPr="00713C9F">
        <w:rPr>
          <w:rStyle w:val="Strong"/>
          <w:rFonts w:ascii="Arial" w:hAnsi="Arial" w:cs="Arial"/>
          <w:color w:val="000000"/>
        </w:rPr>
        <w:t>Possibility of Under Subscription &amp; their Mitigation</w:t>
      </w:r>
    </w:p>
    <w:p w:rsidR="00B1425F" w:rsidRDefault="00B1425F" w:rsidP="00B1425F">
      <w:pPr>
        <w:jc w:val="both"/>
        <w:rPr>
          <w:rFonts w:ascii="Arial" w:hAnsi="Arial" w:cs="Arial"/>
          <w:color w:val="000000"/>
        </w:rPr>
      </w:pPr>
      <w:r w:rsidRPr="00713C9F">
        <w:rPr>
          <w:rFonts w:ascii="Arial" w:hAnsi="Arial" w:cs="Arial"/>
          <w:color w:val="000000"/>
        </w:rPr>
        <w:t xml:space="preserve">During the recent past, public offerings have witnessed overwhelming subscription from the investors. </w:t>
      </w:r>
      <w:r w:rsidR="00B87524" w:rsidRPr="00713C9F">
        <w:rPr>
          <w:rFonts w:ascii="Arial" w:hAnsi="Arial" w:cs="Arial"/>
          <w:color w:val="000000"/>
        </w:rPr>
        <w:t xml:space="preserve">There is </w:t>
      </w:r>
      <w:r w:rsidR="00713C9F" w:rsidRPr="00713C9F">
        <w:rPr>
          <w:rFonts w:ascii="Arial" w:hAnsi="Arial" w:cs="Arial"/>
          <w:color w:val="000000"/>
        </w:rPr>
        <w:t>no Steel industry listed in NEPSE</w:t>
      </w:r>
      <w:r w:rsidR="00AF15A1" w:rsidRPr="00713C9F">
        <w:rPr>
          <w:rFonts w:ascii="Arial" w:hAnsi="Arial" w:cs="Arial"/>
          <w:color w:val="000000"/>
        </w:rPr>
        <w:t>.</w:t>
      </w:r>
      <w:r w:rsidR="002015BF" w:rsidRPr="00713C9F">
        <w:rPr>
          <w:rFonts w:ascii="Arial" w:hAnsi="Arial" w:cs="Arial"/>
          <w:color w:val="000000"/>
        </w:rPr>
        <w:t xml:space="preserve"> Demand for the diversification and alternative may further attract the investor.</w:t>
      </w:r>
      <w:r w:rsidR="00AF15A1" w:rsidRPr="00713C9F">
        <w:rPr>
          <w:rFonts w:ascii="Arial" w:hAnsi="Arial" w:cs="Arial"/>
          <w:color w:val="000000"/>
        </w:rPr>
        <w:t xml:space="preserve"> </w:t>
      </w:r>
      <w:r w:rsidRPr="00713C9F">
        <w:rPr>
          <w:rFonts w:ascii="Arial" w:hAnsi="Arial" w:cs="Arial"/>
          <w:color w:val="000000"/>
        </w:rPr>
        <w:t>Though the current financial standing of the institution is average</w:t>
      </w:r>
      <w:r w:rsidR="001D05C6" w:rsidRPr="00713C9F">
        <w:rPr>
          <w:rFonts w:ascii="Arial" w:hAnsi="Arial" w:cs="Arial"/>
          <w:color w:val="000000"/>
        </w:rPr>
        <w:t xml:space="preserve">, but </w:t>
      </w:r>
      <w:proofErr w:type="gramStart"/>
      <w:r w:rsidR="001D05C6" w:rsidRPr="00713C9F">
        <w:rPr>
          <w:rFonts w:ascii="Arial" w:hAnsi="Arial" w:cs="Arial"/>
          <w:color w:val="000000"/>
        </w:rPr>
        <w:t>taking into account</w:t>
      </w:r>
      <w:proofErr w:type="gramEnd"/>
      <w:r w:rsidR="001D05C6" w:rsidRPr="00713C9F">
        <w:rPr>
          <w:rFonts w:ascii="Arial" w:hAnsi="Arial" w:cs="Arial"/>
          <w:color w:val="000000"/>
        </w:rPr>
        <w:t xml:space="preserve"> the attractiveness and</w:t>
      </w:r>
      <w:r w:rsidRPr="00713C9F">
        <w:rPr>
          <w:rFonts w:ascii="Arial" w:hAnsi="Arial" w:cs="Arial"/>
          <w:color w:val="000000"/>
        </w:rPr>
        <w:t xml:space="preserve"> the investor's sentiment for the IPOs</w:t>
      </w:r>
      <w:r w:rsidR="009C3976" w:rsidRPr="00713C9F">
        <w:rPr>
          <w:rFonts w:ascii="Arial" w:hAnsi="Arial" w:cs="Arial"/>
          <w:color w:val="000000"/>
        </w:rPr>
        <w:t xml:space="preserve">. </w:t>
      </w:r>
      <w:r w:rsidR="002C2798" w:rsidRPr="00713C9F">
        <w:rPr>
          <w:rFonts w:ascii="Arial" w:hAnsi="Arial" w:cs="Arial"/>
          <w:color w:val="000000"/>
        </w:rPr>
        <w:t>T</w:t>
      </w:r>
      <w:r w:rsidRPr="00713C9F">
        <w:rPr>
          <w:rFonts w:ascii="Arial" w:hAnsi="Arial" w:cs="Arial"/>
          <w:color w:val="000000"/>
        </w:rPr>
        <w:t xml:space="preserve">here </w:t>
      </w:r>
      <w:proofErr w:type="gramStart"/>
      <w:r w:rsidRPr="00713C9F">
        <w:rPr>
          <w:rFonts w:ascii="Arial" w:hAnsi="Arial" w:cs="Arial"/>
          <w:color w:val="000000"/>
        </w:rPr>
        <w:t>exist</w:t>
      </w:r>
      <w:proofErr w:type="gramEnd"/>
      <w:r w:rsidRPr="00713C9F">
        <w:rPr>
          <w:rFonts w:ascii="Arial" w:hAnsi="Arial" w:cs="Arial"/>
          <w:color w:val="000000"/>
        </w:rPr>
        <w:t xml:space="preserve"> minimal probability of under subscription </w:t>
      </w:r>
      <w:r w:rsidR="002C2798" w:rsidRPr="00713C9F">
        <w:rPr>
          <w:rFonts w:ascii="Arial" w:hAnsi="Arial" w:cs="Arial"/>
          <w:color w:val="000000"/>
        </w:rPr>
        <w:t>this IPO</w:t>
      </w:r>
      <w:r w:rsidRPr="00713C9F">
        <w:rPr>
          <w:rFonts w:ascii="Arial" w:hAnsi="Arial" w:cs="Arial"/>
          <w:color w:val="000000"/>
        </w:rPr>
        <w:t xml:space="preserve">. However, if the issue is under subscribed, </w:t>
      </w:r>
      <w:r w:rsidR="00B517A1" w:rsidRPr="00713C9F">
        <w:rPr>
          <w:rFonts w:ascii="Arial" w:hAnsi="Arial" w:cs="Arial"/>
          <w:color w:val="000000"/>
        </w:rPr>
        <w:t>Sanima Capital</w:t>
      </w:r>
      <w:r w:rsidRPr="00713C9F">
        <w:rPr>
          <w:rFonts w:ascii="Arial" w:hAnsi="Arial" w:cs="Arial"/>
          <w:color w:val="000000"/>
        </w:rPr>
        <w:t xml:space="preserve"> will have to buy a maximum of up to its committed number of shares at face value of NPR. </w:t>
      </w:r>
      <w:r w:rsidR="00713C9F" w:rsidRPr="00713C9F">
        <w:rPr>
          <w:rFonts w:ascii="Arial" w:hAnsi="Arial" w:cs="Arial"/>
          <w:color w:val="000000"/>
        </w:rPr>
        <w:t>300</w:t>
      </w:r>
      <w:r w:rsidRPr="00713C9F">
        <w:rPr>
          <w:rFonts w:ascii="Arial" w:hAnsi="Arial" w:cs="Arial"/>
          <w:color w:val="000000"/>
        </w:rPr>
        <w:t xml:space="preserve"> per share.</w:t>
      </w:r>
    </w:p>
    <w:p w:rsidR="0015256D" w:rsidRPr="00713C9F" w:rsidRDefault="0015256D" w:rsidP="00B1425F">
      <w:pPr>
        <w:jc w:val="both"/>
        <w:rPr>
          <w:rFonts w:ascii="Arial" w:hAnsi="Arial" w:cs="Arial"/>
          <w:color w:val="000000"/>
        </w:rPr>
      </w:pPr>
      <w:r>
        <w:rPr>
          <w:rFonts w:ascii="Arial" w:hAnsi="Arial" w:cs="Arial"/>
          <w:color w:val="000000"/>
        </w:rPr>
        <w:t xml:space="preserve">As per Securities Issuance and Allotment Directory, 2074, Clause (21) Sub section(6) </w:t>
      </w:r>
      <w:r w:rsidRPr="001469AC">
        <w:rPr>
          <w:rFonts w:ascii="Arial" w:hAnsi="Arial" w:cs="Arial"/>
          <w:color w:val="000000"/>
        </w:rPr>
        <w:t>"Despite anything written in sub-section (5), if the shares are issued with a premium price or if all the shares are not sold within the time period issued to the public in the prospectus, the organized organization or according to the prevailing law</w:t>
      </w:r>
      <w:r>
        <w:rPr>
          <w:rFonts w:ascii="Arial" w:hAnsi="Arial" w:cs="Arial"/>
          <w:color w:val="000000"/>
        </w:rPr>
        <w:t xml:space="preserve"> the</w:t>
      </w:r>
      <w:r w:rsidRPr="001469AC">
        <w:rPr>
          <w:rFonts w:ascii="Arial" w:hAnsi="Arial" w:cs="Arial"/>
          <w:color w:val="000000"/>
        </w:rPr>
        <w:t xml:space="preserve"> established organization can purchase such shares.</w:t>
      </w:r>
    </w:p>
    <w:p w:rsidR="00B1425F" w:rsidRPr="00713C9F" w:rsidRDefault="00B1425F" w:rsidP="00B1425F">
      <w:pPr>
        <w:jc w:val="both"/>
        <w:rPr>
          <w:rFonts w:ascii="Arial" w:hAnsi="Arial" w:cs="Arial"/>
          <w:color w:val="000000"/>
        </w:rPr>
      </w:pPr>
      <w:r w:rsidRPr="00713C9F">
        <w:rPr>
          <w:rFonts w:ascii="Arial" w:hAnsi="Arial" w:cs="Arial"/>
          <w:color w:val="000000"/>
        </w:rPr>
        <w:t xml:space="preserve">Taking into account the existing capital market scenario, prices of similar institutions at the time of their listing going far above their </w:t>
      </w:r>
      <w:r w:rsidR="00713C9F" w:rsidRPr="00713C9F">
        <w:rPr>
          <w:rFonts w:ascii="Arial" w:hAnsi="Arial" w:cs="Arial"/>
          <w:color w:val="000000"/>
        </w:rPr>
        <w:t>Issue price</w:t>
      </w:r>
      <w:r w:rsidRPr="00713C9F">
        <w:rPr>
          <w:rFonts w:ascii="Arial" w:hAnsi="Arial" w:cs="Arial"/>
          <w:color w:val="000000"/>
        </w:rPr>
        <w:t xml:space="preserve"> value &amp; the direction in which the Institution is heading, if </w:t>
      </w:r>
      <w:r w:rsidR="00637867">
        <w:rPr>
          <w:rFonts w:ascii="Arial" w:hAnsi="Arial" w:cs="Arial"/>
          <w:color w:val="000000"/>
        </w:rPr>
        <w:t xml:space="preserve">Sanima Capital Ltd, Sanima Equity Fund and Sanima Growth </w:t>
      </w:r>
      <w:proofErr w:type="gramStart"/>
      <w:r w:rsidR="00637867">
        <w:rPr>
          <w:rFonts w:ascii="Arial" w:hAnsi="Arial" w:cs="Arial"/>
          <w:color w:val="000000"/>
        </w:rPr>
        <w:t xml:space="preserve">Fund </w:t>
      </w:r>
      <w:r w:rsidRPr="00713C9F">
        <w:rPr>
          <w:rFonts w:ascii="Arial" w:hAnsi="Arial" w:cs="Arial"/>
          <w:color w:val="000000"/>
        </w:rPr>
        <w:t xml:space="preserve"> is</w:t>
      </w:r>
      <w:proofErr w:type="gramEnd"/>
      <w:r w:rsidRPr="00713C9F">
        <w:rPr>
          <w:rFonts w:ascii="Arial" w:hAnsi="Arial" w:cs="Arial"/>
          <w:color w:val="000000"/>
        </w:rPr>
        <w:t xml:space="preserve"> to buy the undersubscribed shares, there exists the probable opportunity for capital gain even in worst case scenario.</w:t>
      </w:r>
    </w:p>
    <w:p w:rsidR="00B1425F" w:rsidRPr="00D02DB8" w:rsidRDefault="00B1425F" w:rsidP="00B1425F">
      <w:pPr>
        <w:jc w:val="both"/>
        <w:rPr>
          <w:rStyle w:val="Strong"/>
          <w:rFonts w:ascii="Arial" w:hAnsi="Arial" w:cs="Arial"/>
          <w:color w:val="000000"/>
        </w:rPr>
      </w:pPr>
      <w:r w:rsidRPr="00D02DB8">
        <w:rPr>
          <w:rStyle w:val="Strong"/>
          <w:rFonts w:ascii="Arial" w:hAnsi="Arial" w:cs="Arial"/>
          <w:color w:val="000000"/>
        </w:rPr>
        <w:t>Recommendation</w:t>
      </w:r>
    </w:p>
    <w:p w:rsidR="00B1425F" w:rsidRPr="00D02DB8" w:rsidRDefault="00B1425F" w:rsidP="00B1425F">
      <w:pPr>
        <w:jc w:val="both"/>
        <w:rPr>
          <w:rFonts w:ascii="Arial" w:hAnsi="Arial" w:cs="Arial"/>
        </w:rPr>
      </w:pPr>
      <w:r w:rsidRPr="00D02DB8">
        <w:rPr>
          <w:rFonts w:ascii="Arial" w:hAnsi="Arial" w:cs="Arial"/>
          <w:color w:val="000000"/>
        </w:rPr>
        <w:t xml:space="preserve">We recommend providing underwriting facility upto a maximum of NPR </w:t>
      </w:r>
      <w:r w:rsidR="00D02DB8" w:rsidRPr="00D02DB8">
        <w:rPr>
          <w:rFonts w:ascii="Arial" w:hAnsi="Arial" w:cs="Arial"/>
          <w:color w:val="000000"/>
        </w:rPr>
        <w:t>1</w:t>
      </w:r>
      <w:r w:rsidR="00637867">
        <w:rPr>
          <w:rFonts w:ascii="Arial" w:hAnsi="Arial" w:cs="Arial"/>
          <w:color w:val="000000"/>
        </w:rPr>
        <w:t>0</w:t>
      </w:r>
      <w:r w:rsidR="00D02DB8" w:rsidRPr="00D02DB8">
        <w:rPr>
          <w:rFonts w:ascii="Arial" w:hAnsi="Arial" w:cs="Arial"/>
          <w:color w:val="000000"/>
        </w:rPr>
        <w:t>0</w:t>
      </w:r>
      <w:r w:rsidRPr="00D02DB8">
        <w:rPr>
          <w:rFonts w:ascii="Arial" w:hAnsi="Arial" w:cs="Arial"/>
          <w:color w:val="000000"/>
        </w:rPr>
        <w:t xml:space="preserve"> </w:t>
      </w:r>
      <w:r w:rsidR="00B30081">
        <w:rPr>
          <w:rFonts w:ascii="Arial" w:hAnsi="Arial" w:cs="Arial"/>
          <w:color w:val="000000"/>
        </w:rPr>
        <w:t>Crore</w:t>
      </w:r>
      <w:r w:rsidRPr="00D02DB8">
        <w:rPr>
          <w:rFonts w:ascii="Arial" w:hAnsi="Arial" w:cs="Arial"/>
          <w:color w:val="000000"/>
        </w:rPr>
        <w:t xml:space="preserve"> to the common stock of the said institution in view of the following:</w:t>
      </w:r>
    </w:p>
    <w:p w:rsidR="006A5EDE" w:rsidRDefault="00B45CF6" w:rsidP="006A5EDE">
      <w:pPr>
        <w:numPr>
          <w:ilvl w:val="0"/>
          <w:numId w:val="1"/>
        </w:numPr>
        <w:spacing w:before="100" w:beforeAutospacing="1" w:after="100" w:afterAutospacing="1" w:line="240" w:lineRule="auto"/>
        <w:jc w:val="both"/>
        <w:rPr>
          <w:rFonts w:ascii="Arial" w:eastAsia="Times New Roman" w:hAnsi="Arial" w:cs="Arial"/>
          <w:color w:val="000000"/>
        </w:rPr>
      </w:pPr>
      <w:r w:rsidRPr="006101E2">
        <w:rPr>
          <w:rFonts w:ascii="Arial" w:eastAsia="Times New Roman" w:hAnsi="Arial" w:cs="Arial"/>
          <w:color w:val="000000"/>
        </w:rPr>
        <w:t>The promoters are supported by a team of technically qualified and experienced professionals to run the day-to-day operations of the company</w:t>
      </w:r>
    </w:p>
    <w:p w:rsidR="006101E2" w:rsidRPr="00712F74" w:rsidRDefault="006101E2" w:rsidP="006101E2">
      <w:pPr>
        <w:numPr>
          <w:ilvl w:val="0"/>
          <w:numId w:val="1"/>
        </w:numPr>
        <w:spacing w:before="100" w:beforeAutospacing="1" w:after="100" w:afterAutospacing="1" w:line="240" w:lineRule="auto"/>
        <w:jc w:val="both"/>
        <w:rPr>
          <w:rFonts w:ascii="Arial" w:eastAsia="Times New Roman" w:hAnsi="Arial" w:cs="Arial"/>
          <w:color w:val="000000"/>
        </w:rPr>
      </w:pPr>
      <w:r w:rsidRPr="00712F74">
        <w:rPr>
          <w:rFonts w:ascii="Arial" w:eastAsia="Times New Roman" w:hAnsi="Arial" w:cs="Arial"/>
          <w:color w:val="000000"/>
        </w:rPr>
        <w:t>Brand value of associated promoter group of the institution could be an advantageous for public confidence.</w:t>
      </w:r>
    </w:p>
    <w:p w:rsidR="006101E2" w:rsidRDefault="00713C9F" w:rsidP="006A5EDE">
      <w:pPr>
        <w:numPr>
          <w:ilvl w:val="0"/>
          <w:numId w:val="1"/>
        </w:numPr>
        <w:spacing w:before="100" w:beforeAutospacing="1" w:after="100" w:afterAutospacing="1" w:line="240" w:lineRule="auto"/>
        <w:jc w:val="both"/>
        <w:rPr>
          <w:rFonts w:ascii="Arial" w:eastAsia="Times New Roman" w:hAnsi="Arial" w:cs="Arial"/>
          <w:color w:val="000000"/>
        </w:rPr>
      </w:pPr>
      <w:r w:rsidRPr="00713C9F">
        <w:rPr>
          <w:rFonts w:ascii="Arial" w:eastAsia="Times New Roman" w:hAnsi="Arial" w:cs="Arial"/>
          <w:color w:val="000000"/>
        </w:rPr>
        <w:t>JSPL has diversified portfolio of iron &amp; steel products that have varied usages across various industries. The company manufactures TMT bar, angles, section, pipes, shutter profile, coils, sheets, different wire products which are produced in various variants as per the demand in the market.</w:t>
      </w:r>
    </w:p>
    <w:p w:rsidR="00713C9F" w:rsidRDefault="00713C9F" w:rsidP="006A5EDE">
      <w:pPr>
        <w:numPr>
          <w:ilvl w:val="0"/>
          <w:numId w:val="1"/>
        </w:numPr>
        <w:spacing w:before="100" w:beforeAutospacing="1" w:after="100" w:afterAutospacing="1" w:line="240" w:lineRule="auto"/>
        <w:jc w:val="both"/>
        <w:rPr>
          <w:rFonts w:ascii="Arial" w:eastAsia="Times New Roman" w:hAnsi="Arial" w:cs="Arial"/>
          <w:color w:val="000000"/>
        </w:rPr>
      </w:pPr>
      <w:r w:rsidRPr="00713C9F">
        <w:rPr>
          <w:rFonts w:ascii="Arial" w:eastAsia="Times New Roman" w:hAnsi="Arial" w:cs="Arial"/>
          <w:color w:val="000000"/>
        </w:rPr>
        <w:t>JSPL sells its products under various brand names all over Nepal with “</w:t>
      </w:r>
      <w:proofErr w:type="spellStart"/>
      <w:r w:rsidRPr="00713C9F">
        <w:rPr>
          <w:rFonts w:ascii="Arial" w:eastAsia="Times New Roman" w:hAnsi="Arial" w:cs="Arial"/>
          <w:color w:val="000000"/>
        </w:rPr>
        <w:t>Jagdamba</w:t>
      </w:r>
      <w:proofErr w:type="spellEnd"/>
      <w:r w:rsidRPr="00713C9F">
        <w:rPr>
          <w:rFonts w:ascii="Arial" w:eastAsia="Times New Roman" w:hAnsi="Arial" w:cs="Arial"/>
          <w:color w:val="000000"/>
        </w:rPr>
        <w:t xml:space="preserve"> E”, “Rhino 500D”, “</w:t>
      </w:r>
      <w:proofErr w:type="spellStart"/>
      <w:r w:rsidRPr="00713C9F">
        <w:rPr>
          <w:rFonts w:ascii="Arial" w:eastAsia="Times New Roman" w:hAnsi="Arial" w:cs="Arial"/>
          <w:color w:val="000000"/>
        </w:rPr>
        <w:t>Jagdamba</w:t>
      </w:r>
      <w:proofErr w:type="spellEnd"/>
      <w:r w:rsidRPr="00713C9F">
        <w:rPr>
          <w:rFonts w:ascii="Arial" w:eastAsia="Times New Roman" w:hAnsi="Arial" w:cs="Arial"/>
          <w:color w:val="000000"/>
        </w:rPr>
        <w:t xml:space="preserve"> Super Shine”, “</w:t>
      </w:r>
      <w:proofErr w:type="spellStart"/>
      <w:r w:rsidRPr="00713C9F">
        <w:rPr>
          <w:rFonts w:ascii="Arial" w:eastAsia="Times New Roman" w:hAnsi="Arial" w:cs="Arial"/>
          <w:color w:val="000000"/>
        </w:rPr>
        <w:t>Jagdamba</w:t>
      </w:r>
      <w:proofErr w:type="spellEnd"/>
      <w:r w:rsidRPr="00713C9F">
        <w:rPr>
          <w:rFonts w:ascii="Arial" w:eastAsia="Times New Roman" w:hAnsi="Arial" w:cs="Arial"/>
          <w:color w:val="000000"/>
        </w:rPr>
        <w:t xml:space="preserve"> Galva+”, “</w:t>
      </w:r>
      <w:proofErr w:type="spellStart"/>
      <w:r w:rsidRPr="00713C9F">
        <w:rPr>
          <w:rFonts w:ascii="Arial" w:eastAsia="Times New Roman" w:hAnsi="Arial" w:cs="Arial"/>
          <w:color w:val="000000"/>
        </w:rPr>
        <w:t>Jagdamba</w:t>
      </w:r>
      <w:proofErr w:type="spellEnd"/>
      <w:r w:rsidRPr="00713C9F">
        <w:rPr>
          <w:rFonts w:ascii="Arial" w:eastAsia="Times New Roman" w:hAnsi="Arial" w:cs="Arial"/>
          <w:color w:val="000000"/>
        </w:rPr>
        <w:t xml:space="preserve"> Pipe” and “</w:t>
      </w:r>
      <w:proofErr w:type="spellStart"/>
      <w:r w:rsidRPr="00713C9F">
        <w:rPr>
          <w:rFonts w:ascii="Arial" w:eastAsia="Times New Roman" w:hAnsi="Arial" w:cs="Arial"/>
          <w:color w:val="000000"/>
        </w:rPr>
        <w:t>Jagdamba</w:t>
      </w:r>
      <w:proofErr w:type="spellEnd"/>
      <w:r w:rsidRPr="00713C9F">
        <w:rPr>
          <w:rFonts w:ascii="Arial" w:eastAsia="Times New Roman" w:hAnsi="Arial" w:cs="Arial"/>
          <w:color w:val="000000"/>
        </w:rPr>
        <w:t xml:space="preserve"> Wire” being few of the major brands. The company's well-established brand maintains consistent demand and aids in product differentiation from competitors</w:t>
      </w:r>
    </w:p>
    <w:p w:rsidR="00713C9F" w:rsidRDefault="00713C9F" w:rsidP="006A5EDE">
      <w:pPr>
        <w:numPr>
          <w:ilvl w:val="0"/>
          <w:numId w:val="1"/>
        </w:numPr>
        <w:spacing w:before="100" w:beforeAutospacing="1" w:after="100" w:afterAutospacing="1" w:line="240" w:lineRule="auto"/>
        <w:jc w:val="both"/>
        <w:rPr>
          <w:rFonts w:ascii="Arial" w:eastAsia="Times New Roman" w:hAnsi="Arial" w:cs="Arial"/>
          <w:color w:val="000000"/>
        </w:rPr>
      </w:pPr>
      <w:r w:rsidRPr="00713C9F">
        <w:rPr>
          <w:rFonts w:ascii="Arial" w:eastAsia="Times New Roman" w:hAnsi="Arial" w:cs="Arial"/>
          <w:color w:val="000000"/>
        </w:rPr>
        <w:t>The plant site is close to Indo-Nepal borders which has led to saving in freight cost as the majority of raw materials requirements are imported. Further, JSPL has also been exporting its products from FY22 and factory’s proximity to Indian border has eased the export as well.</w:t>
      </w:r>
    </w:p>
    <w:p w:rsidR="00713C9F" w:rsidRPr="006101E2" w:rsidRDefault="00713C9F" w:rsidP="006A5EDE">
      <w:pPr>
        <w:numPr>
          <w:ilvl w:val="0"/>
          <w:numId w:val="1"/>
        </w:numPr>
        <w:spacing w:before="100" w:beforeAutospacing="1" w:after="100" w:afterAutospacing="1" w:line="240" w:lineRule="auto"/>
        <w:jc w:val="both"/>
        <w:rPr>
          <w:rFonts w:ascii="Arial" w:eastAsia="Times New Roman" w:hAnsi="Arial" w:cs="Arial"/>
          <w:color w:val="000000"/>
        </w:rPr>
      </w:pPr>
      <w:r w:rsidRPr="00713C9F">
        <w:rPr>
          <w:rFonts w:ascii="Arial" w:eastAsia="Times New Roman" w:hAnsi="Arial" w:cs="Arial"/>
          <w:color w:val="000000"/>
        </w:rPr>
        <w:t>The budget for FY23 has focused on high and sustainable growth by building a production-based economy. Cash subsidy up to 8% shall be provided for export of steel products. Concession up to 15% shall be given to industries consuming electricity of NPR 100 Mn or more.</w:t>
      </w:r>
    </w:p>
    <w:p w:rsidR="007E416D" w:rsidRPr="00AA52EB" w:rsidRDefault="00713C9F" w:rsidP="000736FB">
      <w:pPr>
        <w:jc w:val="both"/>
        <w:rPr>
          <w:rFonts w:ascii="Arial" w:hAnsi="Arial" w:cs="Arial"/>
        </w:rPr>
      </w:pPr>
      <w:r w:rsidRPr="00712F74">
        <w:rPr>
          <w:rStyle w:val="Strong"/>
          <w:rFonts w:ascii="Arial" w:hAnsi="Arial" w:cs="Arial"/>
          <w:color w:val="000000"/>
        </w:rPr>
        <w:lastRenderedPageBreak/>
        <w:t>Thus, this memo seeks your deliberation for onward approval to an underwriting proposal </w:t>
      </w:r>
      <w:r w:rsidRPr="006E0D41">
        <w:rPr>
          <w:rStyle w:val="Strong"/>
          <w:rFonts w:ascii="Arial" w:hAnsi="Arial" w:cs="Arial"/>
          <w:color w:val="000000"/>
        </w:rPr>
        <w:t>to a maximum of NPR1</w:t>
      </w:r>
      <w:r w:rsidR="00637867">
        <w:rPr>
          <w:rStyle w:val="Strong"/>
          <w:rFonts w:ascii="Arial" w:hAnsi="Arial" w:cs="Arial"/>
          <w:color w:val="000000"/>
        </w:rPr>
        <w:t>0</w:t>
      </w:r>
      <w:r w:rsidRPr="006E0D41">
        <w:rPr>
          <w:rStyle w:val="Strong"/>
          <w:rFonts w:ascii="Arial" w:hAnsi="Arial" w:cs="Arial"/>
          <w:color w:val="000000"/>
        </w:rPr>
        <w:t xml:space="preserve">0 </w:t>
      </w:r>
      <w:r w:rsidR="00B30081">
        <w:rPr>
          <w:rStyle w:val="Strong"/>
          <w:rFonts w:ascii="Arial" w:hAnsi="Arial" w:cs="Arial"/>
          <w:color w:val="000000"/>
        </w:rPr>
        <w:t>Crore</w:t>
      </w:r>
      <w:r w:rsidRPr="006E0D41">
        <w:rPr>
          <w:rStyle w:val="Strong"/>
          <w:rFonts w:ascii="Arial" w:hAnsi="Arial" w:cs="Arial"/>
          <w:color w:val="000000"/>
        </w:rPr>
        <w:t xml:space="preserve"> to the said IPO by Sanima Equity Fund</w:t>
      </w:r>
      <w:r w:rsidR="006E0D41">
        <w:rPr>
          <w:rStyle w:val="Strong"/>
          <w:rFonts w:ascii="Arial" w:hAnsi="Arial" w:cs="Arial"/>
          <w:color w:val="000000"/>
        </w:rPr>
        <w:t>, Sanima Growth Fund</w:t>
      </w:r>
      <w:r w:rsidRPr="006E0D41">
        <w:rPr>
          <w:rStyle w:val="Strong"/>
          <w:rFonts w:ascii="Arial" w:hAnsi="Arial" w:cs="Arial"/>
          <w:color w:val="000000"/>
        </w:rPr>
        <w:t xml:space="preserve"> and Sanima Capital collectively with minimum underwriting fees of 0.40% fee applicable for 12 months period </w:t>
      </w:r>
      <w:r w:rsidRPr="006E0D41">
        <w:rPr>
          <w:rFonts w:ascii="Arial" w:hAnsi="Arial" w:cs="Arial"/>
          <w:b/>
          <w:color w:val="000000"/>
        </w:rPr>
        <w:t>from the date of agreement.</w:t>
      </w:r>
    </w:p>
    <w:sectPr w:rsidR="007E416D" w:rsidRPr="00AA52EB" w:rsidSect="00C108B8">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72E"/>
    <w:multiLevelType w:val="hybridMultilevel"/>
    <w:tmpl w:val="B6BA7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55E3D"/>
    <w:multiLevelType w:val="multilevel"/>
    <w:tmpl w:val="22488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EDC61AC"/>
    <w:multiLevelType w:val="hybridMultilevel"/>
    <w:tmpl w:val="AF9C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BD17F9"/>
    <w:multiLevelType w:val="hybridMultilevel"/>
    <w:tmpl w:val="DD326B3C"/>
    <w:lvl w:ilvl="0" w:tplc="69E043A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16165"/>
    <w:multiLevelType w:val="hybridMultilevel"/>
    <w:tmpl w:val="E6501FF8"/>
    <w:lvl w:ilvl="0" w:tplc="5F2467F0">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F43FA"/>
    <w:multiLevelType w:val="hybridMultilevel"/>
    <w:tmpl w:val="078E1F36"/>
    <w:lvl w:ilvl="0" w:tplc="80B069AA">
      <w:start w:val="1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5F"/>
    <w:rsid w:val="000060DC"/>
    <w:rsid w:val="00010CF0"/>
    <w:rsid w:val="00020AD7"/>
    <w:rsid w:val="00032F29"/>
    <w:rsid w:val="00033790"/>
    <w:rsid w:val="00060DA8"/>
    <w:rsid w:val="00067B58"/>
    <w:rsid w:val="000736FB"/>
    <w:rsid w:val="00076801"/>
    <w:rsid w:val="00084DA1"/>
    <w:rsid w:val="00096A12"/>
    <w:rsid w:val="000A756F"/>
    <w:rsid w:val="000B002F"/>
    <w:rsid w:val="000B6920"/>
    <w:rsid w:val="000B6CDD"/>
    <w:rsid w:val="000C3B6D"/>
    <w:rsid w:val="000C53E3"/>
    <w:rsid w:val="000C625A"/>
    <w:rsid w:val="000E4901"/>
    <w:rsid w:val="000E65EB"/>
    <w:rsid w:val="00111AC5"/>
    <w:rsid w:val="0011692F"/>
    <w:rsid w:val="00120790"/>
    <w:rsid w:val="0012771B"/>
    <w:rsid w:val="00130EDE"/>
    <w:rsid w:val="001469AC"/>
    <w:rsid w:val="0015256D"/>
    <w:rsid w:val="00156A8D"/>
    <w:rsid w:val="001804D8"/>
    <w:rsid w:val="00187752"/>
    <w:rsid w:val="0019668D"/>
    <w:rsid w:val="0019751B"/>
    <w:rsid w:val="001C2286"/>
    <w:rsid w:val="001D05C6"/>
    <w:rsid w:val="001D3946"/>
    <w:rsid w:val="001E6634"/>
    <w:rsid w:val="001F34C6"/>
    <w:rsid w:val="001F5CC8"/>
    <w:rsid w:val="0020081A"/>
    <w:rsid w:val="002015BF"/>
    <w:rsid w:val="00210255"/>
    <w:rsid w:val="00231B63"/>
    <w:rsid w:val="00233346"/>
    <w:rsid w:val="0026385C"/>
    <w:rsid w:val="002639E2"/>
    <w:rsid w:val="00283419"/>
    <w:rsid w:val="00295061"/>
    <w:rsid w:val="002B6263"/>
    <w:rsid w:val="002B764F"/>
    <w:rsid w:val="002B7A67"/>
    <w:rsid w:val="002C2798"/>
    <w:rsid w:val="002C6025"/>
    <w:rsid w:val="002D3B35"/>
    <w:rsid w:val="002D7A57"/>
    <w:rsid w:val="002E434E"/>
    <w:rsid w:val="002E47A3"/>
    <w:rsid w:val="002E51B7"/>
    <w:rsid w:val="002E6AB8"/>
    <w:rsid w:val="002F49BB"/>
    <w:rsid w:val="003044D0"/>
    <w:rsid w:val="003143D9"/>
    <w:rsid w:val="00314837"/>
    <w:rsid w:val="00317E0B"/>
    <w:rsid w:val="00324B5B"/>
    <w:rsid w:val="00331F3D"/>
    <w:rsid w:val="00337239"/>
    <w:rsid w:val="00363510"/>
    <w:rsid w:val="003912F4"/>
    <w:rsid w:val="003A205B"/>
    <w:rsid w:val="003B4FF3"/>
    <w:rsid w:val="003B5DD4"/>
    <w:rsid w:val="003C0FEC"/>
    <w:rsid w:val="003C6F8C"/>
    <w:rsid w:val="003E75C1"/>
    <w:rsid w:val="003F13FA"/>
    <w:rsid w:val="003F2FE1"/>
    <w:rsid w:val="00401A87"/>
    <w:rsid w:val="0040326D"/>
    <w:rsid w:val="0040388A"/>
    <w:rsid w:val="004229A7"/>
    <w:rsid w:val="00423541"/>
    <w:rsid w:val="00451AA1"/>
    <w:rsid w:val="00457C02"/>
    <w:rsid w:val="0047287C"/>
    <w:rsid w:val="00473B00"/>
    <w:rsid w:val="004B19CC"/>
    <w:rsid w:val="004B68A7"/>
    <w:rsid w:val="005017C3"/>
    <w:rsid w:val="005222A6"/>
    <w:rsid w:val="0053694F"/>
    <w:rsid w:val="00545280"/>
    <w:rsid w:val="005613A3"/>
    <w:rsid w:val="005662B1"/>
    <w:rsid w:val="005700CB"/>
    <w:rsid w:val="0058020B"/>
    <w:rsid w:val="00581D5E"/>
    <w:rsid w:val="005840CD"/>
    <w:rsid w:val="00584C7E"/>
    <w:rsid w:val="0059056F"/>
    <w:rsid w:val="00593A54"/>
    <w:rsid w:val="00594A6B"/>
    <w:rsid w:val="0059524E"/>
    <w:rsid w:val="00597D8E"/>
    <w:rsid w:val="005A3DC5"/>
    <w:rsid w:val="005A61AD"/>
    <w:rsid w:val="005A7CB3"/>
    <w:rsid w:val="005A7E52"/>
    <w:rsid w:val="005B2EBA"/>
    <w:rsid w:val="005B3D3F"/>
    <w:rsid w:val="005B40E0"/>
    <w:rsid w:val="005B5594"/>
    <w:rsid w:val="005B5B0D"/>
    <w:rsid w:val="005C5D3D"/>
    <w:rsid w:val="005C6F0D"/>
    <w:rsid w:val="005C7519"/>
    <w:rsid w:val="005D28A8"/>
    <w:rsid w:val="005F0B07"/>
    <w:rsid w:val="00602DB4"/>
    <w:rsid w:val="006101E2"/>
    <w:rsid w:val="006140CE"/>
    <w:rsid w:val="006176CC"/>
    <w:rsid w:val="0063318A"/>
    <w:rsid w:val="00637867"/>
    <w:rsid w:val="00643119"/>
    <w:rsid w:val="00656D7C"/>
    <w:rsid w:val="00676F40"/>
    <w:rsid w:val="006817EA"/>
    <w:rsid w:val="00683BFA"/>
    <w:rsid w:val="00683CC6"/>
    <w:rsid w:val="00687D77"/>
    <w:rsid w:val="00695F83"/>
    <w:rsid w:val="006A5EDE"/>
    <w:rsid w:val="006C016F"/>
    <w:rsid w:val="006C1522"/>
    <w:rsid w:val="006C26A5"/>
    <w:rsid w:val="006C40BC"/>
    <w:rsid w:val="006D2217"/>
    <w:rsid w:val="006E0D41"/>
    <w:rsid w:val="006E2A5B"/>
    <w:rsid w:val="00701D3C"/>
    <w:rsid w:val="00701EF7"/>
    <w:rsid w:val="00702338"/>
    <w:rsid w:val="007101F0"/>
    <w:rsid w:val="00713C9F"/>
    <w:rsid w:val="00744C94"/>
    <w:rsid w:val="00746530"/>
    <w:rsid w:val="007761C3"/>
    <w:rsid w:val="0078588A"/>
    <w:rsid w:val="007975C7"/>
    <w:rsid w:val="007A2BD3"/>
    <w:rsid w:val="007B6D64"/>
    <w:rsid w:val="007C5FE6"/>
    <w:rsid w:val="007D6C67"/>
    <w:rsid w:val="007E416D"/>
    <w:rsid w:val="007E4578"/>
    <w:rsid w:val="008025B4"/>
    <w:rsid w:val="008036D5"/>
    <w:rsid w:val="0081193C"/>
    <w:rsid w:val="008123B1"/>
    <w:rsid w:val="008147A1"/>
    <w:rsid w:val="008246E3"/>
    <w:rsid w:val="00832C4D"/>
    <w:rsid w:val="00840270"/>
    <w:rsid w:val="00846459"/>
    <w:rsid w:val="00847210"/>
    <w:rsid w:val="00854728"/>
    <w:rsid w:val="00866336"/>
    <w:rsid w:val="00874FDA"/>
    <w:rsid w:val="00883317"/>
    <w:rsid w:val="00891983"/>
    <w:rsid w:val="00894671"/>
    <w:rsid w:val="008A102F"/>
    <w:rsid w:val="008B46E2"/>
    <w:rsid w:val="008B7CCA"/>
    <w:rsid w:val="008C448F"/>
    <w:rsid w:val="008D6C82"/>
    <w:rsid w:val="008E133F"/>
    <w:rsid w:val="008E52EC"/>
    <w:rsid w:val="008F5DE3"/>
    <w:rsid w:val="008F6259"/>
    <w:rsid w:val="008F6490"/>
    <w:rsid w:val="008F6B4C"/>
    <w:rsid w:val="00903F57"/>
    <w:rsid w:val="00907826"/>
    <w:rsid w:val="00907FFE"/>
    <w:rsid w:val="00930C1E"/>
    <w:rsid w:val="00931238"/>
    <w:rsid w:val="009325D1"/>
    <w:rsid w:val="009337B6"/>
    <w:rsid w:val="00934256"/>
    <w:rsid w:val="00934502"/>
    <w:rsid w:val="009573F5"/>
    <w:rsid w:val="00964F4F"/>
    <w:rsid w:val="00980A80"/>
    <w:rsid w:val="00997A94"/>
    <w:rsid w:val="009A454E"/>
    <w:rsid w:val="009B12F4"/>
    <w:rsid w:val="009B6938"/>
    <w:rsid w:val="009C3976"/>
    <w:rsid w:val="009E065B"/>
    <w:rsid w:val="009E29EA"/>
    <w:rsid w:val="009E2CBE"/>
    <w:rsid w:val="009E4F5B"/>
    <w:rsid w:val="00A140B9"/>
    <w:rsid w:val="00A33E32"/>
    <w:rsid w:val="00A434C6"/>
    <w:rsid w:val="00A5078F"/>
    <w:rsid w:val="00A63350"/>
    <w:rsid w:val="00A74353"/>
    <w:rsid w:val="00A802C2"/>
    <w:rsid w:val="00A842CB"/>
    <w:rsid w:val="00A87B32"/>
    <w:rsid w:val="00A92C50"/>
    <w:rsid w:val="00A96B4D"/>
    <w:rsid w:val="00AA41B4"/>
    <w:rsid w:val="00AA4DCC"/>
    <w:rsid w:val="00AA52EB"/>
    <w:rsid w:val="00AC1EDA"/>
    <w:rsid w:val="00AC5AF9"/>
    <w:rsid w:val="00AE5696"/>
    <w:rsid w:val="00AF15A1"/>
    <w:rsid w:val="00AF1606"/>
    <w:rsid w:val="00AF289E"/>
    <w:rsid w:val="00AF38DC"/>
    <w:rsid w:val="00AF4AEE"/>
    <w:rsid w:val="00AF76D0"/>
    <w:rsid w:val="00AF77C2"/>
    <w:rsid w:val="00B12B36"/>
    <w:rsid w:val="00B1425F"/>
    <w:rsid w:val="00B30081"/>
    <w:rsid w:val="00B30D83"/>
    <w:rsid w:val="00B45CF6"/>
    <w:rsid w:val="00B476D5"/>
    <w:rsid w:val="00B517A1"/>
    <w:rsid w:val="00B54309"/>
    <w:rsid w:val="00B56F1E"/>
    <w:rsid w:val="00B6511F"/>
    <w:rsid w:val="00B674E9"/>
    <w:rsid w:val="00B73702"/>
    <w:rsid w:val="00B77E6A"/>
    <w:rsid w:val="00B807EB"/>
    <w:rsid w:val="00B80BEF"/>
    <w:rsid w:val="00B8254B"/>
    <w:rsid w:val="00B87524"/>
    <w:rsid w:val="00BA60E0"/>
    <w:rsid w:val="00BC6FAB"/>
    <w:rsid w:val="00BD1D67"/>
    <w:rsid w:val="00BD537B"/>
    <w:rsid w:val="00BD7131"/>
    <w:rsid w:val="00BE04B4"/>
    <w:rsid w:val="00BF5792"/>
    <w:rsid w:val="00BF74F2"/>
    <w:rsid w:val="00C108B8"/>
    <w:rsid w:val="00C178BA"/>
    <w:rsid w:val="00C25190"/>
    <w:rsid w:val="00C31E8F"/>
    <w:rsid w:val="00C330FE"/>
    <w:rsid w:val="00C50454"/>
    <w:rsid w:val="00C518C4"/>
    <w:rsid w:val="00C72D1B"/>
    <w:rsid w:val="00C76EEA"/>
    <w:rsid w:val="00C80F9D"/>
    <w:rsid w:val="00C8366F"/>
    <w:rsid w:val="00CD19A4"/>
    <w:rsid w:val="00CE7590"/>
    <w:rsid w:val="00CF10C3"/>
    <w:rsid w:val="00CF14AB"/>
    <w:rsid w:val="00D00EEE"/>
    <w:rsid w:val="00D02DB8"/>
    <w:rsid w:val="00D035C2"/>
    <w:rsid w:val="00D07617"/>
    <w:rsid w:val="00D12A08"/>
    <w:rsid w:val="00D1662C"/>
    <w:rsid w:val="00D2272D"/>
    <w:rsid w:val="00D41663"/>
    <w:rsid w:val="00D448AE"/>
    <w:rsid w:val="00D47206"/>
    <w:rsid w:val="00D56DA2"/>
    <w:rsid w:val="00D66F15"/>
    <w:rsid w:val="00D97658"/>
    <w:rsid w:val="00DA36D2"/>
    <w:rsid w:val="00DB19D7"/>
    <w:rsid w:val="00DB1A6A"/>
    <w:rsid w:val="00DB1C98"/>
    <w:rsid w:val="00DB298C"/>
    <w:rsid w:val="00DC6123"/>
    <w:rsid w:val="00DE21D4"/>
    <w:rsid w:val="00E03E03"/>
    <w:rsid w:val="00E112E1"/>
    <w:rsid w:val="00E20607"/>
    <w:rsid w:val="00E21EDD"/>
    <w:rsid w:val="00E23C52"/>
    <w:rsid w:val="00E27AB2"/>
    <w:rsid w:val="00E361A4"/>
    <w:rsid w:val="00E60F41"/>
    <w:rsid w:val="00E63722"/>
    <w:rsid w:val="00E83B77"/>
    <w:rsid w:val="00E9173E"/>
    <w:rsid w:val="00EC0B62"/>
    <w:rsid w:val="00EC2858"/>
    <w:rsid w:val="00ED3AFA"/>
    <w:rsid w:val="00EE1F8B"/>
    <w:rsid w:val="00EE6F52"/>
    <w:rsid w:val="00EF0F62"/>
    <w:rsid w:val="00F04AE6"/>
    <w:rsid w:val="00F26A86"/>
    <w:rsid w:val="00F31E8F"/>
    <w:rsid w:val="00F344AA"/>
    <w:rsid w:val="00F57DA7"/>
    <w:rsid w:val="00F60047"/>
    <w:rsid w:val="00F722A9"/>
    <w:rsid w:val="00F74A46"/>
    <w:rsid w:val="00F74FB4"/>
    <w:rsid w:val="00F805C2"/>
    <w:rsid w:val="00F83D58"/>
    <w:rsid w:val="00F90C36"/>
    <w:rsid w:val="00FA0667"/>
    <w:rsid w:val="00FA296A"/>
    <w:rsid w:val="00FB2D22"/>
    <w:rsid w:val="00FC189A"/>
    <w:rsid w:val="00FC45D3"/>
    <w:rsid w:val="00FC6F79"/>
    <w:rsid w:val="00FD6225"/>
    <w:rsid w:val="00FE5AF4"/>
    <w:rsid w:val="00FF3E77"/>
    <w:rsid w:val="00FF681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2B3E"/>
  <w15:docId w15:val="{FE8A4781-5790-4D4C-B7CB-44FB7F2C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D77"/>
  </w:style>
  <w:style w:type="paragraph" w:styleId="Heading1">
    <w:name w:val="heading 1"/>
    <w:basedOn w:val="Normal"/>
    <w:link w:val="Heading1Char"/>
    <w:uiPriority w:val="9"/>
    <w:qFormat/>
    <w:rsid w:val="005802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3123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7D6C6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425F"/>
    <w:rPr>
      <w:b/>
      <w:bCs/>
    </w:rPr>
  </w:style>
  <w:style w:type="table" w:styleId="TableGrid">
    <w:name w:val="Table Grid"/>
    <w:basedOn w:val="TableNormal"/>
    <w:uiPriority w:val="59"/>
    <w:rsid w:val="00067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2C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C50"/>
    <w:rPr>
      <w:rFonts w:ascii="Tahoma" w:hAnsi="Tahoma" w:cs="Tahoma"/>
      <w:sz w:val="16"/>
      <w:szCs w:val="16"/>
    </w:rPr>
  </w:style>
  <w:style w:type="paragraph" w:styleId="ListParagraph">
    <w:name w:val="List Paragraph"/>
    <w:basedOn w:val="Normal"/>
    <w:uiPriority w:val="34"/>
    <w:qFormat/>
    <w:rsid w:val="008025B4"/>
    <w:pPr>
      <w:ind w:left="720"/>
      <w:contextualSpacing/>
    </w:pPr>
  </w:style>
  <w:style w:type="paragraph" w:styleId="NoSpacing">
    <w:name w:val="No Spacing"/>
    <w:uiPriority w:val="1"/>
    <w:qFormat/>
    <w:rsid w:val="00DA36D2"/>
    <w:pPr>
      <w:spacing w:after="0" w:line="240" w:lineRule="auto"/>
    </w:pPr>
  </w:style>
  <w:style w:type="character" w:customStyle="1" w:styleId="Heading1Char">
    <w:name w:val="Heading 1 Char"/>
    <w:basedOn w:val="DefaultParagraphFont"/>
    <w:link w:val="Heading1"/>
    <w:uiPriority w:val="9"/>
    <w:rsid w:val="0058020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842CB"/>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2Char">
    <w:name w:val="Heading 2 Char"/>
    <w:basedOn w:val="DefaultParagraphFont"/>
    <w:link w:val="Heading2"/>
    <w:uiPriority w:val="9"/>
    <w:rsid w:val="0093123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7D6C67"/>
    <w:rPr>
      <w:rFonts w:asciiTheme="majorHAnsi" w:eastAsiaTheme="majorEastAsia" w:hAnsiTheme="majorHAnsi" w:cstheme="majorBidi"/>
      <w:i/>
      <w:iCs/>
      <w:color w:val="365F91" w:themeColor="accent1" w:themeShade="BF"/>
    </w:rPr>
  </w:style>
  <w:style w:type="table" w:styleId="PlainTable1">
    <w:name w:val="Plain Table 1"/>
    <w:basedOn w:val="TableNormal"/>
    <w:uiPriority w:val="41"/>
    <w:rsid w:val="00D416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B1C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687D7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2E51B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4">
    <w:name w:val="Grid Table 4 Accent 4"/>
    <w:basedOn w:val="TableNormal"/>
    <w:uiPriority w:val="49"/>
    <w:rsid w:val="002E51B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3">
    <w:name w:val="Grid Table 4 Accent 3"/>
    <w:basedOn w:val="TableNormal"/>
    <w:uiPriority w:val="49"/>
    <w:rsid w:val="002E51B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023">
      <w:bodyDiv w:val="1"/>
      <w:marLeft w:val="0"/>
      <w:marRight w:val="0"/>
      <w:marTop w:val="0"/>
      <w:marBottom w:val="0"/>
      <w:divBdr>
        <w:top w:val="none" w:sz="0" w:space="0" w:color="auto"/>
        <w:left w:val="none" w:sz="0" w:space="0" w:color="auto"/>
        <w:bottom w:val="none" w:sz="0" w:space="0" w:color="auto"/>
        <w:right w:val="none" w:sz="0" w:space="0" w:color="auto"/>
      </w:divBdr>
    </w:div>
    <w:div w:id="14236640">
      <w:bodyDiv w:val="1"/>
      <w:marLeft w:val="0"/>
      <w:marRight w:val="0"/>
      <w:marTop w:val="0"/>
      <w:marBottom w:val="0"/>
      <w:divBdr>
        <w:top w:val="none" w:sz="0" w:space="0" w:color="auto"/>
        <w:left w:val="none" w:sz="0" w:space="0" w:color="auto"/>
        <w:bottom w:val="none" w:sz="0" w:space="0" w:color="auto"/>
        <w:right w:val="none" w:sz="0" w:space="0" w:color="auto"/>
      </w:divBdr>
    </w:div>
    <w:div w:id="132022175">
      <w:bodyDiv w:val="1"/>
      <w:marLeft w:val="0"/>
      <w:marRight w:val="0"/>
      <w:marTop w:val="0"/>
      <w:marBottom w:val="0"/>
      <w:divBdr>
        <w:top w:val="none" w:sz="0" w:space="0" w:color="auto"/>
        <w:left w:val="none" w:sz="0" w:space="0" w:color="auto"/>
        <w:bottom w:val="none" w:sz="0" w:space="0" w:color="auto"/>
        <w:right w:val="none" w:sz="0" w:space="0" w:color="auto"/>
      </w:divBdr>
    </w:div>
    <w:div w:id="139736511">
      <w:bodyDiv w:val="1"/>
      <w:marLeft w:val="0"/>
      <w:marRight w:val="0"/>
      <w:marTop w:val="0"/>
      <w:marBottom w:val="0"/>
      <w:divBdr>
        <w:top w:val="none" w:sz="0" w:space="0" w:color="auto"/>
        <w:left w:val="none" w:sz="0" w:space="0" w:color="auto"/>
        <w:bottom w:val="none" w:sz="0" w:space="0" w:color="auto"/>
        <w:right w:val="none" w:sz="0" w:space="0" w:color="auto"/>
      </w:divBdr>
    </w:div>
    <w:div w:id="187989871">
      <w:bodyDiv w:val="1"/>
      <w:marLeft w:val="0"/>
      <w:marRight w:val="0"/>
      <w:marTop w:val="0"/>
      <w:marBottom w:val="0"/>
      <w:divBdr>
        <w:top w:val="none" w:sz="0" w:space="0" w:color="auto"/>
        <w:left w:val="none" w:sz="0" w:space="0" w:color="auto"/>
        <w:bottom w:val="none" w:sz="0" w:space="0" w:color="auto"/>
        <w:right w:val="none" w:sz="0" w:space="0" w:color="auto"/>
      </w:divBdr>
    </w:div>
    <w:div w:id="269170319">
      <w:bodyDiv w:val="1"/>
      <w:marLeft w:val="0"/>
      <w:marRight w:val="0"/>
      <w:marTop w:val="0"/>
      <w:marBottom w:val="0"/>
      <w:divBdr>
        <w:top w:val="none" w:sz="0" w:space="0" w:color="auto"/>
        <w:left w:val="none" w:sz="0" w:space="0" w:color="auto"/>
        <w:bottom w:val="none" w:sz="0" w:space="0" w:color="auto"/>
        <w:right w:val="none" w:sz="0" w:space="0" w:color="auto"/>
      </w:divBdr>
    </w:div>
    <w:div w:id="356546571">
      <w:bodyDiv w:val="1"/>
      <w:marLeft w:val="0"/>
      <w:marRight w:val="0"/>
      <w:marTop w:val="0"/>
      <w:marBottom w:val="0"/>
      <w:divBdr>
        <w:top w:val="none" w:sz="0" w:space="0" w:color="auto"/>
        <w:left w:val="none" w:sz="0" w:space="0" w:color="auto"/>
        <w:bottom w:val="none" w:sz="0" w:space="0" w:color="auto"/>
        <w:right w:val="none" w:sz="0" w:space="0" w:color="auto"/>
      </w:divBdr>
    </w:div>
    <w:div w:id="393352350">
      <w:bodyDiv w:val="1"/>
      <w:marLeft w:val="0"/>
      <w:marRight w:val="0"/>
      <w:marTop w:val="0"/>
      <w:marBottom w:val="0"/>
      <w:divBdr>
        <w:top w:val="none" w:sz="0" w:space="0" w:color="auto"/>
        <w:left w:val="none" w:sz="0" w:space="0" w:color="auto"/>
        <w:bottom w:val="none" w:sz="0" w:space="0" w:color="auto"/>
        <w:right w:val="none" w:sz="0" w:space="0" w:color="auto"/>
      </w:divBdr>
    </w:div>
    <w:div w:id="408385002">
      <w:bodyDiv w:val="1"/>
      <w:marLeft w:val="0"/>
      <w:marRight w:val="0"/>
      <w:marTop w:val="0"/>
      <w:marBottom w:val="0"/>
      <w:divBdr>
        <w:top w:val="none" w:sz="0" w:space="0" w:color="auto"/>
        <w:left w:val="none" w:sz="0" w:space="0" w:color="auto"/>
        <w:bottom w:val="none" w:sz="0" w:space="0" w:color="auto"/>
        <w:right w:val="none" w:sz="0" w:space="0" w:color="auto"/>
      </w:divBdr>
    </w:div>
    <w:div w:id="419066974">
      <w:bodyDiv w:val="1"/>
      <w:marLeft w:val="0"/>
      <w:marRight w:val="0"/>
      <w:marTop w:val="0"/>
      <w:marBottom w:val="0"/>
      <w:divBdr>
        <w:top w:val="none" w:sz="0" w:space="0" w:color="auto"/>
        <w:left w:val="none" w:sz="0" w:space="0" w:color="auto"/>
        <w:bottom w:val="none" w:sz="0" w:space="0" w:color="auto"/>
        <w:right w:val="none" w:sz="0" w:space="0" w:color="auto"/>
      </w:divBdr>
    </w:div>
    <w:div w:id="419985632">
      <w:bodyDiv w:val="1"/>
      <w:marLeft w:val="0"/>
      <w:marRight w:val="0"/>
      <w:marTop w:val="0"/>
      <w:marBottom w:val="0"/>
      <w:divBdr>
        <w:top w:val="none" w:sz="0" w:space="0" w:color="auto"/>
        <w:left w:val="none" w:sz="0" w:space="0" w:color="auto"/>
        <w:bottom w:val="none" w:sz="0" w:space="0" w:color="auto"/>
        <w:right w:val="none" w:sz="0" w:space="0" w:color="auto"/>
      </w:divBdr>
    </w:div>
    <w:div w:id="550504102">
      <w:bodyDiv w:val="1"/>
      <w:marLeft w:val="0"/>
      <w:marRight w:val="0"/>
      <w:marTop w:val="0"/>
      <w:marBottom w:val="0"/>
      <w:divBdr>
        <w:top w:val="none" w:sz="0" w:space="0" w:color="auto"/>
        <w:left w:val="none" w:sz="0" w:space="0" w:color="auto"/>
        <w:bottom w:val="none" w:sz="0" w:space="0" w:color="auto"/>
        <w:right w:val="none" w:sz="0" w:space="0" w:color="auto"/>
      </w:divBdr>
    </w:div>
    <w:div w:id="654529024">
      <w:bodyDiv w:val="1"/>
      <w:marLeft w:val="0"/>
      <w:marRight w:val="0"/>
      <w:marTop w:val="0"/>
      <w:marBottom w:val="0"/>
      <w:divBdr>
        <w:top w:val="none" w:sz="0" w:space="0" w:color="auto"/>
        <w:left w:val="none" w:sz="0" w:space="0" w:color="auto"/>
        <w:bottom w:val="none" w:sz="0" w:space="0" w:color="auto"/>
        <w:right w:val="none" w:sz="0" w:space="0" w:color="auto"/>
      </w:divBdr>
    </w:div>
    <w:div w:id="679770307">
      <w:bodyDiv w:val="1"/>
      <w:marLeft w:val="0"/>
      <w:marRight w:val="0"/>
      <w:marTop w:val="0"/>
      <w:marBottom w:val="0"/>
      <w:divBdr>
        <w:top w:val="none" w:sz="0" w:space="0" w:color="auto"/>
        <w:left w:val="none" w:sz="0" w:space="0" w:color="auto"/>
        <w:bottom w:val="none" w:sz="0" w:space="0" w:color="auto"/>
        <w:right w:val="none" w:sz="0" w:space="0" w:color="auto"/>
      </w:divBdr>
    </w:div>
    <w:div w:id="691877094">
      <w:bodyDiv w:val="1"/>
      <w:marLeft w:val="0"/>
      <w:marRight w:val="0"/>
      <w:marTop w:val="0"/>
      <w:marBottom w:val="0"/>
      <w:divBdr>
        <w:top w:val="none" w:sz="0" w:space="0" w:color="auto"/>
        <w:left w:val="none" w:sz="0" w:space="0" w:color="auto"/>
        <w:bottom w:val="none" w:sz="0" w:space="0" w:color="auto"/>
        <w:right w:val="none" w:sz="0" w:space="0" w:color="auto"/>
      </w:divBdr>
    </w:div>
    <w:div w:id="698776397">
      <w:bodyDiv w:val="1"/>
      <w:marLeft w:val="0"/>
      <w:marRight w:val="0"/>
      <w:marTop w:val="0"/>
      <w:marBottom w:val="0"/>
      <w:divBdr>
        <w:top w:val="none" w:sz="0" w:space="0" w:color="auto"/>
        <w:left w:val="none" w:sz="0" w:space="0" w:color="auto"/>
        <w:bottom w:val="none" w:sz="0" w:space="0" w:color="auto"/>
        <w:right w:val="none" w:sz="0" w:space="0" w:color="auto"/>
      </w:divBdr>
    </w:div>
    <w:div w:id="767582065">
      <w:bodyDiv w:val="1"/>
      <w:marLeft w:val="0"/>
      <w:marRight w:val="0"/>
      <w:marTop w:val="0"/>
      <w:marBottom w:val="0"/>
      <w:divBdr>
        <w:top w:val="none" w:sz="0" w:space="0" w:color="auto"/>
        <w:left w:val="none" w:sz="0" w:space="0" w:color="auto"/>
        <w:bottom w:val="none" w:sz="0" w:space="0" w:color="auto"/>
        <w:right w:val="none" w:sz="0" w:space="0" w:color="auto"/>
      </w:divBdr>
    </w:div>
    <w:div w:id="789670056">
      <w:bodyDiv w:val="1"/>
      <w:marLeft w:val="0"/>
      <w:marRight w:val="0"/>
      <w:marTop w:val="0"/>
      <w:marBottom w:val="0"/>
      <w:divBdr>
        <w:top w:val="none" w:sz="0" w:space="0" w:color="auto"/>
        <w:left w:val="none" w:sz="0" w:space="0" w:color="auto"/>
        <w:bottom w:val="none" w:sz="0" w:space="0" w:color="auto"/>
        <w:right w:val="none" w:sz="0" w:space="0" w:color="auto"/>
      </w:divBdr>
    </w:div>
    <w:div w:id="951745412">
      <w:bodyDiv w:val="1"/>
      <w:marLeft w:val="0"/>
      <w:marRight w:val="0"/>
      <w:marTop w:val="0"/>
      <w:marBottom w:val="0"/>
      <w:divBdr>
        <w:top w:val="none" w:sz="0" w:space="0" w:color="auto"/>
        <w:left w:val="none" w:sz="0" w:space="0" w:color="auto"/>
        <w:bottom w:val="none" w:sz="0" w:space="0" w:color="auto"/>
        <w:right w:val="none" w:sz="0" w:space="0" w:color="auto"/>
      </w:divBdr>
    </w:div>
    <w:div w:id="1069496146">
      <w:bodyDiv w:val="1"/>
      <w:marLeft w:val="0"/>
      <w:marRight w:val="0"/>
      <w:marTop w:val="0"/>
      <w:marBottom w:val="0"/>
      <w:divBdr>
        <w:top w:val="none" w:sz="0" w:space="0" w:color="auto"/>
        <w:left w:val="none" w:sz="0" w:space="0" w:color="auto"/>
        <w:bottom w:val="none" w:sz="0" w:space="0" w:color="auto"/>
        <w:right w:val="none" w:sz="0" w:space="0" w:color="auto"/>
      </w:divBdr>
    </w:div>
    <w:div w:id="1070151017">
      <w:bodyDiv w:val="1"/>
      <w:marLeft w:val="0"/>
      <w:marRight w:val="0"/>
      <w:marTop w:val="0"/>
      <w:marBottom w:val="0"/>
      <w:divBdr>
        <w:top w:val="none" w:sz="0" w:space="0" w:color="auto"/>
        <w:left w:val="none" w:sz="0" w:space="0" w:color="auto"/>
        <w:bottom w:val="none" w:sz="0" w:space="0" w:color="auto"/>
        <w:right w:val="none" w:sz="0" w:space="0" w:color="auto"/>
      </w:divBdr>
    </w:div>
    <w:div w:id="1076241764">
      <w:bodyDiv w:val="1"/>
      <w:marLeft w:val="0"/>
      <w:marRight w:val="0"/>
      <w:marTop w:val="0"/>
      <w:marBottom w:val="0"/>
      <w:divBdr>
        <w:top w:val="none" w:sz="0" w:space="0" w:color="auto"/>
        <w:left w:val="none" w:sz="0" w:space="0" w:color="auto"/>
        <w:bottom w:val="none" w:sz="0" w:space="0" w:color="auto"/>
        <w:right w:val="none" w:sz="0" w:space="0" w:color="auto"/>
      </w:divBdr>
    </w:div>
    <w:div w:id="1083068598">
      <w:bodyDiv w:val="1"/>
      <w:marLeft w:val="0"/>
      <w:marRight w:val="0"/>
      <w:marTop w:val="0"/>
      <w:marBottom w:val="0"/>
      <w:divBdr>
        <w:top w:val="none" w:sz="0" w:space="0" w:color="auto"/>
        <w:left w:val="none" w:sz="0" w:space="0" w:color="auto"/>
        <w:bottom w:val="none" w:sz="0" w:space="0" w:color="auto"/>
        <w:right w:val="none" w:sz="0" w:space="0" w:color="auto"/>
      </w:divBdr>
    </w:div>
    <w:div w:id="1091774722">
      <w:bodyDiv w:val="1"/>
      <w:marLeft w:val="0"/>
      <w:marRight w:val="0"/>
      <w:marTop w:val="0"/>
      <w:marBottom w:val="0"/>
      <w:divBdr>
        <w:top w:val="none" w:sz="0" w:space="0" w:color="auto"/>
        <w:left w:val="none" w:sz="0" w:space="0" w:color="auto"/>
        <w:bottom w:val="none" w:sz="0" w:space="0" w:color="auto"/>
        <w:right w:val="none" w:sz="0" w:space="0" w:color="auto"/>
      </w:divBdr>
      <w:divsChild>
        <w:div w:id="1496141900">
          <w:marLeft w:val="0"/>
          <w:marRight w:val="0"/>
          <w:marTop w:val="0"/>
          <w:marBottom w:val="0"/>
          <w:divBdr>
            <w:top w:val="none" w:sz="0" w:space="0" w:color="auto"/>
            <w:left w:val="none" w:sz="0" w:space="0" w:color="auto"/>
            <w:bottom w:val="none" w:sz="0" w:space="0" w:color="auto"/>
            <w:right w:val="none" w:sz="0" w:space="0" w:color="auto"/>
          </w:divBdr>
        </w:div>
        <w:div w:id="124811352">
          <w:marLeft w:val="0"/>
          <w:marRight w:val="0"/>
          <w:marTop w:val="0"/>
          <w:marBottom w:val="0"/>
          <w:divBdr>
            <w:top w:val="none" w:sz="0" w:space="0" w:color="auto"/>
            <w:left w:val="none" w:sz="0" w:space="0" w:color="auto"/>
            <w:bottom w:val="none" w:sz="0" w:space="0" w:color="auto"/>
            <w:right w:val="none" w:sz="0" w:space="0" w:color="auto"/>
          </w:divBdr>
        </w:div>
        <w:div w:id="2093042696">
          <w:marLeft w:val="0"/>
          <w:marRight w:val="0"/>
          <w:marTop w:val="0"/>
          <w:marBottom w:val="0"/>
          <w:divBdr>
            <w:top w:val="none" w:sz="0" w:space="0" w:color="auto"/>
            <w:left w:val="none" w:sz="0" w:space="0" w:color="auto"/>
            <w:bottom w:val="none" w:sz="0" w:space="0" w:color="auto"/>
            <w:right w:val="none" w:sz="0" w:space="0" w:color="auto"/>
          </w:divBdr>
        </w:div>
        <w:div w:id="1824081878">
          <w:marLeft w:val="0"/>
          <w:marRight w:val="0"/>
          <w:marTop w:val="0"/>
          <w:marBottom w:val="0"/>
          <w:divBdr>
            <w:top w:val="none" w:sz="0" w:space="0" w:color="auto"/>
            <w:left w:val="none" w:sz="0" w:space="0" w:color="auto"/>
            <w:bottom w:val="none" w:sz="0" w:space="0" w:color="auto"/>
            <w:right w:val="none" w:sz="0" w:space="0" w:color="auto"/>
          </w:divBdr>
        </w:div>
        <w:div w:id="1757282478">
          <w:marLeft w:val="0"/>
          <w:marRight w:val="0"/>
          <w:marTop w:val="0"/>
          <w:marBottom w:val="0"/>
          <w:divBdr>
            <w:top w:val="none" w:sz="0" w:space="0" w:color="auto"/>
            <w:left w:val="none" w:sz="0" w:space="0" w:color="auto"/>
            <w:bottom w:val="none" w:sz="0" w:space="0" w:color="auto"/>
            <w:right w:val="none" w:sz="0" w:space="0" w:color="auto"/>
          </w:divBdr>
        </w:div>
        <w:div w:id="278025858">
          <w:marLeft w:val="0"/>
          <w:marRight w:val="0"/>
          <w:marTop w:val="0"/>
          <w:marBottom w:val="0"/>
          <w:divBdr>
            <w:top w:val="none" w:sz="0" w:space="0" w:color="auto"/>
            <w:left w:val="none" w:sz="0" w:space="0" w:color="auto"/>
            <w:bottom w:val="none" w:sz="0" w:space="0" w:color="auto"/>
            <w:right w:val="none" w:sz="0" w:space="0" w:color="auto"/>
          </w:divBdr>
        </w:div>
        <w:div w:id="1532649397">
          <w:marLeft w:val="0"/>
          <w:marRight w:val="0"/>
          <w:marTop w:val="0"/>
          <w:marBottom w:val="0"/>
          <w:divBdr>
            <w:top w:val="none" w:sz="0" w:space="0" w:color="auto"/>
            <w:left w:val="none" w:sz="0" w:space="0" w:color="auto"/>
            <w:bottom w:val="none" w:sz="0" w:space="0" w:color="auto"/>
            <w:right w:val="none" w:sz="0" w:space="0" w:color="auto"/>
          </w:divBdr>
        </w:div>
      </w:divsChild>
    </w:div>
    <w:div w:id="1113939541">
      <w:bodyDiv w:val="1"/>
      <w:marLeft w:val="0"/>
      <w:marRight w:val="0"/>
      <w:marTop w:val="0"/>
      <w:marBottom w:val="0"/>
      <w:divBdr>
        <w:top w:val="none" w:sz="0" w:space="0" w:color="auto"/>
        <w:left w:val="none" w:sz="0" w:space="0" w:color="auto"/>
        <w:bottom w:val="none" w:sz="0" w:space="0" w:color="auto"/>
        <w:right w:val="none" w:sz="0" w:space="0" w:color="auto"/>
      </w:divBdr>
    </w:div>
    <w:div w:id="1142768219">
      <w:bodyDiv w:val="1"/>
      <w:marLeft w:val="0"/>
      <w:marRight w:val="0"/>
      <w:marTop w:val="0"/>
      <w:marBottom w:val="0"/>
      <w:divBdr>
        <w:top w:val="none" w:sz="0" w:space="0" w:color="auto"/>
        <w:left w:val="none" w:sz="0" w:space="0" w:color="auto"/>
        <w:bottom w:val="none" w:sz="0" w:space="0" w:color="auto"/>
        <w:right w:val="none" w:sz="0" w:space="0" w:color="auto"/>
      </w:divBdr>
    </w:div>
    <w:div w:id="1201169694">
      <w:bodyDiv w:val="1"/>
      <w:marLeft w:val="0"/>
      <w:marRight w:val="0"/>
      <w:marTop w:val="0"/>
      <w:marBottom w:val="0"/>
      <w:divBdr>
        <w:top w:val="none" w:sz="0" w:space="0" w:color="auto"/>
        <w:left w:val="none" w:sz="0" w:space="0" w:color="auto"/>
        <w:bottom w:val="none" w:sz="0" w:space="0" w:color="auto"/>
        <w:right w:val="none" w:sz="0" w:space="0" w:color="auto"/>
      </w:divBdr>
    </w:div>
    <w:div w:id="1238780148">
      <w:bodyDiv w:val="1"/>
      <w:marLeft w:val="0"/>
      <w:marRight w:val="0"/>
      <w:marTop w:val="0"/>
      <w:marBottom w:val="0"/>
      <w:divBdr>
        <w:top w:val="none" w:sz="0" w:space="0" w:color="auto"/>
        <w:left w:val="none" w:sz="0" w:space="0" w:color="auto"/>
        <w:bottom w:val="none" w:sz="0" w:space="0" w:color="auto"/>
        <w:right w:val="none" w:sz="0" w:space="0" w:color="auto"/>
      </w:divBdr>
    </w:div>
    <w:div w:id="1240023668">
      <w:bodyDiv w:val="1"/>
      <w:marLeft w:val="0"/>
      <w:marRight w:val="0"/>
      <w:marTop w:val="0"/>
      <w:marBottom w:val="0"/>
      <w:divBdr>
        <w:top w:val="none" w:sz="0" w:space="0" w:color="auto"/>
        <w:left w:val="none" w:sz="0" w:space="0" w:color="auto"/>
        <w:bottom w:val="none" w:sz="0" w:space="0" w:color="auto"/>
        <w:right w:val="none" w:sz="0" w:space="0" w:color="auto"/>
      </w:divBdr>
    </w:div>
    <w:div w:id="1291936674">
      <w:bodyDiv w:val="1"/>
      <w:marLeft w:val="0"/>
      <w:marRight w:val="0"/>
      <w:marTop w:val="0"/>
      <w:marBottom w:val="0"/>
      <w:divBdr>
        <w:top w:val="none" w:sz="0" w:space="0" w:color="auto"/>
        <w:left w:val="none" w:sz="0" w:space="0" w:color="auto"/>
        <w:bottom w:val="none" w:sz="0" w:space="0" w:color="auto"/>
        <w:right w:val="none" w:sz="0" w:space="0" w:color="auto"/>
      </w:divBdr>
    </w:div>
    <w:div w:id="1316376877">
      <w:bodyDiv w:val="1"/>
      <w:marLeft w:val="0"/>
      <w:marRight w:val="0"/>
      <w:marTop w:val="0"/>
      <w:marBottom w:val="0"/>
      <w:divBdr>
        <w:top w:val="none" w:sz="0" w:space="0" w:color="auto"/>
        <w:left w:val="none" w:sz="0" w:space="0" w:color="auto"/>
        <w:bottom w:val="none" w:sz="0" w:space="0" w:color="auto"/>
        <w:right w:val="none" w:sz="0" w:space="0" w:color="auto"/>
      </w:divBdr>
    </w:div>
    <w:div w:id="1400326014">
      <w:bodyDiv w:val="1"/>
      <w:marLeft w:val="0"/>
      <w:marRight w:val="0"/>
      <w:marTop w:val="0"/>
      <w:marBottom w:val="0"/>
      <w:divBdr>
        <w:top w:val="none" w:sz="0" w:space="0" w:color="auto"/>
        <w:left w:val="none" w:sz="0" w:space="0" w:color="auto"/>
        <w:bottom w:val="none" w:sz="0" w:space="0" w:color="auto"/>
        <w:right w:val="none" w:sz="0" w:space="0" w:color="auto"/>
      </w:divBdr>
    </w:div>
    <w:div w:id="1419910103">
      <w:bodyDiv w:val="1"/>
      <w:marLeft w:val="0"/>
      <w:marRight w:val="0"/>
      <w:marTop w:val="0"/>
      <w:marBottom w:val="0"/>
      <w:divBdr>
        <w:top w:val="none" w:sz="0" w:space="0" w:color="auto"/>
        <w:left w:val="none" w:sz="0" w:space="0" w:color="auto"/>
        <w:bottom w:val="none" w:sz="0" w:space="0" w:color="auto"/>
        <w:right w:val="none" w:sz="0" w:space="0" w:color="auto"/>
      </w:divBdr>
    </w:div>
    <w:div w:id="1448039829">
      <w:bodyDiv w:val="1"/>
      <w:marLeft w:val="0"/>
      <w:marRight w:val="0"/>
      <w:marTop w:val="0"/>
      <w:marBottom w:val="0"/>
      <w:divBdr>
        <w:top w:val="none" w:sz="0" w:space="0" w:color="auto"/>
        <w:left w:val="none" w:sz="0" w:space="0" w:color="auto"/>
        <w:bottom w:val="none" w:sz="0" w:space="0" w:color="auto"/>
        <w:right w:val="none" w:sz="0" w:space="0" w:color="auto"/>
      </w:divBdr>
    </w:div>
    <w:div w:id="1448769632">
      <w:bodyDiv w:val="1"/>
      <w:marLeft w:val="0"/>
      <w:marRight w:val="0"/>
      <w:marTop w:val="0"/>
      <w:marBottom w:val="0"/>
      <w:divBdr>
        <w:top w:val="none" w:sz="0" w:space="0" w:color="auto"/>
        <w:left w:val="none" w:sz="0" w:space="0" w:color="auto"/>
        <w:bottom w:val="none" w:sz="0" w:space="0" w:color="auto"/>
        <w:right w:val="none" w:sz="0" w:space="0" w:color="auto"/>
      </w:divBdr>
    </w:div>
    <w:div w:id="1622686694">
      <w:bodyDiv w:val="1"/>
      <w:marLeft w:val="0"/>
      <w:marRight w:val="0"/>
      <w:marTop w:val="0"/>
      <w:marBottom w:val="0"/>
      <w:divBdr>
        <w:top w:val="none" w:sz="0" w:space="0" w:color="auto"/>
        <w:left w:val="none" w:sz="0" w:space="0" w:color="auto"/>
        <w:bottom w:val="none" w:sz="0" w:space="0" w:color="auto"/>
        <w:right w:val="none" w:sz="0" w:space="0" w:color="auto"/>
      </w:divBdr>
    </w:div>
    <w:div w:id="1677613877">
      <w:bodyDiv w:val="1"/>
      <w:marLeft w:val="0"/>
      <w:marRight w:val="0"/>
      <w:marTop w:val="0"/>
      <w:marBottom w:val="0"/>
      <w:divBdr>
        <w:top w:val="none" w:sz="0" w:space="0" w:color="auto"/>
        <w:left w:val="none" w:sz="0" w:space="0" w:color="auto"/>
        <w:bottom w:val="none" w:sz="0" w:space="0" w:color="auto"/>
        <w:right w:val="none" w:sz="0" w:space="0" w:color="auto"/>
      </w:divBdr>
    </w:div>
    <w:div w:id="1682930711">
      <w:bodyDiv w:val="1"/>
      <w:marLeft w:val="0"/>
      <w:marRight w:val="0"/>
      <w:marTop w:val="0"/>
      <w:marBottom w:val="0"/>
      <w:divBdr>
        <w:top w:val="none" w:sz="0" w:space="0" w:color="auto"/>
        <w:left w:val="none" w:sz="0" w:space="0" w:color="auto"/>
        <w:bottom w:val="none" w:sz="0" w:space="0" w:color="auto"/>
        <w:right w:val="none" w:sz="0" w:space="0" w:color="auto"/>
      </w:divBdr>
    </w:div>
    <w:div w:id="1693678469">
      <w:bodyDiv w:val="1"/>
      <w:marLeft w:val="0"/>
      <w:marRight w:val="0"/>
      <w:marTop w:val="0"/>
      <w:marBottom w:val="0"/>
      <w:divBdr>
        <w:top w:val="none" w:sz="0" w:space="0" w:color="auto"/>
        <w:left w:val="none" w:sz="0" w:space="0" w:color="auto"/>
        <w:bottom w:val="none" w:sz="0" w:space="0" w:color="auto"/>
        <w:right w:val="none" w:sz="0" w:space="0" w:color="auto"/>
      </w:divBdr>
    </w:div>
    <w:div w:id="1704208032">
      <w:bodyDiv w:val="1"/>
      <w:marLeft w:val="0"/>
      <w:marRight w:val="0"/>
      <w:marTop w:val="0"/>
      <w:marBottom w:val="0"/>
      <w:divBdr>
        <w:top w:val="none" w:sz="0" w:space="0" w:color="auto"/>
        <w:left w:val="none" w:sz="0" w:space="0" w:color="auto"/>
        <w:bottom w:val="none" w:sz="0" w:space="0" w:color="auto"/>
        <w:right w:val="none" w:sz="0" w:space="0" w:color="auto"/>
      </w:divBdr>
    </w:div>
    <w:div w:id="1712220137">
      <w:bodyDiv w:val="1"/>
      <w:marLeft w:val="0"/>
      <w:marRight w:val="0"/>
      <w:marTop w:val="0"/>
      <w:marBottom w:val="0"/>
      <w:divBdr>
        <w:top w:val="none" w:sz="0" w:space="0" w:color="auto"/>
        <w:left w:val="none" w:sz="0" w:space="0" w:color="auto"/>
        <w:bottom w:val="none" w:sz="0" w:space="0" w:color="auto"/>
        <w:right w:val="none" w:sz="0" w:space="0" w:color="auto"/>
      </w:divBdr>
    </w:div>
    <w:div w:id="1731074995">
      <w:bodyDiv w:val="1"/>
      <w:marLeft w:val="0"/>
      <w:marRight w:val="0"/>
      <w:marTop w:val="0"/>
      <w:marBottom w:val="0"/>
      <w:divBdr>
        <w:top w:val="none" w:sz="0" w:space="0" w:color="auto"/>
        <w:left w:val="none" w:sz="0" w:space="0" w:color="auto"/>
        <w:bottom w:val="none" w:sz="0" w:space="0" w:color="auto"/>
        <w:right w:val="none" w:sz="0" w:space="0" w:color="auto"/>
      </w:divBdr>
    </w:div>
    <w:div w:id="1895770251">
      <w:bodyDiv w:val="1"/>
      <w:marLeft w:val="0"/>
      <w:marRight w:val="0"/>
      <w:marTop w:val="0"/>
      <w:marBottom w:val="0"/>
      <w:divBdr>
        <w:top w:val="none" w:sz="0" w:space="0" w:color="auto"/>
        <w:left w:val="none" w:sz="0" w:space="0" w:color="auto"/>
        <w:bottom w:val="none" w:sz="0" w:space="0" w:color="auto"/>
        <w:right w:val="none" w:sz="0" w:space="0" w:color="auto"/>
      </w:divBdr>
    </w:div>
    <w:div w:id="1949266061">
      <w:bodyDiv w:val="1"/>
      <w:marLeft w:val="0"/>
      <w:marRight w:val="0"/>
      <w:marTop w:val="0"/>
      <w:marBottom w:val="0"/>
      <w:divBdr>
        <w:top w:val="none" w:sz="0" w:space="0" w:color="auto"/>
        <w:left w:val="none" w:sz="0" w:space="0" w:color="auto"/>
        <w:bottom w:val="none" w:sz="0" w:space="0" w:color="auto"/>
        <w:right w:val="none" w:sz="0" w:space="0" w:color="auto"/>
      </w:divBdr>
    </w:div>
    <w:div w:id="1972635990">
      <w:bodyDiv w:val="1"/>
      <w:marLeft w:val="0"/>
      <w:marRight w:val="0"/>
      <w:marTop w:val="0"/>
      <w:marBottom w:val="0"/>
      <w:divBdr>
        <w:top w:val="none" w:sz="0" w:space="0" w:color="auto"/>
        <w:left w:val="none" w:sz="0" w:space="0" w:color="auto"/>
        <w:bottom w:val="none" w:sz="0" w:space="0" w:color="auto"/>
        <w:right w:val="none" w:sz="0" w:space="0" w:color="auto"/>
      </w:divBdr>
    </w:div>
    <w:div w:id="2028827161">
      <w:bodyDiv w:val="1"/>
      <w:marLeft w:val="0"/>
      <w:marRight w:val="0"/>
      <w:marTop w:val="0"/>
      <w:marBottom w:val="0"/>
      <w:divBdr>
        <w:top w:val="none" w:sz="0" w:space="0" w:color="auto"/>
        <w:left w:val="none" w:sz="0" w:space="0" w:color="auto"/>
        <w:bottom w:val="none" w:sz="0" w:space="0" w:color="auto"/>
        <w:right w:val="none" w:sz="0" w:space="0" w:color="auto"/>
      </w:divBdr>
    </w:div>
    <w:div w:id="2067364966">
      <w:bodyDiv w:val="1"/>
      <w:marLeft w:val="0"/>
      <w:marRight w:val="0"/>
      <w:marTop w:val="0"/>
      <w:marBottom w:val="0"/>
      <w:divBdr>
        <w:top w:val="none" w:sz="0" w:space="0" w:color="auto"/>
        <w:left w:val="none" w:sz="0" w:space="0" w:color="auto"/>
        <w:bottom w:val="none" w:sz="0" w:space="0" w:color="auto"/>
        <w:right w:val="none" w:sz="0" w:space="0" w:color="auto"/>
      </w:divBdr>
    </w:div>
    <w:div w:id="2121754164">
      <w:bodyDiv w:val="1"/>
      <w:marLeft w:val="0"/>
      <w:marRight w:val="0"/>
      <w:marTop w:val="0"/>
      <w:marBottom w:val="0"/>
      <w:divBdr>
        <w:top w:val="none" w:sz="0" w:space="0" w:color="auto"/>
        <w:left w:val="none" w:sz="0" w:space="0" w:color="auto"/>
        <w:bottom w:val="none" w:sz="0" w:space="0" w:color="auto"/>
        <w:right w:val="none" w:sz="0" w:space="0" w:color="auto"/>
      </w:divBdr>
    </w:div>
    <w:div w:id="212680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A0E39-B217-41D7-8A9F-B51606F9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NI0014</dc:creator>
  <cp:keywords/>
  <dc:description/>
  <cp:lastModifiedBy>AKHILESH BIKRAM STHAPIT</cp:lastModifiedBy>
  <cp:revision>10</cp:revision>
  <dcterms:created xsi:type="dcterms:W3CDTF">2023-10-01T10:31:00Z</dcterms:created>
  <dcterms:modified xsi:type="dcterms:W3CDTF">2023-10-02T04:53:00Z</dcterms:modified>
</cp:coreProperties>
</file>