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306" w:rsidRPr="007B4306" w:rsidRDefault="007B4306" w:rsidP="00DD560A">
      <w:pPr>
        <w:pStyle w:val="Heading2"/>
      </w:pPr>
      <w:r w:rsidRPr="007B4306">
        <w:t>IFRIC 12 in Nepal's Hydropower: Why Construction Profits Don't Mean What You Think</w:t>
      </w:r>
    </w:p>
    <w:p w:rsidR="000B78CC" w:rsidRPr="007B4306" w:rsidRDefault="007B4306" w:rsidP="007B4306">
      <w:pPr>
        <w:rPr>
          <w:rFonts w:cstheme="minorHAnsi"/>
        </w:rPr>
      </w:pPr>
      <w:r w:rsidRPr="007B4306">
        <w:rPr>
          <w:rFonts w:cstheme="minorHAnsi"/>
        </w:rPr>
        <w:t>Imagine building a factory, reporting profits throughout construction, then watching those profits reverse once production begins. This is the financial reality for Nepal's hydropower companies under IFRIC 12—a standard that fundamentally changes how we interpret their financial performance.</w:t>
      </w:r>
    </w:p>
    <w:p w:rsidR="007B4306" w:rsidRPr="007B4306" w:rsidRDefault="007B4306" w:rsidP="007B4306">
      <w:pPr>
        <w:rPr>
          <w:rFonts w:cstheme="minorHAnsi"/>
          <w:b/>
          <w:sz w:val="28"/>
        </w:rPr>
      </w:pPr>
      <w:r w:rsidRPr="007B4306">
        <w:rPr>
          <w:rFonts w:cstheme="minorHAnsi"/>
          <w:b/>
          <w:sz w:val="28"/>
        </w:rPr>
        <w:t>What is IFRIC 12?</w:t>
      </w:r>
    </w:p>
    <w:p w:rsidR="007B4306" w:rsidRDefault="007B4306" w:rsidP="007B4306">
      <w:pPr>
        <w:rPr>
          <w:rFonts w:eastAsia="Times New Roman" w:cstheme="minorHAnsi"/>
          <w:sz w:val="24"/>
          <w:szCs w:val="24"/>
        </w:rPr>
      </w:pPr>
      <w:r w:rsidRPr="007B4306">
        <w:rPr>
          <w:rFonts w:eastAsia="Times New Roman" w:cstheme="minorHAnsi"/>
          <w:sz w:val="24"/>
          <w:szCs w:val="24"/>
        </w:rPr>
        <w:t>IFRIC 12 (Service Concession Arrangements) is an accounting standard that applies when a private company builds and operates infrastructure for a public entity under specific conditions. In Nepal's hydropower sector, this typically involves companies building power plants that will eventually be transferred to the government.</w:t>
      </w:r>
    </w:p>
    <w:p w:rsidR="002C3809" w:rsidRPr="002C3809" w:rsidRDefault="002C3809" w:rsidP="002C3809">
      <w:pPr>
        <w:rPr>
          <w:rFonts w:cstheme="minorHAnsi"/>
          <w:b/>
          <w:sz w:val="28"/>
        </w:rPr>
      </w:pPr>
      <w:r w:rsidRPr="002C3809">
        <w:rPr>
          <w:rFonts w:cstheme="minorHAnsi"/>
          <w:b/>
          <w:sz w:val="28"/>
        </w:rPr>
        <w:t>Key Parties in Concession Arrangements</w:t>
      </w:r>
    </w:p>
    <w:p w:rsidR="002C3809" w:rsidRDefault="002C3809" w:rsidP="002C3809">
      <w:pPr>
        <w:pStyle w:val="ListParagraph"/>
        <w:numPr>
          <w:ilvl w:val="0"/>
          <w:numId w:val="16"/>
        </w:numPr>
      </w:pPr>
      <w:r>
        <w:t>Operator: A private sector company responsible for building, improving, and maintaining the infrastructure used to provide a public service.</w:t>
      </w:r>
    </w:p>
    <w:p w:rsidR="00751E23" w:rsidRPr="002C3809" w:rsidRDefault="002C3809" w:rsidP="002C3809">
      <w:pPr>
        <w:pStyle w:val="ListParagraph"/>
        <w:numPr>
          <w:ilvl w:val="0"/>
          <w:numId w:val="16"/>
        </w:numPr>
        <w:rPr>
          <w:rFonts w:eastAsia="Times New Roman" w:cstheme="minorHAnsi"/>
          <w:sz w:val="24"/>
          <w:szCs w:val="24"/>
        </w:rPr>
      </w:pPr>
      <w:r>
        <w:t>Grantor: A public sector entity that represents the government and is responsible for managing the resources delivered to the private entity.</w:t>
      </w:r>
    </w:p>
    <w:p w:rsidR="002C3809" w:rsidRPr="002C3809" w:rsidRDefault="002C3809" w:rsidP="002C3809">
      <w:pPr>
        <w:rPr>
          <w:rFonts w:cstheme="minorHAnsi"/>
          <w:b/>
          <w:sz w:val="28"/>
        </w:rPr>
      </w:pPr>
      <w:r w:rsidRPr="002C3809">
        <w:rPr>
          <w:rFonts w:cstheme="minorHAnsi"/>
          <w:b/>
          <w:sz w:val="28"/>
        </w:rPr>
        <w:t>Three Accounting Models</w:t>
      </w:r>
    </w:p>
    <w:p w:rsidR="002C3809" w:rsidRPr="002C3809" w:rsidRDefault="002C3809" w:rsidP="002C3809">
      <w:pPr>
        <w:rPr>
          <w:rFonts w:eastAsia="Times New Roman" w:cstheme="minorHAnsi"/>
          <w:sz w:val="24"/>
          <w:szCs w:val="24"/>
        </w:rPr>
      </w:pPr>
      <w:r w:rsidRPr="002C3809">
        <w:rPr>
          <w:rFonts w:eastAsia="Times New Roman" w:cstheme="minorHAnsi"/>
          <w:sz w:val="24"/>
          <w:szCs w:val="24"/>
        </w:rPr>
        <w:t xml:space="preserve">IFRIC 12 identified two types of service concession arrangements: One in which the operator has a contractual right to receive cash or another financial asset from the government. One in which the operator has the right to charge for access to the service that it supplies. </w:t>
      </w:r>
    </w:p>
    <w:p w:rsidR="002C3809" w:rsidRPr="002C3809" w:rsidRDefault="002C3809" w:rsidP="002C3809">
      <w:pPr>
        <w:pStyle w:val="ListParagraph"/>
        <w:numPr>
          <w:ilvl w:val="0"/>
          <w:numId w:val="21"/>
        </w:numPr>
        <w:rPr>
          <w:rFonts w:cstheme="minorHAnsi"/>
          <w:b/>
          <w:sz w:val="28"/>
        </w:rPr>
      </w:pPr>
      <w:r w:rsidRPr="002C3809">
        <w:rPr>
          <w:rFonts w:cstheme="minorHAnsi"/>
          <w:b/>
          <w:sz w:val="28"/>
        </w:rPr>
        <w:t>Financial Asset Model</w:t>
      </w:r>
    </w:p>
    <w:p w:rsidR="002C3809" w:rsidRPr="002C3809" w:rsidRDefault="002C3809" w:rsidP="002C3809">
      <w:pPr>
        <w:rPr>
          <w:rFonts w:cstheme="minorHAnsi"/>
          <w:b/>
          <w:sz w:val="28"/>
        </w:rPr>
      </w:pPr>
      <w:r>
        <w:rPr>
          <w:rStyle w:val="Strong"/>
        </w:rPr>
        <w:t>When to Apply:</w:t>
      </w:r>
      <w:r>
        <w:t xml:space="preserve"> The operator has an unconditional contractual right to receive payments from the concession grantor, irrespective of the amount of use made of the infrastructure</w:t>
      </w:r>
    </w:p>
    <w:p w:rsidR="002C3809" w:rsidRDefault="002C3809" w:rsidP="002C3809">
      <w:pPr>
        <w:pStyle w:val="whitespace-normal"/>
      </w:pPr>
      <w:r>
        <w:rPr>
          <w:rStyle w:val="Strong"/>
        </w:rPr>
        <w:t>Key Features:</w:t>
      </w:r>
    </w:p>
    <w:p w:rsidR="002C3809" w:rsidRDefault="002C3809" w:rsidP="002C3809">
      <w:pPr>
        <w:pStyle w:val="whitespace-normal"/>
        <w:numPr>
          <w:ilvl w:val="0"/>
          <w:numId w:val="17"/>
        </w:numPr>
      </w:pPr>
      <w:r>
        <w:t>Operator receives guaranteed payments from the government</w:t>
      </w:r>
    </w:p>
    <w:p w:rsidR="002C3809" w:rsidRDefault="002C3809" w:rsidP="002C3809">
      <w:pPr>
        <w:pStyle w:val="whitespace-normal"/>
        <w:numPr>
          <w:ilvl w:val="0"/>
          <w:numId w:val="17"/>
        </w:numPr>
      </w:pPr>
      <w:r>
        <w:t>Revenue comes from the grantor, not from users</w:t>
      </w:r>
    </w:p>
    <w:p w:rsidR="002C3809" w:rsidRDefault="002C3809" w:rsidP="002C3809">
      <w:pPr>
        <w:pStyle w:val="whitespace-normal"/>
        <w:numPr>
          <w:ilvl w:val="0"/>
          <w:numId w:val="17"/>
        </w:numPr>
      </w:pPr>
      <w:r>
        <w:t>User fees (if any) are collected on behalf of the government</w:t>
      </w:r>
    </w:p>
    <w:p w:rsidR="002C3809" w:rsidRDefault="002C3809" w:rsidP="002C3809">
      <w:pPr>
        <w:pStyle w:val="whitespace-normal"/>
        <w:numPr>
          <w:ilvl w:val="0"/>
          <w:numId w:val="17"/>
        </w:numPr>
      </w:pPr>
      <w:r>
        <w:t>Operator recognizes a financial receivable</w:t>
      </w:r>
    </w:p>
    <w:p w:rsidR="002C3809" w:rsidRDefault="002C3809" w:rsidP="002C3809">
      <w:pPr>
        <w:pStyle w:val="whitespace-normal"/>
        <w:numPr>
          <w:ilvl w:val="0"/>
          <w:numId w:val="17"/>
        </w:numPr>
      </w:pPr>
      <w:r>
        <w:t xml:space="preserve">Asset is measured at fair value or </w:t>
      </w:r>
      <w:proofErr w:type="gramStart"/>
      <w:r>
        <w:t>cost plus</w:t>
      </w:r>
      <w:proofErr w:type="gramEnd"/>
      <w:r>
        <w:t xml:space="preserve"> margin</w:t>
      </w:r>
    </w:p>
    <w:p w:rsidR="002C3809" w:rsidRDefault="002C3809" w:rsidP="002C3809">
      <w:pPr>
        <w:pStyle w:val="whitespace-normal"/>
      </w:pPr>
      <w:r>
        <w:rPr>
          <w:rStyle w:val="Strong"/>
        </w:rPr>
        <w:t>Accounting Treatment:</w:t>
      </w:r>
    </w:p>
    <w:p w:rsidR="002C3809" w:rsidRDefault="002C3809" w:rsidP="002C3809">
      <w:pPr>
        <w:pStyle w:val="whitespace-normal"/>
        <w:numPr>
          <w:ilvl w:val="0"/>
          <w:numId w:val="18"/>
        </w:numPr>
      </w:pPr>
      <w:r>
        <w:t>Recognize financial asset during construction phase</w:t>
      </w:r>
    </w:p>
    <w:p w:rsidR="002C3809" w:rsidRDefault="002C3809" w:rsidP="002C3809">
      <w:pPr>
        <w:pStyle w:val="whitespace-normal"/>
        <w:numPr>
          <w:ilvl w:val="0"/>
          <w:numId w:val="18"/>
        </w:numPr>
      </w:pPr>
      <w:r>
        <w:t>Apply effective interest method for subsequent measurement</w:t>
      </w:r>
    </w:p>
    <w:p w:rsidR="002C3809" w:rsidRDefault="002C3809" w:rsidP="002C3809">
      <w:pPr>
        <w:pStyle w:val="whitespace-normal"/>
        <w:numPr>
          <w:ilvl w:val="0"/>
          <w:numId w:val="18"/>
        </w:numPr>
      </w:pPr>
      <w:r>
        <w:t>Interest income recognized over the concession period</w:t>
      </w:r>
    </w:p>
    <w:p w:rsidR="002C3809" w:rsidRDefault="002C3809" w:rsidP="002C3809">
      <w:pPr>
        <w:pStyle w:val="whitespace-normal"/>
        <w:numPr>
          <w:ilvl w:val="0"/>
          <w:numId w:val="18"/>
        </w:numPr>
      </w:pPr>
      <w:r>
        <w:t>No infrastructure recorded as PPE</w:t>
      </w:r>
    </w:p>
    <w:p w:rsidR="002C3809" w:rsidRPr="002C3809" w:rsidRDefault="002C3809" w:rsidP="002C3809">
      <w:pPr>
        <w:pStyle w:val="ListParagraph"/>
        <w:numPr>
          <w:ilvl w:val="0"/>
          <w:numId w:val="21"/>
        </w:numPr>
        <w:rPr>
          <w:rFonts w:cstheme="minorHAnsi"/>
          <w:b/>
          <w:sz w:val="28"/>
        </w:rPr>
      </w:pPr>
      <w:r w:rsidRPr="002C3809">
        <w:rPr>
          <w:rFonts w:cstheme="minorHAnsi"/>
          <w:b/>
          <w:sz w:val="28"/>
        </w:rPr>
        <w:lastRenderedPageBreak/>
        <w:t>Intangible Asset Model</w:t>
      </w:r>
    </w:p>
    <w:p w:rsidR="002C3809" w:rsidRDefault="002C3809" w:rsidP="002C3809">
      <w:pPr>
        <w:pStyle w:val="whitespace-normal"/>
      </w:pPr>
      <w:r>
        <w:rPr>
          <w:rStyle w:val="Strong"/>
        </w:rPr>
        <w:t>When to Apply:</w:t>
      </w:r>
      <w:r>
        <w:t xml:space="preserve"> The grantor entity gives the operator the license to exploit the infrastructure built... The operator recognizes an intangible asset if it receives only a right to charge for the use of the public sector asset that it constructs or upgrades </w:t>
      </w:r>
    </w:p>
    <w:p w:rsidR="002C3809" w:rsidRDefault="002C3809" w:rsidP="002C3809">
      <w:pPr>
        <w:pStyle w:val="whitespace-normal"/>
      </w:pPr>
      <w:r>
        <w:rPr>
          <w:rStyle w:val="Strong"/>
        </w:rPr>
        <w:t>Key Features:</w:t>
      </w:r>
    </w:p>
    <w:p w:rsidR="002C3809" w:rsidRDefault="002C3809" w:rsidP="002C3809">
      <w:pPr>
        <w:pStyle w:val="whitespace-normal"/>
        <w:numPr>
          <w:ilvl w:val="0"/>
          <w:numId w:val="19"/>
        </w:numPr>
      </w:pPr>
      <w:r>
        <w:t>Operator has the right to charge users directly</w:t>
      </w:r>
    </w:p>
    <w:p w:rsidR="002C3809" w:rsidRDefault="002C3809" w:rsidP="002C3809">
      <w:pPr>
        <w:pStyle w:val="whitespace-normal"/>
        <w:numPr>
          <w:ilvl w:val="0"/>
          <w:numId w:val="19"/>
        </w:numPr>
      </w:pPr>
      <w:r>
        <w:t>Revenue depends on actual usage of the infrastructure</w:t>
      </w:r>
    </w:p>
    <w:p w:rsidR="002C3809" w:rsidRDefault="002C3809" w:rsidP="002C3809">
      <w:pPr>
        <w:pStyle w:val="whitespace-normal"/>
        <w:numPr>
          <w:ilvl w:val="0"/>
          <w:numId w:val="19"/>
        </w:numPr>
      </w:pPr>
      <w:r>
        <w:t>Demand risk is borne by the operator</w:t>
      </w:r>
    </w:p>
    <w:p w:rsidR="002C3809" w:rsidRDefault="002C3809" w:rsidP="002C3809">
      <w:pPr>
        <w:pStyle w:val="whitespace-normal"/>
        <w:numPr>
          <w:ilvl w:val="0"/>
          <w:numId w:val="19"/>
        </w:numPr>
      </w:pPr>
      <w:r>
        <w:t>Operator recognizes an intangible asset</w:t>
      </w:r>
    </w:p>
    <w:p w:rsidR="002C3809" w:rsidRDefault="002C3809" w:rsidP="002C3809">
      <w:pPr>
        <w:pStyle w:val="whitespace-normal"/>
      </w:pPr>
      <w:r>
        <w:rPr>
          <w:rStyle w:val="Strong"/>
        </w:rPr>
        <w:t>Accounting Treatment:</w:t>
      </w:r>
    </w:p>
    <w:p w:rsidR="002C3809" w:rsidRDefault="002C3809" w:rsidP="002C3809">
      <w:pPr>
        <w:pStyle w:val="whitespace-normal"/>
        <w:numPr>
          <w:ilvl w:val="0"/>
          <w:numId w:val="20"/>
        </w:numPr>
      </w:pPr>
      <w:r>
        <w:t>Recognize intangible asset during construction phase</w:t>
      </w:r>
    </w:p>
    <w:p w:rsidR="002C3809" w:rsidRDefault="002C3809" w:rsidP="002C3809">
      <w:pPr>
        <w:pStyle w:val="whitespace-normal"/>
        <w:numPr>
          <w:ilvl w:val="0"/>
          <w:numId w:val="20"/>
        </w:numPr>
      </w:pPr>
      <w:r>
        <w:t>Amortize over the concession period</w:t>
      </w:r>
    </w:p>
    <w:p w:rsidR="002C3809" w:rsidRDefault="002C3809" w:rsidP="002C3809">
      <w:pPr>
        <w:pStyle w:val="whitespace-normal"/>
        <w:numPr>
          <w:ilvl w:val="0"/>
          <w:numId w:val="20"/>
        </w:numPr>
      </w:pPr>
      <w:r>
        <w:t>Revenue recognized from user charges under IFRS 15</w:t>
      </w:r>
    </w:p>
    <w:p w:rsidR="002C3809" w:rsidRDefault="002C3809" w:rsidP="002C3809">
      <w:pPr>
        <w:pStyle w:val="whitespace-normal"/>
        <w:numPr>
          <w:ilvl w:val="0"/>
          <w:numId w:val="20"/>
        </w:numPr>
      </w:pPr>
      <w:r>
        <w:t>Borrowing costs can be capitalized under IAS 23</w:t>
      </w:r>
    </w:p>
    <w:p w:rsidR="002C3809" w:rsidRPr="002C3809" w:rsidRDefault="002C3809" w:rsidP="002C3809">
      <w:pPr>
        <w:pStyle w:val="ListParagraph"/>
        <w:numPr>
          <w:ilvl w:val="0"/>
          <w:numId w:val="21"/>
        </w:numPr>
        <w:rPr>
          <w:rFonts w:cstheme="minorHAnsi"/>
          <w:b/>
          <w:sz w:val="28"/>
        </w:rPr>
      </w:pPr>
      <w:r w:rsidRPr="002C3809">
        <w:rPr>
          <w:rFonts w:cstheme="minorHAnsi"/>
          <w:bCs/>
          <w:sz w:val="28"/>
        </w:rPr>
        <w:t>Bifurcated (Mixed) Model</w:t>
      </w:r>
    </w:p>
    <w:p w:rsidR="002C3809" w:rsidRPr="002C3809" w:rsidRDefault="002C3809" w:rsidP="002C3809">
      <w:pPr>
        <w:pStyle w:val="whitespace-normal"/>
      </w:pPr>
      <w:r>
        <w:rPr>
          <w:rStyle w:val="Strong"/>
        </w:rPr>
        <w:t>When to Apply:</w:t>
      </w:r>
      <w:r>
        <w:t xml:space="preserve"> IFRIC 12 allows for the possibility that both types of consideration may exist within a single contract</w:t>
      </w:r>
    </w:p>
    <w:p w:rsidR="007B4306" w:rsidRPr="00DD560A" w:rsidRDefault="007B4306" w:rsidP="007B4306">
      <w:pPr>
        <w:rPr>
          <w:rFonts w:eastAsia="Times New Roman" w:cstheme="minorHAnsi"/>
          <w:b/>
          <w:bCs/>
          <w:sz w:val="28"/>
          <w:szCs w:val="24"/>
        </w:rPr>
      </w:pPr>
      <w:r w:rsidRPr="00DD560A">
        <w:rPr>
          <w:rFonts w:eastAsia="Times New Roman" w:cstheme="minorHAnsi"/>
          <w:b/>
          <w:bCs/>
          <w:sz w:val="28"/>
          <w:szCs w:val="24"/>
        </w:rPr>
        <w:t>Key Conditions for IFRIC 12 Application</w:t>
      </w:r>
      <w:r w:rsidR="0022391B" w:rsidRPr="00DD560A">
        <w:rPr>
          <w:rFonts w:eastAsia="Times New Roman" w:cstheme="minorHAnsi"/>
          <w:b/>
          <w:bCs/>
          <w:sz w:val="28"/>
          <w:szCs w:val="24"/>
        </w:rPr>
        <w:t xml:space="preserve"> in hydropower. </w:t>
      </w:r>
    </w:p>
    <w:p w:rsidR="007B4306" w:rsidRPr="007B4306" w:rsidRDefault="007B4306" w:rsidP="007B4306">
      <w:pPr>
        <w:rPr>
          <w:rFonts w:eastAsia="Times New Roman" w:cstheme="minorHAnsi"/>
          <w:sz w:val="24"/>
          <w:szCs w:val="24"/>
        </w:rPr>
      </w:pPr>
      <w:r w:rsidRPr="007B4306">
        <w:rPr>
          <w:rFonts w:eastAsia="Times New Roman" w:cstheme="minorHAnsi"/>
          <w:sz w:val="24"/>
          <w:szCs w:val="24"/>
        </w:rPr>
        <w:t>For IFRIC 12 to apply, two conditions must be met:</w:t>
      </w:r>
    </w:p>
    <w:p w:rsidR="007B4306" w:rsidRPr="007B4306" w:rsidRDefault="007B4306" w:rsidP="007B4306">
      <w:pPr>
        <w:rPr>
          <w:rFonts w:eastAsia="Times New Roman" w:cstheme="minorHAnsi"/>
          <w:sz w:val="24"/>
          <w:szCs w:val="24"/>
        </w:rPr>
      </w:pPr>
      <w:r w:rsidRPr="007B4306">
        <w:rPr>
          <w:rFonts w:eastAsia="Times New Roman" w:cstheme="minorHAnsi"/>
          <w:bCs/>
          <w:sz w:val="24"/>
          <w:szCs w:val="24"/>
        </w:rPr>
        <w:t>1. Grantor Control Over Services</w:t>
      </w:r>
    </w:p>
    <w:p w:rsidR="007B4306" w:rsidRPr="007B4306" w:rsidRDefault="007B4306" w:rsidP="007B4306">
      <w:pPr>
        <w:pStyle w:val="ListParagraph"/>
        <w:numPr>
          <w:ilvl w:val="0"/>
          <w:numId w:val="9"/>
        </w:numPr>
        <w:rPr>
          <w:rFonts w:eastAsia="Times New Roman" w:cstheme="minorHAnsi"/>
          <w:sz w:val="24"/>
          <w:szCs w:val="24"/>
        </w:rPr>
      </w:pPr>
      <w:r w:rsidRPr="007B4306">
        <w:rPr>
          <w:rFonts w:eastAsia="Times New Roman" w:cstheme="minorHAnsi"/>
          <w:sz w:val="24"/>
          <w:szCs w:val="24"/>
        </w:rPr>
        <w:t>The government (grantor) determines what service must be provided (electricity generation)</w:t>
      </w:r>
    </w:p>
    <w:p w:rsidR="007B4306" w:rsidRPr="007B4306" w:rsidRDefault="007B4306" w:rsidP="007B4306">
      <w:pPr>
        <w:pStyle w:val="ListParagraph"/>
        <w:numPr>
          <w:ilvl w:val="0"/>
          <w:numId w:val="9"/>
        </w:numPr>
        <w:rPr>
          <w:rFonts w:eastAsia="Times New Roman" w:cstheme="minorHAnsi"/>
          <w:sz w:val="24"/>
          <w:szCs w:val="24"/>
        </w:rPr>
      </w:pPr>
      <w:r w:rsidRPr="007B4306">
        <w:rPr>
          <w:rFonts w:eastAsia="Times New Roman" w:cstheme="minorHAnsi"/>
          <w:sz w:val="24"/>
          <w:szCs w:val="24"/>
        </w:rPr>
        <w:t>Who it's provided to (NEA - Nepal Electricity Authority)</w:t>
      </w:r>
    </w:p>
    <w:p w:rsidR="007B4306" w:rsidRPr="007B4306" w:rsidRDefault="007B4306" w:rsidP="007B4306">
      <w:pPr>
        <w:pStyle w:val="ListParagraph"/>
        <w:numPr>
          <w:ilvl w:val="0"/>
          <w:numId w:val="9"/>
        </w:numPr>
        <w:rPr>
          <w:rFonts w:eastAsia="Times New Roman" w:cstheme="minorHAnsi"/>
          <w:sz w:val="24"/>
          <w:szCs w:val="24"/>
        </w:rPr>
      </w:pPr>
      <w:r w:rsidRPr="007B4306">
        <w:rPr>
          <w:rFonts w:eastAsia="Times New Roman" w:cstheme="minorHAnsi"/>
          <w:sz w:val="24"/>
          <w:szCs w:val="24"/>
        </w:rPr>
        <w:t>At what price (through Power Purchase Agreements)</w:t>
      </w:r>
    </w:p>
    <w:p w:rsidR="007B4306" w:rsidRPr="007B4306" w:rsidRDefault="007B4306" w:rsidP="007B4306">
      <w:pPr>
        <w:rPr>
          <w:rFonts w:eastAsia="Times New Roman" w:cstheme="minorHAnsi"/>
          <w:sz w:val="24"/>
          <w:szCs w:val="24"/>
        </w:rPr>
      </w:pPr>
      <w:r w:rsidRPr="007B4306">
        <w:rPr>
          <w:rFonts w:eastAsia="Times New Roman" w:cstheme="minorHAnsi"/>
          <w:bCs/>
          <w:sz w:val="24"/>
          <w:szCs w:val="24"/>
        </w:rPr>
        <w:t>2. Government Retains Ultimate Control</w:t>
      </w:r>
    </w:p>
    <w:p w:rsidR="007B4306" w:rsidRPr="007B4306" w:rsidRDefault="007B4306" w:rsidP="007B4306">
      <w:pPr>
        <w:pStyle w:val="ListParagraph"/>
        <w:numPr>
          <w:ilvl w:val="0"/>
          <w:numId w:val="10"/>
        </w:numPr>
        <w:rPr>
          <w:rFonts w:eastAsia="Times New Roman" w:cstheme="minorHAnsi"/>
          <w:sz w:val="24"/>
          <w:szCs w:val="24"/>
        </w:rPr>
      </w:pPr>
      <w:r w:rsidRPr="007B4306">
        <w:rPr>
          <w:rFonts w:eastAsia="Times New Roman" w:cstheme="minorHAnsi"/>
          <w:sz w:val="24"/>
          <w:szCs w:val="24"/>
        </w:rPr>
        <w:t>After 35-50 years, the hydropower project must be handed over to the Nepalese government</w:t>
      </w:r>
    </w:p>
    <w:p w:rsidR="007B4306" w:rsidRPr="007B4306" w:rsidRDefault="007B4306" w:rsidP="007B4306">
      <w:pPr>
        <w:pStyle w:val="ListParagraph"/>
        <w:numPr>
          <w:ilvl w:val="0"/>
          <w:numId w:val="10"/>
        </w:numPr>
        <w:rPr>
          <w:rFonts w:eastAsia="Times New Roman" w:cstheme="minorHAnsi"/>
          <w:sz w:val="24"/>
          <w:szCs w:val="24"/>
        </w:rPr>
      </w:pPr>
      <w:r w:rsidRPr="007B4306">
        <w:rPr>
          <w:rFonts w:eastAsia="Times New Roman" w:cstheme="minorHAnsi"/>
          <w:sz w:val="24"/>
          <w:szCs w:val="24"/>
        </w:rPr>
        <w:t>The government maintains significant residual interest in the asset</w:t>
      </w:r>
    </w:p>
    <w:p w:rsidR="007B4306" w:rsidRPr="002C3809" w:rsidRDefault="007B4306" w:rsidP="007B4306">
      <w:pPr>
        <w:rPr>
          <w:rFonts w:eastAsia="Times New Roman" w:cstheme="minorHAnsi"/>
          <w:b/>
          <w:bCs/>
          <w:sz w:val="24"/>
          <w:szCs w:val="24"/>
        </w:rPr>
      </w:pPr>
      <w:r w:rsidRPr="002C3809">
        <w:rPr>
          <w:rFonts w:eastAsia="Times New Roman" w:cstheme="minorHAnsi"/>
          <w:b/>
          <w:bCs/>
          <w:sz w:val="24"/>
          <w:szCs w:val="24"/>
        </w:rPr>
        <w:t>Accounting Impact During Construction</w:t>
      </w:r>
    </w:p>
    <w:p w:rsidR="007B4306" w:rsidRPr="007B4306" w:rsidRDefault="007B4306" w:rsidP="007B4306">
      <w:pPr>
        <w:rPr>
          <w:rFonts w:eastAsia="Times New Roman" w:cstheme="minorHAnsi"/>
          <w:sz w:val="24"/>
          <w:szCs w:val="24"/>
        </w:rPr>
      </w:pPr>
      <w:r w:rsidRPr="007B4306">
        <w:rPr>
          <w:rFonts w:eastAsia="Times New Roman" w:cstheme="minorHAnsi"/>
          <w:bCs/>
          <w:sz w:val="24"/>
          <w:szCs w:val="24"/>
        </w:rPr>
        <w:t>Traditional Accounting vs. IFRIC 12:</w:t>
      </w:r>
    </w:p>
    <w:p w:rsidR="007B4306" w:rsidRPr="007B4306" w:rsidRDefault="007B4306" w:rsidP="007B4306">
      <w:pPr>
        <w:pStyle w:val="ListParagraph"/>
        <w:numPr>
          <w:ilvl w:val="0"/>
          <w:numId w:val="11"/>
        </w:numPr>
        <w:rPr>
          <w:rFonts w:eastAsia="Times New Roman" w:cstheme="minorHAnsi"/>
          <w:sz w:val="24"/>
          <w:szCs w:val="24"/>
        </w:rPr>
      </w:pPr>
      <w:r w:rsidRPr="007B4306">
        <w:rPr>
          <w:rFonts w:eastAsia="Times New Roman" w:cstheme="minorHAnsi"/>
          <w:bCs/>
          <w:sz w:val="24"/>
          <w:szCs w:val="24"/>
        </w:rPr>
        <w:t>Without IFRIC 12:</w:t>
      </w:r>
      <w:r w:rsidRPr="007B4306">
        <w:rPr>
          <w:rFonts w:eastAsia="Times New Roman" w:cstheme="minorHAnsi"/>
          <w:sz w:val="24"/>
          <w:szCs w:val="24"/>
        </w:rPr>
        <w:t xml:space="preserve"> Assets recorded as Property, Plant &amp; Equipment (PPE)</w:t>
      </w:r>
    </w:p>
    <w:p w:rsidR="007B4306" w:rsidRPr="007B4306" w:rsidRDefault="007B4306" w:rsidP="007B4306">
      <w:pPr>
        <w:pStyle w:val="ListParagraph"/>
        <w:numPr>
          <w:ilvl w:val="0"/>
          <w:numId w:val="11"/>
        </w:numPr>
        <w:rPr>
          <w:rFonts w:eastAsia="Times New Roman" w:cstheme="minorHAnsi"/>
          <w:sz w:val="24"/>
          <w:szCs w:val="24"/>
        </w:rPr>
      </w:pPr>
      <w:r w:rsidRPr="007B4306">
        <w:rPr>
          <w:rFonts w:eastAsia="Times New Roman" w:cstheme="minorHAnsi"/>
          <w:bCs/>
          <w:sz w:val="24"/>
          <w:szCs w:val="24"/>
        </w:rPr>
        <w:lastRenderedPageBreak/>
        <w:t>With IFRIC 12:</w:t>
      </w:r>
      <w:r w:rsidRPr="007B4306">
        <w:rPr>
          <w:rFonts w:eastAsia="Times New Roman" w:cstheme="minorHAnsi"/>
          <w:sz w:val="24"/>
          <w:szCs w:val="24"/>
        </w:rPr>
        <w:t xml:space="preserve"> Assets recorded as Intangible Assets, treated as construction contracts</w:t>
      </w:r>
    </w:p>
    <w:p w:rsidR="007B4306" w:rsidRPr="007B4306" w:rsidRDefault="007B4306" w:rsidP="007B4306">
      <w:pPr>
        <w:rPr>
          <w:rFonts w:eastAsia="Times New Roman" w:cstheme="minorHAnsi"/>
          <w:sz w:val="24"/>
          <w:szCs w:val="24"/>
        </w:rPr>
      </w:pPr>
      <w:r w:rsidRPr="007B4306">
        <w:rPr>
          <w:rFonts w:eastAsia="Times New Roman" w:cstheme="minorHAnsi"/>
          <w:bCs/>
          <w:sz w:val="24"/>
          <w:szCs w:val="24"/>
        </w:rPr>
        <w:t>Revenue Recognition:</w:t>
      </w:r>
    </w:p>
    <w:p w:rsidR="007B4306" w:rsidRPr="007B4306" w:rsidRDefault="007B4306" w:rsidP="007B4306">
      <w:pPr>
        <w:pStyle w:val="ListParagraph"/>
        <w:numPr>
          <w:ilvl w:val="0"/>
          <w:numId w:val="12"/>
        </w:numPr>
        <w:rPr>
          <w:rFonts w:eastAsia="Times New Roman" w:cstheme="minorHAnsi"/>
          <w:sz w:val="24"/>
          <w:szCs w:val="24"/>
        </w:rPr>
      </w:pPr>
      <w:r w:rsidRPr="007B4306">
        <w:rPr>
          <w:rFonts w:eastAsia="Times New Roman" w:cstheme="minorHAnsi"/>
          <w:sz w:val="24"/>
          <w:szCs w:val="24"/>
        </w:rPr>
        <w:t>Companies act as contractors, not owners</w:t>
      </w:r>
    </w:p>
    <w:p w:rsidR="007B4306" w:rsidRPr="007B4306" w:rsidRDefault="007B4306" w:rsidP="007B4306">
      <w:pPr>
        <w:pStyle w:val="ListParagraph"/>
        <w:numPr>
          <w:ilvl w:val="0"/>
          <w:numId w:val="12"/>
        </w:numPr>
        <w:rPr>
          <w:rFonts w:eastAsia="Times New Roman" w:cstheme="minorHAnsi"/>
          <w:sz w:val="24"/>
          <w:szCs w:val="24"/>
        </w:rPr>
      </w:pPr>
      <w:r w:rsidRPr="007B4306">
        <w:rPr>
          <w:rFonts w:eastAsia="Times New Roman" w:cstheme="minorHAnsi"/>
          <w:sz w:val="24"/>
          <w:szCs w:val="24"/>
        </w:rPr>
        <w:t>Revenue includes actual costs PLUS a "developer premium" (margin)</w:t>
      </w:r>
    </w:p>
    <w:p w:rsidR="007B4306" w:rsidRPr="007B4306" w:rsidRDefault="007B4306" w:rsidP="007B4306">
      <w:pPr>
        <w:pStyle w:val="ListParagraph"/>
        <w:numPr>
          <w:ilvl w:val="0"/>
          <w:numId w:val="12"/>
        </w:numPr>
        <w:rPr>
          <w:rFonts w:eastAsia="Times New Roman" w:cstheme="minorHAnsi"/>
          <w:sz w:val="24"/>
          <w:szCs w:val="24"/>
        </w:rPr>
      </w:pPr>
      <w:r w:rsidRPr="007B4306">
        <w:rPr>
          <w:rFonts w:eastAsia="Times New Roman" w:cstheme="minorHAnsi"/>
          <w:sz w:val="24"/>
          <w:szCs w:val="24"/>
        </w:rPr>
        <w:t>This premium is often calculated using Internal Rate of Return (IRR) as a benchmark</w:t>
      </w:r>
    </w:p>
    <w:p w:rsidR="007B4306" w:rsidRPr="007B4306" w:rsidRDefault="007B4306" w:rsidP="007B4306">
      <w:pPr>
        <w:pStyle w:val="ListParagraph"/>
        <w:numPr>
          <w:ilvl w:val="0"/>
          <w:numId w:val="12"/>
        </w:numPr>
        <w:rPr>
          <w:rFonts w:eastAsia="Times New Roman" w:cstheme="minorHAnsi"/>
          <w:sz w:val="24"/>
          <w:szCs w:val="24"/>
        </w:rPr>
      </w:pPr>
      <w:r w:rsidRPr="007B4306">
        <w:rPr>
          <w:rFonts w:eastAsia="Times New Roman" w:cstheme="minorHAnsi"/>
          <w:sz w:val="24"/>
          <w:szCs w:val="24"/>
        </w:rPr>
        <w:t>For example: If IRR is 1</w:t>
      </w:r>
      <w:r>
        <w:rPr>
          <w:rFonts w:eastAsia="Times New Roman" w:cstheme="minorHAnsi"/>
          <w:sz w:val="24"/>
          <w:szCs w:val="24"/>
        </w:rPr>
        <w:t>5</w:t>
      </w:r>
      <w:r w:rsidRPr="007B4306">
        <w:rPr>
          <w:rFonts w:eastAsia="Times New Roman" w:cstheme="minorHAnsi"/>
          <w:sz w:val="24"/>
          <w:szCs w:val="24"/>
        </w:rPr>
        <w:t>%, then 1</w:t>
      </w:r>
      <w:r>
        <w:rPr>
          <w:rFonts w:eastAsia="Times New Roman" w:cstheme="minorHAnsi"/>
          <w:sz w:val="24"/>
          <w:szCs w:val="24"/>
        </w:rPr>
        <w:t>5</w:t>
      </w:r>
      <w:r w:rsidRPr="007B4306">
        <w:rPr>
          <w:rFonts w:eastAsia="Times New Roman" w:cstheme="minorHAnsi"/>
          <w:sz w:val="24"/>
          <w:szCs w:val="24"/>
        </w:rPr>
        <w:t>% of costs incurred becomes the margin</w:t>
      </w:r>
    </w:p>
    <w:p w:rsidR="007B4306" w:rsidRPr="002C3809" w:rsidRDefault="007B4306" w:rsidP="007B4306">
      <w:pPr>
        <w:rPr>
          <w:rFonts w:eastAsia="Times New Roman" w:cstheme="minorHAnsi"/>
          <w:b/>
          <w:bCs/>
          <w:sz w:val="24"/>
          <w:szCs w:val="24"/>
        </w:rPr>
      </w:pPr>
      <w:r w:rsidRPr="002C3809">
        <w:rPr>
          <w:rFonts w:eastAsia="Times New Roman" w:cstheme="minorHAnsi"/>
          <w:b/>
          <w:bCs/>
          <w:sz w:val="24"/>
          <w:szCs w:val="24"/>
        </w:rPr>
        <w:t xml:space="preserve">Why This Matters for </w:t>
      </w:r>
      <w:proofErr w:type="gramStart"/>
      <w:r w:rsidRPr="002C3809">
        <w:rPr>
          <w:rFonts w:eastAsia="Times New Roman" w:cstheme="minorHAnsi"/>
          <w:b/>
          <w:bCs/>
          <w:sz w:val="24"/>
          <w:szCs w:val="24"/>
        </w:rPr>
        <w:t>Investors</w:t>
      </w:r>
      <w:proofErr w:type="gramEnd"/>
    </w:p>
    <w:p w:rsidR="007B4306" w:rsidRPr="007B4306" w:rsidRDefault="007B4306" w:rsidP="007B4306">
      <w:pPr>
        <w:rPr>
          <w:rFonts w:eastAsia="Times New Roman" w:cstheme="minorHAnsi"/>
          <w:sz w:val="24"/>
          <w:szCs w:val="24"/>
        </w:rPr>
      </w:pPr>
      <w:r w:rsidRPr="007B4306">
        <w:rPr>
          <w:rFonts w:eastAsia="Times New Roman" w:cstheme="minorHAnsi"/>
          <w:bCs/>
          <w:sz w:val="24"/>
          <w:szCs w:val="24"/>
        </w:rPr>
        <w:t>During Construction Phase:</w:t>
      </w:r>
    </w:p>
    <w:p w:rsidR="007B4306" w:rsidRPr="007B4306" w:rsidRDefault="007B4306" w:rsidP="007B4306">
      <w:pPr>
        <w:pStyle w:val="ListParagraph"/>
        <w:numPr>
          <w:ilvl w:val="0"/>
          <w:numId w:val="13"/>
        </w:numPr>
        <w:rPr>
          <w:rFonts w:eastAsia="Times New Roman" w:cstheme="minorHAnsi"/>
          <w:sz w:val="24"/>
          <w:szCs w:val="24"/>
        </w:rPr>
      </w:pPr>
      <w:r w:rsidRPr="007B4306">
        <w:rPr>
          <w:rFonts w:eastAsia="Times New Roman" w:cstheme="minorHAnsi"/>
          <w:sz w:val="24"/>
          <w:szCs w:val="24"/>
        </w:rPr>
        <w:t>Companies show high profits that aren't real cash flows</w:t>
      </w:r>
    </w:p>
    <w:p w:rsidR="007B4306" w:rsidRPr="007B4306" w:rsidRDefault="007B4306" w:rsidP="007B4306">
      <w:pPr>
        <w:pStyle w:val="ListParagraph"/>
        <w:numPr>
          <w:ilvl w:val="0"/>
          <w:numId w:val="13"/>
        </w:numPr>
        <w:rPr>
          <w:rFonts w:eastAsia="Times New Roman" w:cstheme="minorHAnsi"/>
          <w:sz w:val="24"/>
          <w:szCs w:val="24"/>
        </w:rPr>
      </w:pPr>
      <w:r w:rsidRPr="007B4306">
        <w:rPr>
          <w:rFonts w:eastAsia="Times New Roman" w:cstheme="minorHAnsi"/>
          <w:sz w:val="24"/>
          <w:szCs w:val="24"/>
        </w:rPr>
        <w:t>These profits get capitalized as intangible assets</w:t>
      </w:r>
    </w:p>
    <w:p w:rsidR="007B4306" w:rsidRPr="007B4306" w:rsidRDefault="007B4306" w:rsidP="007B4306">
      <w:pPr>
        <w:pStyle w:val="ListParagraph"/>
        <w:numPr>
          <w:ilvl w:val="0"/>
          <w:numId w:val="13"/>
        </w:numPr>
        <w:rPr>
          <w:rFonts w:eastAsia="Times New Roman" w:cstheme="minorHAnsi"/>
          <w:sz w:val="24"/>
          <w:szCs w:val="24"/>
        </w:rPr>
      </w:pPr>
      <w:r w:rsidRPr="007B4306">
        <w:rPr>
          <w:rFonts w:eastAsia="Times New Roman" w:cstheme="minorHAnsi"/>
          <w:sz w:val="24"/>
          <w:szCs w:val="24"/>
        </w:rPr>
        <w:t>Can create misleading impressions of actual performance</w:t>
      </w:r>
    </w:p>
    <w:p w:rsidR="007B4306" w:rsidRPr="007B4306" w:rsidRDefault="007B4306" w:rsidP="007B4306">
      <w:pPr>
        <w:rPr>
          <w:rFonts w:eastAsia="Times New Roman" w:cstheme="minorHAnsi"/>
          <w:sz w:val="24"/>
          <w:szCs w:val="24"/>
        </w:rPr>
      </w:pPr>
      <w:r w:rsidRPr="007B4306">
        <w:rPr>
          <w:rFonts w:eastAsia="Times New Roman" w:cstheme="minorHAnsi"/>
          <w:bCs/>
          <w:sz w:val="24"/>
          <w:szCs w:val="24"/>
        </w:rPr>
        <w:t>During Operation Phase:</w:t>
      </w:r>
    </w:p>
    <w:p w:rsidR="007B4306" w:rsidRPr="007B4306" w:rsidRDefault="007B4306" w:rsidP="007B4306">
      <w:pPr>
        <w:pStyle w:val="ListParagraph"/>
        <w:numPr>
          <w:ilvl w:val="0"/>
          <w:numId w:val="14"/>
        </w:numPr>
        <w:rPr>
          <w:rFonts w:eastAsia="Times New Roman" w:cstheme="minorHAnsi"/>
          <w:sz w:val="24"/>
          <w:szCs w:val="24"/>
        </w:rPr>
      </w:pPr>
      <w:r w:rsidRPr="007B4306">
        <w:rPr>
          <w:rFonts w:eastAsia="Times New Roman" w:cstheme="minorHAnsi"/>
          <w:sz w:val="24"/>
          <w:szCs w:val="24"/>
        </w:rPr>
        <w:t>The intangible assets are amortized over the project's life</w:t>
      </w:r>
    </w:p>
    <w:p w:rsidR="007B4306" w:rsidRPr="007B4306" w:rsidRDefault="007B4306" w:rsidP="007B4306">
      <w:pPr>
        <w:pStyle w:val="ListParagraph"/>
        <w:numPr>
          <w:ilvl w:val="0"/>
          <w:numId w:val="14"/>
        </w:numPr>
        <w:rPr>
          <w:rFonts w:eastAsia="Times New Roman" w:cstheme="minorHAnsi"/>
          <w:sz w:val="24"/>
          <w:szCs w:val="24"/>
        </w:rPr>
      </w:pPr>
      <w:r w:rsidRPr="007B4306">
        <w:rPr>
          <w:rFonts w:eastAsia="Times New Roman" w:cstheme="minorHAnsi"/>
          <w:sz w:val="24"/>
          <w:szCs w:val="24"/>
        </w:rPr>
        <w:t>The construction-phase "profits" get reversed through amortization</w:t>
      </w:r>
    </w:p>
    <w:p w:rsidR="007B4306" w:rsidRPr="007B4306" w:rsidRDefault="007B4306" w:rsidP="007B4306">
      <w:pPr>
        <w:pStyle w:val="ListParagraph"/>
        <w:numPr>
          <w:ilvl w:val="0"/>
          <w:numId w:val="14"/>
        </w:numPr>
        <w:rPr>
          <w:rFonts w:eastAsia="Times New Roman" w:cstheme="minorHAnsi"/>
          <w:sz w:val="24"/>
          <w:szCs w:val="24"/>
        </w:rPr>
      </w:pPr>
      <w:r w:rsidRPr="007B4306">
        <w:rPr>
          <w:rFonts w:eastAsia="Times New Roman" w:cstheme="minorHAnsi"/>
          <w:sz w:val="24"/>
          <w:szCs w:val="24"/>
        </w:rPr>
        <w:t>This balances out the inflated construction-phase earnings</w:t>
      </w:r>
    </w:p>
    <w:p w:rsidR="007B4306" w:rsidRPr="002C3809" w:rsidRDefault="007B4306" w:rsidP="007B4306">
      <w:pPr>
        <w:rPr>
          <w:rFonts w:eastAsia="Times New Roman" w:cstheme="minorHAnsi"/>
          <w:b/>
          <w:bCs/>
          <w:sz w:val="24"/>
          <w:szCs w:val="24"/>
        </w:rPr>
      </w:pPr>
      <w:r w:rsidRPr="002C3809">
        <w:rPr>
          <w:rFonts w:eastAsia="Times New Roman" w:cstheme="minorHAnsi"/>
          <w:b/>
          <w:bCs/>
          <w:sz w:val="24"/>
          <w:szCs w:val="24"/>
        </w:rPr>
        <w:t>Valuation Implications</w:t>
      </w:r>
    </w:p>
    <w:p w:rsidR="007B4306" w:rsidRPr="007B4306" w:rsidRDefault="007B4306" w:rsidP="007B4306">
      <w:pPr>
        <w:rPr>
          <w:rFonts w:eastAsia="Times New Roman" w:cstheme="minorHAnsi"/>
          <w:sz w:val="24"/>
          <w:szCs w:val="24"/>
        </w:rPr>
      </w:pPr>
      <w:r w:rsidRPr="007B4306">
        <w:rPr>
          <w:rFonts w:eastAsia="Times New Roman" w:cstheme="minorHAnsi"/>
          <w:bCs/>
          <w:sz w:val="24"/>
          <w:szCs w:val="24"/>
        </w:rPr>
        <w:t>For Investment Analysis:</w:t>
      </w:r>
    </w:p>
    <w:p w:rsidR="007B4306" w:rsidRPr="007B4306" w:rsidRDefault="007B4306" w:rsidP="007B4306">
      <w:pPr>
        <w:pStyle w:val="ListParagraph"/>
        <w:numPr>
          <w:ilvl w:val="0"/>
          <w:numId w:val="15"/>
        </w:numPr>
        <w:rPr>
          <w:rFonts w:eastAsia="Times New Roman" w:cstheme="minorHAnsi"/>
          <w:sz w:val="24"/>
          <w:szCs w:val="24"/>
        </w:rPr>
      </w:pPr>
      <w:r w:rsidRPr="007B4306">
        <w:rPr>
          <w:rFonts w:eastAsia="Times New Roman" w:cstheme="minorHAnsi"/>
          <w:sz w:val="24"/>
          <w:szCs w:val="24"/>
        </w:rPr>
        <w:t>Construction-phase EPS includes artificial contract profits</w:t>
      </w:r>
    </w:p>
    <w:p w:rsidR="007B4306" w:rsidRPr="007B4306" w:rsidRDefault="007B4306" w:rsidP="007B4306">
      <w:pPr>
        <w:pStyle w:val="ListParagraph"/>
        <w:numPr>
          <w:ilvl w:val="0"/>
          <w:numId w:val="15"/>
        </w:numPr>
        <w:rPr>
          <w:rFonts w:eastAsia="Times New Roman" w:cstheme="minorHAnsi"/>
          <w:sz w:val="24"/>
          <w:szCs w:val="24"/>
        </w:rPr>
      </w:pPr>
      <w:r w:rsidRPr="007B4306">
        <w:rPr>
          <w:rFonts w:eastAsia="Times New Roman" w:cstheme="minorHAnsi"/>
          <w:sz w:val="24"/>
          <w:szCs w:val="24"/>
        </w:rPr>
        <w:t>Better to use forward EPS from the operational phase</w:t>
      </w:r>
    </w:p>
    <w:p w:rsidR="007B4306" w:rsidRPr="007B4306" w:rsidRDefault="007B4306" w:rsidP="007B4306">
      <w:pPr>
        <w:pStyle w:val="ListParagraph"/>
        <w:numPr>
          <w:ilvl w:val="0"/>
          <w:numId w:val="15"/>
        </w:numPr>
        <w:rPr>
          <w:rFonts w:eastAsia="Times New Roman" w:cstheme="minorHAnsi"/>
          <w:sz w:val="24"/>
          <w:szCs w:val="24"/>
        </w:rPr>
      </w:pPr>
      <w:r w:rsidRPr="007B4306">
        <w:rPr>
          <w:rFonts w:eastAsia="Times New Roman" w:cstheme="minorHAnsi"/>
          <w:sz w:val="24"/>
          <w:szCs w:val="24"/>
        </w:rPr>
        <w:t>Discount future operational earnings at risk-free rate for valuation</w:t>
      </w:r>
    </w:p>
    <w:p w:rsidR="007B4306" w:rsidRPr="007B4306" w:rsidRDefault="007B4306" w:rsidP="007B4306">
      <w:pPr>
        <w:pStyle w:val="ListParagraph"/>
        <w:numPr>
          <w:ilvl w:val="0"/>
          <w:numId w:val="15"/>
        </w:numPr>
        <w:rPr>
          <w:rFonts w:eastAsia="Times New Roman" w:cstheme="minorHAnsi"/>
          <w:sz w:val="24"/>
          <w:szCs w:val="24"/>
        </w:rPr>
      </w:pPr>
      <w:r w:rsidRPr="007B4306">
        <w:rPr>
          <w:rFonts w:eastAsia="Times New Roman" w:cstheme="minorHAnsi"/>
          <w:sz w:val="24"/>
          <w:szCs w:val="24"/>
        </w:rPr>
        <w:t>Consider future amortization expenses in forecasts</w:t>
      </w:r>
    </w:p>
    <w:p w:rsidR="007B4306" w:rsidRPr="007B4306" w:rsidRDefault="007B4306" w:rsidP="007B4306">
      <w:pPr>
        <w:rPr>
          <w:rFonts w:eastAsia="Times New Roman" w:cstheme="minorHAnsi"/>
          <w:b/>
          <w:bCs/>
          <w:sz w:val="24"/>
          <w:szCs w:val="24"/>
        </w:rPr>
      </w:pPr>
      <w:r w:rsidRPr="007B4306">
        <w:rPr>
          <w:rFonts w:eastAsia="Times New Roman" w:cstheme="minorHAnsi"/>
          <w:b/>
          <w:bCs/>
          <w:sz w:val="24"/>
          <w:szCs w:val="24"/>
        </w:rPr>
        <w:t xml:space="preserve">Conclusion </w:t>
      </w:r>
    </w:p>
    <w:p w:rsidR="007B4306" w:rsidRPr="007B4306" w:rsidRDefault="007B4306" w:rsidP="007B4306">
      <w:pPr>
        <w:rPr>
          <w:rFonts w:eastAsia="Times New Roman" w:cstheme="minorHAnsi"/>
          <w:sz w:val="24"/>
          <w:szCs w:val="24"/>
        </w:rPr>
      </w:pPr>
      <w:r w:rsidRPr="007B4306">
        <w:rPr>
          <w:rFonts w:eastAsia="Times New Roman" w:cstheme="minorHAnsi"/>
          <w:sz w:val="24"/>
          <w:szCs w:val="24"/>
        </w:rPr>
        <w:t>IFRIC 12 creates a timing difference - profits are front-loaded during construction but then amortized during operations, creating a more complex but ultimately balanced accounting picture over the project's full lifecycle.</w:t>
      </w:r>
      <w:bookmarkStart w:id="0" w:name="_GoBack"/>
      <w:bookmarkEnd w:id="0"/>
    </w:p>
    <w:p w:rsidR="007B4306" w:rsidRPr="007B4306" w:rsidRDefault="007B4306" w:rsidP="007B4306">
      <w:pPr>
        <w:rPr>
          <w:rFonts w:eastAsia="Times New Roman" w:cstheme="minorHAnsi"/>
          <w:sz w:val="24"/>
          <w:szCs w:val="24"/>
        </w:rPr>
      </w:pPr>
      <w:r w:rsidRPr="007B4306">
        <w:rPr>
          <w:rFonts w:eastAsia="Times New Roman" w:cstheme="minorHAnsi"/>
          <w:sz w:val="24"/>
          <w:szCs w:val="24"/>
        </w:rPr>
        <w:t>This standard essentially treats hydropower companies as contractors building assets for the government rather than as owners of power generation facilities.</w:t>
      </w:r>
    </w:p>
    <w:p w:rsidR="007B4306" w:rsidRDefault="007B4306" w:rsidP="007B4306"/>
    <w:sectPr w:rsidR="007B4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05FF"/>
    <w:multiLevelType w:val="multilevel"/>
    <w:tmpl w:val="6DA4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2585F"/>
    <w:multiLevelType w:val="hybridMultilevel"/>
    <w:tmpl w:val="DB8E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C4BBE"/>
    <w:multiLevelType w:val="hybridMultilevel"/>
    <w:tmpl w:val="EAEC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34BA6"/>
    <w:multiLevelType w:val="hybridMultilevel"/>
    <w:tmpl w:val="D336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8BC"/>
    <w:multiLevelType w:val="multilevel"/>
    <w:tmpl w:val="92C4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A5C4F"/>
    <w:multiLevelType w:val="multilevel"/>
    <w:tmpl w:val="FB1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13E27"/>
    <w:multiLevelType w:val="hybridMultilevel"/>
    <w:tmpl w:val="4E94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27C80"/>
    <w:multiLevelType w:val="multilevel"/>
    <w:tmpl w:val="3F0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45125"/>
    <w:multiLevelType w:val="multilevel"/>
    <w:tmpl w:val="9D1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A403A"/>
    <w:multiLevelType w:val="multilevel"/>
    <w:tmpl w:val="768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B74F9"/>
    <w:multiLevelType w:val="multilevel"/>
    <w:tmpl w:val="8F7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00756"/>
    <w:multiLevelType w:val="hybridMultilevel"/>
    <w:tmpl w:val="410E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F65BA"/>
    <w:multiLevelType w:val="hybridMultilevel"/>
    <w:tmpl w:val="DB6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30D20"/>
    <w:multiLevelType w:val="multilevel"/>
    <w:tmpl w:val="7B1C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C4DD0"/>
    <w:multiLevelType w:val="multilevel"/>
    <w:tmpl w:val="B524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97CAD"/>
    <w:multiLevelType w:val="multilevel"/>
    <w:tmpl w:val="7C7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01794"/>
    <w:multiLevelType w:val="multilevel"/>
    <w:tmpl w:val="9BCC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E1A8C"/>
    <w:multiLevelType w:val="multilevel"/>
    <w:tmpl w:val="3A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A2D68"/>
    <w:multiLevelType w:val="hybridMultilevel"/>
    <w:tmpl w:val="637E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A42EF"/>
    <w:multiLevelType w:val="hybridMultilevel"/>
    <w:tmpl w:val="DE0E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4208E"/>
    <w:multiLevelType w:val="hybridMultilevel"/>
    <w:tmpl w:val="2BEA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7"/>
  </w:num>
  <w:num w:numId="4">
    <w:abstractNumId w:val="13"/>
  </w:num>
  <w:num w:numId="5">
    <w:abstractNumId w:val="8"/>
  </w:num>
  <w:num w:numId="6">
    <w:abstractNumId w:val="10"/>
  </w:num>
  <w:num w:numId="7">
    <w:abstractNumId w:val="5"/>
  </w:num>
  <w:num w:numId="8">
    <w:abstractNumId w:val="15"/>
  </w:num>
  <w:num w:numId="9">
    <w:abstractNumId w:val="12"/>
  </w:num>
  <w:num w:numId="10">
    <w:abstractNumId w:val="11"/>
  </w:num>
  <w:num w:numId="11">
    <w:abstractNumId w:val="2"/>
  </w:num>
  <w:num w:numId="12">
    <w:abstractNumId w:val="1"/>
  </w:num>
  <w:num w:numId="13">
    <w:abstractNumId w:val="6"/>
  </w:num>
  <w:num w:numId="14">
    <w:abstractNumId w:val="3"/>
  </w:num>
  <w:num w:numId="15">
    <w:abstractNumId w:val="18"/>
  </w:num>
  <w:num w:numId="16">
    <w:abstractNumId w:val="20"/>
  </w:num>
  <w:num w:numId="17">
    <w:abstractNumId w:val="4"/>
  </w:num>
  <w:num w:numId="18">
    <w:abstractNumId w:val="0"/>
  </w:num>
  <w:num w:numId="19">
    <w:abstractNumId w:val="7"/>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06"/>
    <w:rsid w:val="000B78CC"/>
    <w:rsid w:val="0022391B"/>
    <w:rsid w:val="002C3809"/>
    <w:rsid w:val="00751E23"/>
    <w:rsid w:val="007B4306"/>
    <w:rsid w:val="00DD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C0220-BF1A-4506-B985-0269B9AF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B43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306"/>
    <w:rPr>
      <w:rFonts w:ascii="Times New Roman" w:eastAsia="Times New Roman" w:hAnsi="Times New Roman" w:cs="Times New Roman"/>
      <w:b/>
      <w:bCs/>
      <w:sz w:val="36"/>
      <w:szCs w:val="36"/>
    </w:rPr>
  </w:style>
  <w:style w:type="paragraph" w:customStyle="1" w:styleId="whitespace-normal">
    <w:name w:val="whitespace-normal"/>
    <w:basedOn w:val="Normal"/>
    <w:rsid w:val="007B4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306"/>
    <w:rPr>
      <w:b/>
      <w:bCs/>
    </w:rPr>
  </w:style>
  <w:style w:type="paragraph" w:styleId="ListParagraph">
    <w:name w:val="List Paragraph"/>
    <w:basedOn w:val="Normal"/>
    <w:uiPriority w:val="34"/>
    <w:qFormat/>
    <w:rsid w:val="007B4306"/>
    <w:pPr>
      <w:ind w:left="720"/>
      <w:contextualSpacing/>
    </w:pPr>
  </w:style>
  <w:style w:type="character" w:customStyle="1" w:styleId="Heading3Char">
    <w:name w:val="Heading 3 Char"/>
    <w:basedOn w:val="DefaultParagraphFont"/>
    <w:link w:val="Heading3"/>
    <w:uiPriority w:val="9"/>
    <w:semiHidden/>
    <w:rsid w:val="002C3809"/>
    <w:rPr>
      <w:rFonts w:asciiTheme="majorHAnsi" w:eastAsiaTheme="majorEastAsia" w:hAnsiTheme="majorHAnsi" w:cstheme="majorBidi"/>
      <w:color w:val="1F3763" w:themeColor="accent1" w:themeShade="7F"/>
      <w:sz w:val="24"/>
      <w:szCs w:val="24"/>
    </w:rPr>
  </w:style>
  <w:style w:type="character" w:customStyle="1" w:styleId="inline-flex">
    <w:name w:val="inline-flex"/>
    <w:basedOn w:val="DefaultParagraphFont"/>
    <w:rsid w:val="002C3809"/>
  </w:style>
  <w:style w:type="character" w:customStyle="1" w:styleId="text-nowrap">
    <w:name w:val="text-nowrap"/>
    <w:basedOn w:val="DefaultParagraphFont"/>
    <w:rsid w:val="002C3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7825">
      <w:bodyDiv w:val="1"/>
      <w:marLeft w:val="0"/>
      <w:marRight w:val="0"/>
      <w:marTop w:val="0"/>
      <w:marBottom w:val="0"/>
      <w:divBdr>
        <w:top w:val="none" w:sz="0" w:space="0" w:color="auto"/>
        <w:left w:val="none" w:sz="0" w:space="0" w:color="auto"/>
        <w:bottom w:val="none" w:sz="0" w:space="0" w:color="auto"/>
        <w:right w:val="none" w:sz="0" w:space="0" w:color="auto"/>
      </w:divBdr>
    </w:div>
    <w:div w:id="301353673">
      <w:bodyDiv w:val="1"/>
      <w:marLeft w:val="0"/>
      <w:marRight w:val="0"/>
      <w:marTop w:val="0"/>
      <w:marBottom w:val="0"/>
      <w:divBdr>
        <w:top w:val="none" w:sz="0" w:space="0" w:color="auto"/>
        <w:left w:val="none" w:sz="0" w:space="0" w:color="auto"/>
        <w:bottom w:val="none" w:sz="0" w:space="0" w:color="auto"/>
        <w:right w:val="none" w:sz="0" w:space="0" w:color="auto"/>
      </w:divBdr>
    </w:div>
    <w:div w:id="11495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BIKRAM STHAPIT</dc:creator>
  <cp:keywords/>
  <dc:description/>
  <cp:lastModifiedBy>AKHILESH BIKRAM STHAPIT</cp:lastModifiedBy>
  <cp:revision>2</cp:revision>
  <dcterms:created xsi:type="dcterms:W3CDTF">2025-07-15T09:55:00Z</dcterms:created>
  <dcterms:modified xsi:type="dcterms:W3CDTF">2025-07-15T10:41:00Z</dcterms:modified>
</cp:coreProperties>
</file>