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EXECUTIVE SUMMARY</w:t>
      </w:r>
    </w:p>
    <w:p>
      <w:pPr>
        <w:jc w:val="center"/>
      </w:pPr>
      <w:r>
        <w:rPr>
          <w:i/>
          <w:sz w:val="26"/>
        </w:rPr>
        <w:t>Deep Learning for Malaria Parasite Detection and Classification</w:t>
      </w:r>
    </w:p>
    <w:p/>
    <w:p>
      <w:r>
        <w:rPr>
          <w:b/>
        </w:rPr>
        <w:t>Key Highlights</w:t>
      </w:r>
      <w:r>
        <w:br/>
      </w:r>
    </w:p>
    <w:p>
      <w:pPr>
        <w:pStyle w:val="ListBullet"/>
      </w:pPr>
      <w:r>
        <w:t>[OK] Detection Accuracy: 93.10% mAP@50 using YOLO11</w:t>
      </w:r>
    </w:p>
    <w:p>
      <w:pPr>
        <w:pStyle w:val="ListBullet"/>
      </w:pPr>
      <w:r>
        <w:t>[OK] Classification Accuracy: 98.80% for species identification (EfficientNet-B1)</w:t>
      </w:r>
    </w:p>
    <w:p>
      <w:pPr>
        <w:pStyle w:val="ListBullet"/>
      </w:pPr>
      <w:r>
        <w:t>[OK] Real-time Capability: ~19 FPS on RTX 3060 GPU</w:t>
      </w:r>
    </w:p>
    <w:p>
      <w:pPr>
        <w:pStyle w:val="ListBullet"/>
      </w:pPr>
      <w:r>
        <w:t>[OK] Efficiency: 70% storage reduction, 60% training time reduction vs traditional methods</w:t>
      </w:r>
    </w:p>
    <w:p>
      <w:pPr>
        <w:pStyle w:val="ListBullet"/>
      </w:pPr>
      <w:r>
        <w:t>[OK] Dataset: MP-IDB (209 images per task, 4 classes each)</w:t>
      </w:r>
    </w:p>
    <w:p>
      <w:pPr>
        <w:pStyle w:val="ListBullet"/>
      </w:pPr>
      <w:r>
        <w:t>[OK] Models Trained: 36 total (3 YOLO × 6 CNN × 2 datasets)</w:t>
      </w:r>
    </w:p>
    <w:p/>
    <w:p>
      <w:r>
        <w:rPr>
          <w:b/>
        </w:rPr>
        <w:t>Performance Summary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Task</w:t>
            </w:r>
          </w:p>
        </w:tc>
        <w:tc>
          <w:tcPr>
            <w:tcW w:type="dxa" w:w="1728"/>
          </w:tcPr>
          <w:p>
            <w:r>
              <w:rPr>
                <w:b/>
              </w:rPr>
              <w:t>Best Model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Accuracy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Balanced Acc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Clinical Readiness</w:t>
            </w:r>
          </w:p>
        </w:tc>
      </w:tr>
      <w:tr>
        <w:tc>
          <w:tcPr>
            <w:tcW w:type="dxa" w:w="1728"/>
          </w:tcPr>
          <w:p>
            <w:r>
              <w:t>Species ID</w:t>
            </w:r>
          </w:p>
        </w:tc>
        <w:tc>
          <w:tcPr>
            <w:tcW w:type="dxa" w:w="1728"/>
          </w:tcPr>
          <w:p>
            <w:r>
              <w:t>EfficientNet-B1</w:t>
            </w:r>
          </w:p>
        </w:tc>
        <w:tc>
          <w:tcPr>
            <w:tcW w:type="dxa" w:w="1728"/>
          </w:tcPr>
          <w:p>
            <w:r>
              <w:t>98.80%</w:t>
            </w:r>
          </w:p>
        </w:tc>
        <w:tc>
          <w:tcPr>
            <w:tcW w:type="dxa" w:w="1728"/>
          </w:tcPr>
          <w:p>
            <w:r>
              <w:t>93.18%</w:t>
            </w:r>
          </w:p>
        </w:tc>
        <w:tc>
          <w:tcPr>
            <w:tcW w:type="dxa" w:w="1728"/>
          </w:tcPr>
          <w:p>
            <w:r>
              <w:t>High [OK]</w:t>
            </w:r>
          </w:p>
        </w:tc>
      </w:tr>
      <w:tr>
        <w:tc>
          <w:tcPr>
            <w:tcW w:type="dxa" w:w="1728"/>
          </w:tcPr>
          <w:p>
            <w:r>
              <w:t>Stage ID</w:t>
            </w:r>
          </w:p>
        </w:tc>
        <w:tc>
          <w:tcPr>
            <w:tcW w:type="dxa" w:w="1728"/>
          </w:tcPr>
          <w:p>
            <w:r>
              <w:t>EfficientNet-B0</w:t>
            </w:r>
          </w:p>
        </w:tc>
        <w:tc>
          <w:tcPr>
            <w:tcW w:type="dxa" w:w="1728"/>
          </w:tcPr>
          <w:p>
            <w:r>
              <w:t>94.31%</w:t>
            </w:r>
          </w:p>
        </w:tc>
        <w:tc>
          <w:tcPr>
            <w:tcW w:type="dxa" w:w="1728"/>
          </w:tcPr>
          <w:p>
            <w:r>
              <w:t>69.21%</w:t>
            </w:r>
          </w:p>
        </w:tc>
        <w:tc>
          <w:tcPr>
            <w:tcW w:type="dxa" w:w="1728"/>
          </w:tcPr>
          <w:p>
            <w:r>
              <w:t>Moderate</w:t>
            </w:r>
          </w:p>
        </w:tc>
      </w:tr>
      <w:tr>
        <w:tc>
          <w:tcPr>
            <w:tcW w:type="dxa" w:w="1728"/>
          </w:tcPr>
          <w:p>
            <w:r>
              <w:t>Detection</w:t>
            </w:r>
          </w:p>
        </w:tc>
        <w:tc>
          <w:tcPr>
            <w:tcW w:type="dxa" w:w="1728"/>
          </w:tcPr>
          <w:p>
            <w:r>
              <w:t>YOLO11</w:t>
            </w:r>
          </w:p>
        </w:tc>
        <w:tc>
          <w:tcPr>
            <w:tcW w:type="dxa" w:w="1728"/>
          </w:tcPr>
          <w:p>
            <w:r>
              <w:t>93.10% mAP</w:t>
            </w:r>
          </w:p>
        </w:tc>
        <w:tc>
          <w:tcPr>
            <w:tcW w:type="dxa" w:w="1728"/>
          </w:tcPr>
          <w:p>
            <w:r>
              <w:t>N/A</w:t>
            </w:r>
          </w:p>
        </w:tc>
        <w:tc>
          <w:tcPr>
            <w:tcW w:type="dxa" w:w="1728"/>
          </w:tcPr>
          <w:p>
            <w:r>
              <w:t>High [OK]</w:t>
            </w:r>
          </w:p>
        </w:tc>
      </w:tr>
    </w:tbl>
    <w:p/>
    <w:p>
      <w:r>
        <w:rPr>
          <w:b/>
        </w:rPr>
        <w:t>Clinical Impact</w:t>
      </w:r>
      <w:r>
        <w:br/>
      </w:r>
      <w:r>
        <w:t>This automated system can support: (1) High-throughput screening in endemic regions, (2) Training for novice microscopists, (3) Quality assurance in diagnostic labs, (4) Species-specific treatment guidance, and (5) Epidemiological surveillance.</w:t>
      </w:r>
    </w:p>
    <w:p/>
    <w:p>
      <w:r>
        <w:rPr>
          <w:b/>
        </w:rPr>
        <w:t>Immediate Next Steps</w:t>
      </w:r>
    </w:p>
    <w:p>
      <w:pPr>
        <w:pStyle w:val="ListBullet"/>
      </w:pPr>
      <w:r>
        <w:t>• External validation on independent datasets (NIH, local hospitals)</w:t>
      </w:r>
    </w:p>
    <w:p>
      <w:pPr>
        <w:pStyle w:val="ListBullet"/>
      </w:pPr>
      <w:r>
        <w:t>• Improve minority class performance (gametocytes, P. ovale)</w:t>
      </w:r>
    </w:p>
    <w:p>
      <w:pPr>
        <w:pStyle w:val="ListBullet"/>
      </w:pPr>
      <w:r>
        <w:t>• Clinical validation study with expert pathologists</w:t>
      </w:r>
    </w:p>
    <w:p>
      <w:pPr>
        <w:pStyle w:val="ListBullet"/>
      </w:pPr>
      <w:r>
        <w:t>• Journal publication (target: IEEE Access, Scientific Reports)</w:t>
      </w:r>
    </w:p>
    <w:p>
      <w:pPr>
        <w:pStyle w:val="ListBullet"/>
      </w:pPr>
      <w:r>
        <w:t>• Deployment as web application for field testing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