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hyperlink r:id="rId6">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is required to comply with the GDPR since it accepts online payments that may originate in the EU and any business conducted there.</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is required to meet the standards of PCI DSS since it deals with financial information of its customers for every transaction made on its ecommerce platform.</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has the responsibility to maintain the privacy and confidentiality of its customers SPII mostly in the form of financial information. It has one of its assets as data retention and storage.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of-cybersecurity/supplement/xu4pr/controls-frameworks-and-compl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