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Normal"/>
        <w:spacing w:after="200" w:before="1600"/>
        <w:rPr/>
      </w:pPr>
      <w:r>
        <w:rPr>
          <w:rFonts w:ascii="Aptos Display" w:hAnsi="Aptos Display"/>
          <w:b/>
          <w:color w:val="17365d"/>
          <w:sz w:val="56"/>
        </w:rPr>
        <w:t xml:space="preserve">LAB-001</w:t>
      </w:r>
    </w:p>
    <w:p>
      <w:pPr>
        <w:pStyle w:val="Normal"/>
        <w:spacing w:after="360" w:before="0"/>
        <w:rPr/>
      </w:pPr>
      <w:r>
        <w:rPr>
          <w:rFonts w:ascii="Aptos Display" w:hAnsi="Aptos Display"/>
          <w:b/>
          <w:color w:val="2e74b5"/>
          <w:sz w:val="42"/>
        </w:rPr>
        <w:t xml:space="preserve">Safe Junos Configuration Workflow</w:t>
      </w:r>
    </w:p>
    <w:p>
      <w:pPr>
        <w:pStyle w:val="Normal"/>
        <w:rPr/>
      </w:pPr>
      <w:r>
        <w:rPr>
          <w:b/>
          <w:color w:val="666666"/>
          <w:sz w:val="22"/>
        </w:rPr>
        <w:t xml:space="preserve">SOLUTION GUIDE — EDITABLE WORD VERSION</w:t>
      </w:r>
    </w:p>
    <w:p>
      <w:pPr>
        <w:pStyle w:val="Normal"/>
        <w:rPr/>
      </w:pPr>
      <w:r>
        <w:t xml:space="preserve">Candidate configuration • Commit validation • Confirmed commit • Rollback • Rescue configuration • Concurrent sessions</w:t>
      </w:r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fff2cc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Important  </w:t>
            </w:r>
            <w:r>
              <w:rPr>
                <w:sz w:val="19"/>
              </w:rPr>
              <w:t xml:space="preserve">Use this guide after attempting the task-only document or when genuinely blocked. The baseline includes the corrected R1 route to the R2 loopback.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Normal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59207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  <pic:nv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0720" cy="259207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60pt;height:204.1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>
      <w:pPr>
        <w:pStyle w:val="Normal"/>
        <w:rPr/>
      </w:pPr>
      <w:r/>
      <w:r>
        <w:br w:type="page" w:clear="all"/>
      </w:r>
    </w:p>
    <w:p>
      <w:pPr>
        <w:pStyle w:val="Heading1"/>
        <w:keepNext w:val="true"/>
        <w:spacing w:after="140" w:before="0"/>
        <w:rPr/>
      </w:pPr>
      <w:r>
        <w:t xml:space="preserve">Lab reference</w:t>
      </w:r>
    </w:p>
    <w:tbl>
      <w:tblPr>
        <w:tblStyle w:val="TableGrid"/>
        <w:tblInd w:w="0" w:type="dxa"/>
        <w:tblW w:w="9792" w:type="dxa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  <w:tblLayout w:type="fixed"/>
      </w:tblPr>
      <w:tblGrid>
        <w:gridCol w:w="4896"/>
        <w:gridCol w:w="4896"/>
      </w:tblGrid>
      <w:tr>
        <w:trPr>
          <w:tblHeader/>
        </w:trPr>
        <w:tc>
          <w:tcPr>
            <w:tcW w:w="4896" w:type="dxa"/>
            <w:tcBorders/>
            <w:shd w:val="clear" w:fill="17365d"/>
          </w:tcPr>
          <w:p>
            <w:pPr>
              <w:pStyle w:val="Normal"/>
              <w:widowControl w:val="true"/>
              <w:spacing w:after="120" w:before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 w:val="19"/>
                <w:szCs w:val="22"/>
                <w:lang w:val="en-US" w:eastAsia="en-US" w:bidi="ar-SA"/>
              </w:rPr>
              <w:t xml:space="preserve">Item</w:t>
            </w:r>
          </w:p>
        </w:tc>
        <w:tc>
          <w:tcPr>
            <w:tcW w:w="4896" w:type="dxa"/>
            <w:tcBorders/>
            <w:shd w:val="clear" w:fill="17365d"/>
          </w:tcPr>
          <w:p>
            <w:pPr>
              <w:pStyle w:val="Normal"/>
              <w:widowControl w:val="true"/>
              <w:spacing w:after="120" w:before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 w:val="19"/>
                <w:szCs w:val="22"/>
                <w:lang w:val="en-US" w:eastAsia="en-US" w:bidi="ar-SA"/>
              </w:rPr>
              <w:t xml:space="preserve">Value</w:t>
            </w:r>
          </w:p>
        </w:tc>
      </w:tr>
      <w:tr>
        <w:trPr/>
        <w:tc>
          <w:tcPr>
            <w:tcW w:w="4896" w:type="dxa"/>
            <w:tcBorders/>
            <w:tcMar>
              <w:left w:w="120" w:type="dxa"/>
              <w:top w:w="100" w:type="dxa"/>
              <w:right w:w="120" w:type="dxa"/>
              <w:bottom w:w="100" w:type="dxa"/>
            </w:tcMar>
          </w:tcPr>
          <w:p>
            <w:pPr>
              <w:pStyle w:val="Normal"/>
              <w:widowControl w:val="true"/>
              <w:spacing w:after="120" w:before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 xml:space="preserve">R1–R2 transit</w:t>
            </w:r>
          </w:p>
        </w:tc>
        <w:tc>
          <w:tcPr>
            <w:tcW w:w="4896" w:type="dxa"/>
            <w:tcBorders/>
            <w:tcMar>
              <w:left w:w="120" w:type="dxa"/>
              <w:top w:w="100" w:type="dxa"/>
              <w:right w:w="120" w:type="dxa"/>
              <w:bottom w:w="100" w:type="dxa"/>
            </w:tcMar>
          </w:tcPr>
          <w:p>
            <w:pPr>
              <w:pStyle w:val="Normal"/>
              <w:widowControl w:val="true"/>
              <w:spacing w:after="120" w:before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 xml:space="preserve">10.0.12.0/30 — R1 .1, R2 .2</w:t>
            </w:r>
          </w:p>
        </w:tc>
      </w:tr>
      <w:tr>
        <w:trPr/>
        <w:tc>
          <w:tcPr>
            <w:tcW w:w="4896" w:type="dxa"/>
            <w:tcBorders/>
            <w:shd w:val="clear" w:fill="f2f4f7"/>
            <w:tcMar>
              <w:left w:w="120" w:type="dxa"/>
              <w:top w:w="100" w:type="dxa"/>
              <w:right w:w="120" w:type="dxa"/>
              <w:bottom w:w="100" w:type="dxa"/>
            </w:tcMar>
          </w:tcPr>
          <w:p>
            <w:pPr>
              <w:pStyle w:val="Normal"/>
              <w:widowControl w:val="true"/>
              <w:spacing w:after="120" w:before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 xml:space="preserve">R1 loopback</w:t>
            </w:r>
          </w:p>
        </w:tc>
        <w:tc>
          <w:tcPr>
            <w:tcW w:w="4896" w:type="dxa"/>
            <w:tcBorders/>
            <w:shd w:val="clear" w:fill="f2f4f7"/>
            <w:tcMar>
              <w:left w:w="120" w:type="dxa"/>
              <w:top w:w="100" w:type="dxa"/>
              <w:right w:w="120" w:type="dxa"/>
              <w:bottom w:w="100" w:type="dxa"/>
            </w:tcMar>
          </w:tcPr>
          <w:p>
            <w:pPr>
              <w:pStyle w:val="Normal"/>
              <w:widowControl w:val="true"/>
              <w:spacing w:after="120" w:before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 xml:space="preserve">10.255.0.1/32</w:t>
            </w:r>
          </w:p>
        </w:tc>
      </w:tr>
      <w:tr>
        <w:trPr/>
        <w:tc>
          <w:tcPr>
            <w:tcW w:w="4896" w:type="dxa"/>
            <w:tcBorders/>
            <w:tcMar>
              <w:left w:w="120" w:type="dxa"/>
              <w:top w:w="100" w:type="dxa"/>
              <w:right w:w="120" w:type="dxa"/>
              <w:bottom w:w="100" w:type="dxa"/>
            </w:tcMar>
          </w:tcPr>
          <w:p>
            <w:pPr>
              <w:pStyle w:val="Normal"/>
              <w:widowControl w:val="true"/>
              <w:spacing w:after="120" w:before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 xml:space="preserve">R2 loopback</w:t>
            </w:r>
          </w:p>
        </w:tc>
        <w:tc>
          <w:tcPr>
            <w:tcW w:w="4896" w:type="dxa"/>
            <w:tcBorders/>
            <w:tcMar>
              <w:left w:w="120" w:type="dxa"/>
              <w:top w:w="100" w:type="dxa"/>
              <w:right w:w="120" w:type="dxa"/>
              <w:bottom w:w="100" w:type="dxa"/>
            </w:tcMar>
          </w:tcPr>
          <w:p>
            <w:pPr>
              <w:pStyle w:val="Normal"/>
              <w:widowControl w:val="true"/>
              <w:spacing w:after="120" w:before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 xml:space="preserve">10.255.0.2/32</w:t>
            </w:r>
          </w:p>
        </w:tc>
      </w:tr>
      <w:tr>
        <w:trPr/>
        <w:tc>
          <w:tcPr>
            <w:tcW w:w="4896" w:type="dxa"/>
            <w:tcBorders/>
            <w:shd w:val="clear" w:fill="f2f4f7"/>
            <w:tcMar>
              <w:left w:w="120" w:type="dxa"/>
              <w:top w:w="100" w:type="dxa"/>
              <w:right w:w="120" w:type="dxa"/>
              <w:bottom w:w="100" w:type="dxa"/>
            </w:tcMar>
          </w:tcPr>
          <w:p>
            <w:pPr>
              <w:pStyle w:val="Normal"/>
              <w:widowControl w:val="true"/>
              <w:spacing w:after="120" w:before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 xml:space="preserve">Client LAN</w:t>
            </w:r>
          </w:p>
        </w:tc>
        <w:tc>
          <w:tcPr>
            <w:tcW w:w="4896" w:type="dxa"/>
            <w:tcBorders/>
            <w:shd w:val="clear" w:fill="f2f4f7"/>
            <w:tcMar>
              <w:left w:w="120" w:type="dxa"/>
              <w:top w:w="100" w:type="dxa"/>
              <w:right w:w="120" w:type="dxa"/>
              <w:bottom w:w="100" w:type="dxa"/>
            </w:tcMar>
          </w:tcPr>
          <w:p>
            <w:pPr>
              <w:pStyle w:val="Normal"/>
              <w:widowControl w:val="true"/>
              <w:spacing w:after="120" w:before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 xml:space="preserve">192.168.10.0/24 — R1 .1</w:t>
            </w:r>
          </w:p>
        </w:tc>
      </w:tr>
      <w:tr>
        <w:trPr/>
        <w:tc>
          <w:tcPr>
            <w:tcW w:w="4896" w:type="dxa"/>
            <w:tcBorders/>
            <w:tcMar>
              <w:left w:w="120" w:type="dxa"/>
              <w:top w:w="100" w:type="dxa"/>
              <w:right w:w="120" w:type="dxa"/>
              <w:bottom w:w="100" w:type="dxa"/>
            </w:tcMar>
          </w:tcPr>
          <w:p>
            <w:pPr>
              <w:pStyle w:val="Normal"/>
              <w:widowControl w:val="true"/>
              <w:spacing w:after="120" w:before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 xml:space="preserve">Login</w:t>
            </w:r>
          </w:p>
        </w:tc>
        <w:tc>
          <w:tcPr>
            <w:tcW w:w="4896" w:type="dxa"/>
            <w:tcBorders/>
            <w:tcMar>
              <w:left w:w="120" w:type="dxa"/>
              <w:top w:w="100" w:type="dxa"/>
              <w:right w:w="120" w:type="dxa"/>
              <w:bottom w:w="100" w:type="dxa"/>
            </w:tcMar>
          </w:tcPr>
          <w:p>
            <w:pPr>
              <w:pStyle w:val="Normal"/>
              <w:widowControl w:val="true"/>
              <w:spacing w:after="120" w:before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 xml:space="preserve">admin / admin@123</w:t>
            </w:r>
          </w:p>
        </w:tc>
      </w:tr>
    </w:tbl>
    <w:p>
      <w:pPr>
        <w:pStyle w:val="Heading2"/>
        <w:keepNext w:val="true"/>
        <w:rPr/>
      </w:pPr>
      <w:r>
        <w:t xml:space="preserve">Operating method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Read the task requirement before opening the configuration steps.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Capture pre-check evidence before making a change.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Use show | compare and commit check before activation.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Verify the service, not only the configuration database.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Use commit comments and preserve rollback evidence.</w:t>
      </w:r>
    </w:p>
    <w:p>
      <w:pPr>
        <w:pStyle w:val="Heading1"/>
        <w:keepNext w:val="true"/>
        <w:pageBreakBefore w:val="false"/>
        <w:rPr/>
      </w:pPr>
      <w:r>
        <w:t xml:space="preserve">Task 0 — Baseline and corrected reachability</w:t>
      </w:r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d9eaf7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Deploy the topology, confirm that the startup configuration is active, and establish a known-good data-plane baseline.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Task requirements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Deploy all nodes with a clean state.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Confirm R1, R2, and client1 are running.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Verify client reachability to both transit and loopback addresses.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Correct and persist the route to R2 loopback if using the earlier LAB-001 package.</w:t>
      </w:r>
    </w:p>
    <w:p>
      <w:pPr>
        <w:pStyle w:val="Heading2"/>
        <w:keepNext w:val="true"/>
        <w:rPr/>
      </w:pPr>
      <w:r>
        <w:t xml:space="preserve">Step-by-step guide</w:t>
      </w:r>
    </w:p>
    <w:p>
      <w:pPr>
        <w:pStyle w:val="ListNumber"/>
        <w:numPr>
          <w:ilvl w:val="0"/>
          <w:numId w:val="4"/>
        </w:numPr>
        <w:ind w:hanging="259" w:left="403"/>
        <w:rPr/>
      </w:pPr>
      <w:r>
        <w:t xml:space="preserve">Destroy the previous lab state and deploy the topology again.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containerlab destroy -t lab001.clab.yml --cleanup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containerlab deploy -t lab001.clab.yml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docker logs -f r1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ListNumber"/>
        <w:numPr>
          <w:ilvl w:val="0"/>
          <w:numId w:val="4"/>
        </w:numPr>
        <w:ind w:hanging="259" w:left="403"/>
        <w:rPr/>
      </w:pPr>
      <w:r>
        <w:t xml:space="preserve">Wait for Junos startup, then run the baseline verification.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chmod +x scripts/verify.sh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./scripts/verify.sh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ListNumber"/>
        <w:numPr>
          <w:ilvl w:val="0"/>
          <w:numId w:val="4"/>
        </w:numPr>
        <w:ind w:hanging="259" w:left="403"/>
        <w:rPr/>
      </w:pPr>
      <w:r>
        <w:t xml:space="preserve">If R2 loopback fails, add the missing route on R1.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routing-options static route 10.255.0.2/32 next-hop 10.0.12.2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add route to R2 loopback"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ListNumber"/>
        <w:numPr>
          <w:ilvl w:val="0"/>
          <w:numId w:val="4"/>
        </w:numPr>
        <w:ind w:hanging="259" w:left="403"/>
        <w:rPr/>
      </w:pPr>
      <w:r>
        <w:t xml:space="preserve">Make the fix persistent in configs/r1.conf.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routing-options {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    static {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        route 10.255.0.2/32 next-hop 10.0.12.2;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    }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}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Verification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show route 10.255.0.2 exact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ping 10.255.0.2 source 10.255.0.1 count 5</w:t>
            </w:r>
          </w:p>
        </w:tc>
      </w:tr>
    </w:tbl>
    <w:p>
      <w:pPr>
        <w:pStyle w:val="Normal"/>
        <w:spacing w:after="20" w:before="0"/>
        <w:rPr/>
      </w:pP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e2f0d9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Expected result  </w:t>
            </w:r>
            <w:r>
              <w:rPr>
                <w:sz w:val="19"/>
              </w:rPr>
              <w:t xml:space="preserve">R1 installs 10.255.0.2/32 as Static/5 through 10.0.12.2 via ge-0/0/1.0, and verify.sh reports PASS.</w:t>
            </w:r>
          </w:p>
        </w:tc>
      </w:tr>
    </w:tbl>
    <w:p>
      <w:pPr>
        <w:pStyle w:val="Normal"/>
        <w:spacing w:after="20" w:before="0"/>
        <w:rPr/>
      </w:pPr>
      <w:r/>
      <w:r>
        <w:br w:type="page" w:clear="all"/>
      </w:r>
    </w:p>
    <w:p>
      <w:pPr>
        <w:pStyle w:val="Heading1"/>
        <w:keepNext w:val="true"/>
        <w:rPr/>
      </w:pPr>
      <w:r>
        <w:t xml:space="preserve">Task 1 — Candidate versus active configuration</w:t>
      </w:r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d9eaf7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Distinguish uncommitted candidate changes from the active committed configuration.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Task requirements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Create uncommitted system-location and interface-description changes.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Compare candidate and active views.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Discard the candidate safely without changing the active configuration.</w:t>
      </w:r>
    </w:p>
    <w:p>
      <w:pPr>
        <w:pStyle w:val="Heading2"/>
        <w:keepNext w:val="true"/>
        <w:rPr/>
      </w:pPr>
      <w:r>
        <w:t xml:space="preserve">Step-by-step guide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building JNCIE-LAB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floor LAB-001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interfaces ge-0/0/1 description SP-CORE-LINK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configuration system location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configuration interfaces ge-0/0/1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rollback 0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</w:p>
        </w:tc>
      </w:tr>
    </w:tbl>
    <w:p>
      <w:pPr>
        <w:pStyle w:val="Normal"/>
        <w:spacing w:after="20" w:before="0"/>
        <w:rPr/>
      </w:pP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d9eaf7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Explanation  </w:t>
            </w:r>
            <w:r>
              <w:rPr>
                <w:color w:val="c9211e"/>
                <w:sz w:val="19"/>
              </w:rPr>
              <w:t xml:space="preserve">show</w:t>
            </w:r>
            <w:r>
              <w:rPr>
                <w:sz w:val="19"/>
              </w:rPr>
              <w:t xml:space="preserve"> in configuration mode reads the candidate. </w:t>
            </w:r>
            <w:r>
              <w:rPr>
                <w:color w:val="c9211e"/>
                <w:sz w:val="19"/>
              </w:rPr>
              <w:t xml:space="preserve">run show</w:t>
            </w:r>
            <w:r>
              <w:rPr>
                <w:sz w:val="19"/>
              </w:rPr>
              <w:t xml:space="preserve"> configuration reads the committed configuration. rollback 0 reloads active configuration into the candidate and discards uncommitted changes.</w:t>
            </w:r>
          </w:p>
        </w:tc>
      </w:tr>
    </w:tbl>
    <w:p>
      <w:pPr>
        <w:pStyle w:val="Normal"/>
        <w:spacing w:after="20" w:before="0"/>
        <w:rPr/>
      </w:pPr>
      <w:r/>
      <w:r>
        <w:br w:type="page" w:clear="all"/>
      </w:r>
    </w:p>
    <w:p>
      <w:pPr>
        <w:pStyle w:val="Heading1"/>
        <w:keepNext w:val="true"/>
        <w:rPr/>
      </w:pPr>
      <w:r>
        <w:t xml:space="preserve">Task 2 — Validation failure and commit check</w:t>
      </w:r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d9eaf7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Observe a deliberate validation failure, correct it, and separate syntax validation from operational verification.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Task requirements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Reference an undefined prefix list and observe commit check failure.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Create the missing object and pass validation.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Commit with an audit-friendly comment.</w:t>
      </w:r>
    </w:p>
    <w:p>
      <w:pPr>
        <w:pStyle w:val="Heading2"/>
        <w:keepNext w:val="true"/>
        <w:rPr/>
      </w:pPr>
      <w:r>
        <w:t xml:space="preserve">Step-by-step guide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policy-options policy-statement LAB001-TEST term 10 from prefix-list LAB001-PREFIXES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policy-options policy-statement LAB001-TEST term 10 then accept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</w:p>
        </w:tc>
      </w:tr>
    </w:tbl>
    <w:p>
      <w:pPr>
        <w:pStyle w:val="Normal"/>
        <w:spacing w:after="20" w:before="0"/>
        <w:rPr/>
      </w:pP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fff2cc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Expected failure  </w:t>
            </w:r>
            <w:r>
              <w:rPr>
                <w:sz w:val="19"/>
              </w:rPr>
              <w:t xml:space="preserve">The policy references LAB001-PREFIXES before that object exists. Record the validation error.</w:t>
            </w:r>
          </w:p>
        </w:tc>
      </w:tr>
    </w:tbl>
    <w:p>
      <w:pPr>
        <w:pStyle w:val="Normal"/>
        <w:spacing w:after="20" w:before="0"/>
        <w:rPr/>
      </w:pP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set policy-options prefix-list LAB001-PREFIXES 192.0.2.0/24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create isolated policy validation example"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system commit</w:t>
            </w:r>
          </w:p>
        </w:tc>
      </w:tr>
    </w:tbl>
    <w:p>
      <w:pPr>
        <w:pStyle w:val="Normal"/>
        <w:spacing w:after="20" w:before="0"/>
        <w:rPr/>
      </w:pP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d9eaf7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Key point  </w:t>
            </w:r>
            <w:r>
              <w:rPr>
                <w:sz w:val="19"/>
              </w:rPr>
              <w:t xml:space="preserve">A successful commit check proves configuration validation only. It does not prove that forwarding or a network service works.</w:t>
            </w:r>
          </w:p>
        </w:tc>
      </w:tr>
    </w:tbl>
    <w:p>
      <w:pPr>
        <w:pStyle w:val="Normal"/>
        <w:spacing w:after="20" w:before="0"/>
        <w:rPr/>
      </w:pPr>
      <w:r/>
      <w:r>
        <w:br w:type="page" w:clear="all"/>
      </w:r>
    </w:p>
    <w:p>
      <w:pPr>
        <w:pStyle w:val="Heading1"/>
        <w:keepNext w:val="true"/>
        <w:rPr/>
      </w:pPr>
      <w:r>
        <w:t xml:space="preserve">Task 3 — Automatic rollback with commit confirmed</w:t>
      </w:r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d9eaf7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Activate a temporary change, allow one automatic rollback, and permanently confirm a second verified attempt.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Task requirements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Perform one confirmed commit without confirmation and observe rollback.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Repeat the change and confirm it before the timer expires.</w:t>
      </w:r>
    </w:p>
    <w:p>
      <w:pPr>
        <w:pStyle w:val="Heading2"/>
        <w:keepNext w:val="true"/>
        <w:rPr/>
      </w:pPr>
      <w:r>
        <w:t xml:space="preserve">Attempt 1 — allow rollback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rack RACK-01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confirmed 3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system commit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configuration system location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3"/>
        <w:keepNext w:val="true"/>
        <w:rPr/>
      </w:pPr>
      <w:r>
        <w:t xml:space="preserve">After the timeout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run show configuration system location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system commit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Attempt 2 — verify and confirm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rack RACK-01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confirmed 3 comment "LAB-001: temporary rack change"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configuration system location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confirm verified rack change"</w:t>
            </w:r>
          </w:p>
        </w:tc>
      </w:tr>
    </w:tbl>
    <w:p>
      <w:pPr>
        <w:pStyle w:val="Normal"/>
        <w:spacing w:after="20" w:before="0"/>
        <w:rPr/>
      </w:pP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e2f0d9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Expected result  </w:t>
            </w:r>
            <w:r>
              <w:rPr>
                <w:sz w:val="19"/>
              </w:rPr>
              <w:t xml:space="preserve">The first change is automatically reverted. The second remains active because an ordinary commit confirms it before the deadline.</w:t>
            </w:r>
          </w:p>
        </w:tc>
      </w:tr>
    </w:tbl>
    <w:p>
      <w:pPr>
        <w:pStyle w:val="Normal"/>
        <w:spacing w:after="20" w:before="0"/>
        <w:rPr/>
      </w:pPr>
      <w:r/>
      <w:r>
        <w:br w:type="page" w:clear="all"/>
      </w:r>
    </w:p>
    <w:p>
      <w:pPr>
        <w:pStyle w:val="Heading1"/>
        <w:keepNext w:val="true"/>
        <w:rPr/>
      </w:pPr>
      <w:r>
        <w:t xml:space="preserve">Task 4 — Management-loss simulation</w:t>
      </w:r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d9eaf7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Use commit confirmed to recover automatically from a change that breaks client-side reachability.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Task requirements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Record pre-change evidence.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Move R1's client-facing address to the wrong subnet.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Observe loss of reachability and automatic recovery from the console.</w:t>
      </w:r>
    </w:p>
    <w:p>
      <w:pPr>
        <w:pStyle w:val="Heading2"/>
        <w:keepNext w:val="true"/>
        <w:rPr/>
      </w:pPr>
      <w:r>
        <w:t xml:space="preserve">Pre-check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show system users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interfaces ge-0/0/0 terse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route 192.168.10.0/24 exact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system commit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Apply the risky change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delete interfaces ge-0/0/0 unit 0 family inet address 192.168.10.1/24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interfaces ge-0/0/0 unit 0 family inet address 192.168.99.1/24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confirmed 2 comment "LAB-001: management-loss recovery test"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Observe and verify recovery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show system commit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interfaces ge-0/0/0 terse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# After timeout: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configuration interfaces ge-0/0/0</w:t>
            </w:r>
          </w:p>
        </w:tc>
      </w:tr>
    </w:tbl>
    <w:p>
      <w:pPr>
        <w:pStyle w:val="Normal"/>
        <w:spacing w:after="20" w:before="0"/>
        <w:rPr/>
      </w:pP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e2f0d9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Expected result  </w:t>
            </w:r>
            <w:r>
              <w:rPr>
                <w:sz w:val="19"/>
              </w:rPr>
              <w:t xml:space="preserve">192.168.10.1/24 returns automatically and scripts/verify.sh passes again. An ordinary commit would require console access and manual rollback.</w:t>
            </w:r>
          </w:p>
        </w:tc>
      </w:tr>
    </w:tbl>
    <w:p>
      <w:pPr>
        <w:pStyle w:val="Normal"/>
        <w:spacing w:after="20" w:before="0"/>
        <w:rPr/>
      </w:pPr>
      <w:r/>
      <w:r>
        <w:br w:type="page" w:clear="all"/>
      </w:r>
    </w:p>
    <w:p>
      <w:pPr>
        <w:pStyle w:val="Heading1"/>
        <w:keepNext w:val="true"/>
        <w:rPr/>
      </w:pPr>
      <w:r>
        <w:t xml:space="preserve">Task 5 — Manual rollback</w:t>
      </w:r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d9eaf7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Create several committed revisions, inspect rollback history, and restore an earlier revision deliberately.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Task requirements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Create three rack revisions with unique comments.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Load rollback 1 and inspect the candidate diff before committing.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Load rollback 2 for inspection, then return the candidate to active state.</w:t>
      </w:r>
    </w:p>
    <w:p>
      <w:pPr>
        <w:pStyle w:val="Heading2"/>
        <w:keepNext w:val="true"/>
        <w:rPr/>
      </w:pPr>
      <w:r>
        <w:t xml:space="preserve">Step-by-step guide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rack RACK-01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rack revision 1"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rack RACK-02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rack revision 2"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rack RACK-03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rack revision 3"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system commit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rollback 1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restore preceding rack revision"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rollback 2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rollback 0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</w:p>
        </w:tc>
      </w:tr>
    </w:tbl>
    <w:p>
      <w:pPr>
        <w:pStyle w:val="Normal"/>
        <w:spacing w:after="20" w:before="0"/>
        <w:rPr/>
      </w:pP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d9eaf7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Key point  </w:t>
            </w:r>
            <w:r>
              <w:rPr>
                <w:sz w:val="19"/>
              </w:rPr>
              <w:t xml:space="preserve">Loading a rollback changes only the candidate. It becomes active only after commit. rollback 0 represents the current active committed configuration.</w:t>
            </w:r>
          </w:p>
        </w:tc>
      </w:tr>
    </w:tbl>
    <w:p>
      <w:pPr>
        <w:pStyle w:val="Normal"/>
        <w:spacing w:after="20" w:before="0"/>
        <w:rPr/>
      </w:pPr>
      <w:r/>
      <w:r>
        <w:br w:type="page" w:clear="all"/>
      </w:r>
    </w:p>
    <w:p>
      <w:pPr>
        <w:pStyle w:val="Heading1"/>
        <w:keepNext w:val="true"/>
        <w:rPr/>
      </w:pPr>
      <w:r>
        <w:t xml:space="preserve">Task 6 — Rescue configuration</w:t>
      </w:r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d9eaf7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Save a known-good checkpoint and restore it after an intentional bad change.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Task requirements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Save the current configuration as rescue.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Commit an intentional bad rack value.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Load rescue, inspect the diff, validate, and commit the restoration.</w:t>
      </w:r>
    </w:p>
    <w:p>
      <w:pPr>
        <w:pStyle w:val="Heading2"/>
        <w:keepNext w:val="true"/>
        <w:rPr/>
      </w:pPr>
      <w:r>
        <w:t xml:space="preserve">Save the rescue configuration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request system configuration rescue save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system configuration rescue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Create and restore an intentional bad value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rack WRONG-RACK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intentional rescue test"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rollback rescue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restore known-good rescue configuration"</w:t>
            </w:r>
          </w:p>
        </w:tc>
      </w:tr>
    </w:tbl>
    <w:p>
      <w:pPr>
        <w:pStyle w:val="Normal"/>
        <w:spacing w:after="20" w:before="0"/>
        <w:rPr/>
      </w:pP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fff2cc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Caution  </w:t>
            </w:r>
            <w:r>
              <w:rPr>
                <w:sz w:val="19"/>
              </w:rPr>
              <w:t xml:space="preserve">A stale rescue configuration can remove legitimate changes made after it was saved. Always inspect show | compare before committing a rescue restoration.</w:t>
            </w:r>
          </w:p>
        </w:tc>
      </w:tr>
    </w:tbl>
    <w:p>
      <w:pPr>
        <w:pStyle w:val="Normal"/>
        <w:spacing w:after="20" w:before="0"/>
        <w:rPr/>
      </w:pPr>
      <w:r/>
      <w:r>
        <w:br w:type="page" w:clear="all"/>
      </w:r>
    </w:p>
    <w:p>
      <w:pPr>
        <w:pStyle w:val="Heading1"/>
        <w:keepNext w:val="true"/>
        <w:rPr/>
      </w:pPr>
      <w:r>
        <w:t xml:space="preserve">Task 7 — Concurrent configuration sessions</w:t>
      </w:r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d9eaf7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Compare shared, exclusive, and private configuration modes, including lock and merge behavior.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Task requirements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Demonstrate shared-candidate visibility between two sessions.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Acquire and release an exclusive lock.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Commit non-overlapping private changes, then test an overlapping change.</w:t>
      </w:r>
    </w:p>
    <w:p>
      <w:pPr>
        <w:pStyle w:val="Heading2"/>
        <w:keepNext w:val="true"/>
        <w:rPr/>
      </w:pPr>
      <w:r>
        <w:t xml:space="preserve">Shared candidate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# Session A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building SHARED-A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# Session B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# Cleanup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rollback 0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exit</w:t>
            </w:r>
          </w:p>
        </w:tc>
      </w:tr>
    </w:tbl>
    <w:p>
      <w:pPr>
        <w:pStyle w:val="Normal"/>
        <w:spacing w:after="20" w:before="0"/>
        <w:rPr/>
      </w:pP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e2f0d9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Expected behavior  </w:t>
            </w:r>
            <w:r>
              <w:rPr>
                <w:sz w:val="19"/>
              </w:rPr>
              <w:t xml:space="preserve">Session B sees session A's uncommitted change because both use the shared candidate.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Exclusive candidate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# Session A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 exclusive</w:t>
            </w:r>
            <w:r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# Session B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# Session A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system users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exit</w:t>
            </w:r>
          </w:p>
        </w:tc>
      </w:tr>
    </w:tbl>
    <w:p>
      <w:pPr>
        <w:pStyle w:val="Normal"/>
        <w:spacing w:after="20" w:before="0"/>
        <w:rPr/>
      </w:pP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e2f0d9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Expected behavior  </w:t>
            </w:r>
            <w:r>
              <w:rPr>
                <w:sz w:val="19"/>
              </w:rPr>
              <w:t xml:space="preserve">Session B receives a configuration lock error until session A exits exclusive mode.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2"/>
        <w:keepNext w:val="true"/>
        <w:rPr/>
      </w:pPr>
      <w:r>
        <w:t xml:space="preserve">Private candidates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# Session A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 private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building PRIVATE-A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private session A"</w:t>
            </w:r>
            <w:r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# Session B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 private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floor PRIVATE-B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private session B"</w:t>
            </w:r>
          </w:p>
        </w:tc>
      </w:tr>
    </w:tbl>
    <w:p>
      <w:pPr>
        <w:pStyle w:val="Normal"/>
        <w:spacing w:after="20" w:before="0"/>
        <w:rPr/>
      </w:pP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Look w:val="04A0" w:firstRow="1" w:lastRow="0" w:firstColumn="1" w:lastColumn="0" w:noHBand="0" w:noVBand="1"/>
        <w:tblLayout w:type="fixed"/>
      </w:tblPr>
      <w:tblGrid>
        <w:gridCol w:w="9792"/>
      </w:tblGrid>
      <w:tr>
        <w:trPr/>
        <w:tc>
          <w:tcPr>
            <w:tcW w:w="9792" w:type="dxa"/>
            <w:tcBorders/>
            <w:shd w:val="clear" w:fill="fff2cc"/>
          </w:tcPr>
          <w:p>
            <w:pPr>
              <w:pStyle w:val="Normal"/>
              <w:widowControl w:val="true"/>
              <w:bidi w:val="false"/>
              <w:spacing w:after="120" w:before="0" w:line="259" w:lineRule="auto"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Conflict test  </w:t>
            </w:r>
            <w:r>
              <w:rPr>
                <w:sz w:val="19"/>
              </w:rPr>
              <w:t xml:space="preserve">Repeat with both sessions changing system location rack. Commit session A first, then inspect show | compare and commit check in session B. Record whether Junos merges or rejects the overlapping change.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1"/>
        <w:keepNext w:val="true"/>
        <w:rPr/>
      </w:pPr>
      <w:r>
        <w:t xml:space="preserve">Final assessment workflow</w:t>
      </w:r>
    </w:p>
    <w:p>
      <w:pPr>
        <w:pStyle w:val="Normal"/>
        <w:rPr/>
      </w:pPr>
      <w:r>
        <w:t xml:space="preserve">Execute this without relying on the preceding steps. The goal is to demonstrate a production-style change workflow end to end.</w:t>
      </w:r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Look w:val="04A0" w:firstRow="1" w:lastRow="0" w:firstColumn="1" w:lastColumn="0" w:noHBand="0" w:noVBand="1"/>
        <w:tblLayout w:type="fixed"/>
      </w:tblPr>
      <w:tblGrid>
        <w:gridCol w:w="9014"/>
      </w:tblGrid>
      <w:tr>
        <w:trPr/>
        <w:tc>
          <w:tcPr>
            <w:tcW w:w="9014" w:type="dxa"/>
            <w:tcBorders/>
            <w:shd w:val="clear" w:fill="f6f8fa"/>
          </w:tcPr>
          <w:p>
            <w:pPr>
              <w:pStyle w:val="Normal"/>
              <w:spacing w:after="0" w:before="0" w:line="240" w:lineRule="auto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show interfaces ge-0/0/1 extensive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route 10.0.12.0/30 exact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ping 10.0.12.2 rapid count 5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 exclusive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interfaces ge-0/0/1 description PROD-CORE-R1-R2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confirmed 3 comment "LAB-001: change R1-R2 link description"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interfaces ge-0/0/1 descriptions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ping 10.0.12.2 rapid count 5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confirm verified R1-R2 description"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system commit</w:t>
            </w:r>
          </w:p>
        </w:tc>
      </w:tr>
    </w:tbl>
    <w:p>
      <w:pPr>
        <w:pStyle w:val="Normal"/>
        <w:spacing w:after="20" w:before="0"/>
        <w:rPr/>
      </w:pPr>
      <w:r/>
    </w:p>
    <w:p>
      <w:pPr>
        <w:pStyle w:val="Heading1"/>
        <w:keepNext w:val="true"/>
        <w:rPr/>
      </w:pPr>
      <w:r>
        <w:t xml:space="preserve">Mastery checklist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☐ </w:t>
      </w:r>
      <w:r>
        <w:t xml:space="preserve">Candidate versus active configuration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☐ </w:t>
      </w:r>
      <w:r>
        <w:t xml:space="preserve">commit check versus operational verification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☐ </w:t>
      </w:r>
      <w:r>
        <w:t xml:space="preserve">Confirmed commit activation and confirmation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☐ </w:t>
      </w:r>
      <w:r>
        <w:t xml:space="preserve">Automatic rollback after management loss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☐ </w:t>
      </w:r>
      <w:r>
        <w:t xml:space="preserve">rollback 0 and previous revisions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☐ </w:t>
      </w:r>
      <w:r>
        <w:t xml:space="preserve">Rescue configuration lifecycle</w:t>
      </w:r>
    </w:p>
    <w:p>
      <w:pPr>
        <w:pStyle w:val="ListBullet"/>
        <w:numPr>
          <w:ilvl w:val="0"/>
          <w:numId w:val="1"/>
        </w:numPr>
        <w:ind w:hanging="259" w:left="403"/>
        <w:rPr/>
      </w:pPr>
      <w:r>
        <w:t xml:space="preserve">☐ </w:t>
      </w:r>
      <w:r>
        <w:t xml:space="preserve">Shared, exclusive, and private edit sessions</w:t>
      </w:r>
    </w:p>
    <w:p>
      <w:pPr>
        <w:pStyle w:val="ListBullet"/>
        <w:numPr>
          <w:ilvl w:val="0"/>
          <w:numId w:val="1"/>
        </w:numPr>
        <w:spacing w:after="60" w:before="0"/>
        <w:ind w:hanging="259" w:left="403"/>
        <w:contextualSpacing w:val="true"/>
        <w:rPr/>
      </w:pPr>
      <w:r>
        <w:t xml:space="preserve">☐ </w:t>
      </w:r>
      <w:r>
        <w:t xml:space="preserve">Audit comments, evidence collection, and post-checks</w:t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h="15840" w:w="12240"/>
      <w:pgMar w:top="1080" w:right="1224" w:bottom="1008" w:left="1224" w:header="504" w:footer="504" w:gutter="0"/>
      <w:pgNumType w:fmt="decimal"/>
      <w:docGrid w:type="default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Noto Sans CJK SC">
    <w:panose1 w:val="020B0500000000000000"/>
  </w:font>
  <w:font w:name="Lucida Sans">
    <w:panose1 w:val="020B0602030504020204"/>
  </w:font>
  <w:font w:name="Liberation Sans">
    <w:panose1 w:val="020B0604020202020204"/>
  </w:font>
  <w:font w:name="Courier">
    <w:panose1 w:val="02070309020205020404"/>
  </w:font>
  <w:font w:name="ＭＳ ゴシック">
    <w:panose1 w:val="020B0609070205080204"/>
  </w:font>
  <w:font w:name="Liberation Mono">
    <w:panose1 w:val="02070409020205020404"/>
  </w:font>
  <w:font w:name="Aptos Display">
    <w:panose1 w:val="020B0503020202020204"/>
  </w:font>
  <w:font w:name="Calibri">
    <w:panose1 w:val="020F0502020204030204"/>
  </w:font>
  <w:font w:name="Aptos">
    <w:panose1 w:val="020B0503020202020204"/>
  </w:font>
  <w:font w:name="ＭＳ 明朝">
    <w:panose1 w:val="02020503050405090304"/>
  </w:font>
  <w:font w:name="Cambria">
    <w:panose1 w:val="0204050305040603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Footer"/>
      <w:rPr/>
    </w:pP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Footer"/>
      <w:jc w:val="right"/>
      <w:rPr/>
    </w:pPr>
    <w:r>
      <w:rPr>
        <w:color w:val="666666"/>
        <w:sz w:val="16"/>
      </w:rPr>
      <w:t xml:space="preserve">Editable Solution Guide  •  </w:t>
    </w:r>
    <w:r>
      <w:fldChar w:fldCharType="begin"/>
    </w:r>
    <w:r>
      <w:instrText xml:space="preserve"> PAGE </w:instrText>
    </w:r>
    <w:r>
      <w:fldChar w:fldCharType="separate"/>
    </w:r>
    <w:r>
      <w:t xml:space="preserve">11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Footer"/>
      <w:jc w:val="right"/>
      <w:rPr/>
    </w:pPr>
    <w:r>
      <w:rPr>
        <w:color w:val="666666"/>
        <w:sz w:val="16"/>
      </w:rPr>
      <w:t xml:space="preserve">Editable Solution Guide  •  </w:t>
    </w:r>
    <w:r>
      <w:fldChar w:fldCharType="begin"/>
    </w:r>
    <w:r>
      <w:instrText xml:space="preserve"> PAGE </w:instrText>
    </w:r>
    <w:r>
      <w:fldChar w:fldCharType="separate"/>
    </w:r>
    <w:r>
      <w:t xml:space="preserve">11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Header"/>
      <w:rPr/>
    </w:pP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Header"/>
      <w:rPr/>
    </w:pPr>
    <w:r>
      <w:rPr>
        <w:b/>
        <w:color w:val="666666"/>
        <w:sz w:val="16"/>
      </w:rPr>
      <w:t xml:space="preserve">JNCIE-SP ROADMAP  |  LAB-001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Header"/>
      <w:rPr/>
    </w:pPr>
    <w:r>
      <w:rPr>
        <w:b/>
        <w:color w:val="666666"/>
        <w:sz w:val="16"/>
      </w:rPr>
      <w:t xml:space="preserve">JNCIE-SP ROADMAP  |  LAB-001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>
    <w:lvl w:ilvl="0">
      <w:lvlJc w:val="left"/>
      <w:lvlText w:val=""/>
      <w:numFmt w:val="bullet"/>
      <w:pPr>
        <w:tabs>
          <w:tab w:val="num" w:pos="360"/>
        </w:tabs>
        <w:ind w:hanging="360" w:left="360"/>
      </w:pPr>
      <w:rPr>
        <w:rFonts w:hint="default" w:ascii="Symbol" w:hAnsi="Symbol" w:cs="Symbol"/>
      </w:rPr>
      <w:start w:val="1"/>
    </w:lvl>
    <w:lvl w:ilvl="1">
      <w:lvlJc w:val="left"/>
      <w:lvlText w:val="%2."/>
      <w:numFmt w:val="decimal"/>
      <w:pPr>
        <w:tabs>
          <w:tab w:val="num" w:pos="1080"/>
        </w:tabs>
        <w:ind w:hanging="360" w:left="1080"/>
      </w:pPr>
      <w:start w:val="1"/>
    </w:lvl>
    <w:lvl w:ilvl="2">
      <w:lvlJc w:val="left"/>
      <w:lvlText w:val="%3."/>
      <w:numFmt w:val="decimal"/>
      <w:pPr>
        <w:tabs>
          <w:tab w:val="num" w:pos="1440"/>
        </w:tabs>
        <w:ind w:hanging="360" w:left="1440"/>
      </w:pPr>
      <w:start w:val="1"/>
    </w:lvl>
    <w:lvl w:ilvl="3">
      <w:lvlJc w:val="left"/>
      <w:lvlText w:val="%4."/>
      <w:numFmt w:val="decimal"/>
      <w:pPr>
        <w:tabs>
          <w:tab w:val="num" w:pos="1800"/>
        </w:tabs>
        <w:ind w:hanging="360" w:left="1800"/>
      </w:pPr>
      <w:start w:val="1"/>
    </w:lvl>
    <w:lvl w:ilvl="4">
      <w:lvlJc w:val="left"/>
      <w:lvlText w:val="%5."/>
      <w:numFmt w:val="decimal"/>
      <w:pPr>
        <w:tabs>
          <w:tab w:val="num" w:pos="2160"/>
        </w:tabs>
        <w:ind w:hanging="360" w:left="2160"/>
      </w:pPr>
      <w:start w:val="1"/>
    </w:lvl>
    <w:lvl w:ilvl="5">
      <w:lvlJc w:val="left"/>
      <w:lvlText w:val="%6."/>
      <w:numFmt w:val="decimal"/>
      <w:pPr>
        <w:tabs>
          <w:tab w:val="num" w:pos="2520"/>
        </w:tabs>
        <w:ind w:hanging="360" w:left="2520"/>
      </w:pPr>
      <w:start w:val="1"/>
    </w:lvl>
    <w:lvl w:ilvl="6">
      <w:lvlJc w:val="left"/>
      <w:lvlText w:val="%7."/>
      <w:numFmt w:val="decimal"/>
      <w:pPr>
        <w:tabs>
          <w:tab w:val="num" w:pos="2880"/>
        </w:tabs>
        <w:ind w:hanging="360" w:left="2880"/>
      </w:pPr>
      <w:start w:val="1"/>
    </w:lvl>
    <w:lvl w:ilvl="7">
      <w:lvlJc w:val="left"/>
      <w:lvlText w:val="%8."/>
      <w:numFmt w:val="decimal"/>
      <w:pPr>
        <w:tabs>
          <w:tab w:val="num" w:pos="3240"/>
        </w:tabs>
        <w:ind w:hanging="360" w:left="3240"/>
      </w:pPr>
      <w:start w:val="1"/>
    </w:lvl>
    <w:lvl w:ilvl="8">
      <w:lvlJc w:val="left"/>
      <w:lvlText w:val="%9."/>
      <w:numFmt w:val="decimal"/>
      <w:pPr>
        <w:tabs>
          <w:tab w:val="num" w:pos="3600"/>
        </w:tabs>
        <w:ind w:hanging="360" w:left="3600"/>
      </w:pPr>
      <w:start w:val="1"/>
    </w:lvl>
  </w:abstractNum>
  <w:abstractNum w:abstractNumId="2">
    <w:lvl w:ilvl="0">
      <w:lvlJc w:val="left"/>
      <w:lvlText w:val=""/>
      <w:numFmt w:val="bullet"/>
      <w:pPr>
        <w:tabs>
          <w:tab w:val="num" w:pos="720"/>
        </w:tabs>
        <w:ind w:hanging="360" w:left="720"/>
      </w:pPr>
      <w:rPr>
        <w:rFonts w:hint="default" w:ascii="Symbol" w:hAnsi="Symbol" w:cs="Symbol"/>
      </w:rPr>
      <w:start w:val="1"/>
    </w:lvl>
    <w:lvl w:ilvl="1">
      <w:lvlJc w:val="left"/>
      <w:lvlText w:val="%2."/>
      <w:numFmt w:val="decimal"/>
      <w:pPr>
        <w:tabs>
          <w:tab w:val="num" w:pos="1080"/>
        </w:tabs>
        <w:ind w:hanging="360" w:left="1080"/>
      </w:pPr>
      <w:start w:val="1"/>
    </w:lvl>
    <w:lvl w:ilvl="2">
      <w:lvlJc w:val="left"/>
      <w:lvlText w:val="%3."/>
      <w:numFmt w:val="decimal"/>
      <w:pPr>
        <w:tabs>
          <w:tab w:val="num" w:pos="1440"/>
        </w:tabs>
        <w:ind w:hanging="360" w:left="1440"/>
      </w:pPr>
      <w:start w:val="1"/>
    </w:lvl>
    <w:lvl w:ilvl="3">
      <w:lvlJc w:val="left"/>
      <w:lvlText w:val="%4."/>
      <w:numFmt w:val="decimal"/>
      <w:pPr>
        <w:tabs>
          <w:tab w:val="num" w:pos="1800"/>
        </w:tabs>
        <w:ind w:hanging="360" w:left="1800"/>
      </w:pPr>
      <w:start w:val="1"/>
    </w:lvl>
    <w:lvl w:ilvl="4">
      <w:lvlJc w:val="left"/>
      <w:lvlText w:val="%5."/>
      <w:numFmt w:val="decimal"/>
      <w:pPr>
        <w:tabs>
          <w:tab w:val="num" w:pos="2160"/>
        </w:tabs>
        <w:ind w:hanging="360" w:left="2160"/>
      </w:pPr>
      <w:start w:val="1"/>
    </w:lvl>
    <w:lvl w:ilvl="5">
      <w:lvlJc w:val="left"/>
      <w:lvlText w:val="%6."/>
      <w:numFmt w:val="decimal"/>
      <w:pPr>
        <w:tabs>
          <w:tab w:val="num" w:pos="2520"/>
        </w:tabs>
        <w:ind w:hanging="360" w:left="2520"/>
      </w:pPr>
      <w:start w:val="1"/>
    </w:lvl>
    <w:lvl w:ilvl="6">
      <w:lvlJc w:val="left"/>
      <w:lvlText w:val="%7."/>
      <w:numFmt w:val="decimal"/>
      <w:pPr>
        <w:tabs>
          <w:tab w:val="num" w:pos="2880"/>
        </w:tabs>
        <w:ind w:hanging="360" w:left="2880"/>
      </w:pPr>
      <w:start w:val="1"/>
    </w:lvl>
    <w:lvl w:ilvl="7">
      <w:lvlJc w:val="left"/>
      <w:lvlText w:val="%8."/>
      <w:numFmt w:val="decimal"/>
      <w:pPr>
        <w:tabs>
          <w:tab w:val="num" w:pos="3240"/>
        </w:tabs>
        <w:ind w:hanging="360" w:left="3240"/>
      </w:pPr>
      <w:start w:val="1"/>
    </w:lvl>
    <w:lvl w:ilvl="8">
      <w:lvlJc w:val="left"/>
      <w:lvlText w:val="%9."/>
      <w:numFmt w:val="decimal"/>
      <w:pPr>
        <w:tabs>
          <w:tab w:val="num" w:pos="3600"/>
        </w:tabs>
        <w:ind w:hanging="360" w:left="3600"/>
      </w:pPr>
      <w:start w:val="1"/>
    </w:lvl>
  </w:abstractNum>
  <w:abstractNum w:abstractNumId="3">
    <w:lvl w:ilvl="0">
      <w:lvlJc w:val="left"/>
      <w:lvlText w:val=""/>
      <w:numFmt w:val="bullet"/>
      <w:pPr>
        <w:tabs>
          <w:tab w:val="num" w:pos="1080"/>
        </w:tabs>
        <w:ind w:hanging="360" w:left="1080"/>
      </w:pPr>
      <w:rPr>
        <w:rFonts w:hint="default" w:ascii="Symbol" w:hAnsi="Symbol" w:cs="Symbol"/>
      </w:rPr>
      <w:start w:val="1"/>
    </w:lvl>
    <w:lvl w:ilvl="1">
      <w:lvlJc w:val="left"/>
      <w:lvlText w:val="%2."/>
      <w:numFmt w:val="decimal"/>
      <w:pPr>
        <w:tabs>
          <w:tab w:val="num" w:pos="1080"/>
        </w:tabs>
        <w:ind w:hanging="360" w:left="1080"/>
      </w:pPr>
      <w:start w:val="1"/>
    </w:lvl>
    <w:lvl w:ilvl="2">
      <w:lvlJc w:val="left"/>
      <w:lvlText w:val="%3."/>
      <w:numFmt w:val="decimal"/>
      <w:pPr>
        <w:tabs>
          <w:tab w:val="num" w:pos="1440"/>
        </w:tabs>
        <w:ind w:hanging="360" w:left="1440"/>
      </w:pPr>
      <w:start w:val="1"/>
    </w:lvl>
    <w:lvl w:ilvl="3">
      <w:lvlJc w:val="left"/>
      <w:lvlText w:val="%4."/>
      <w:numFmt w:val="decimal"/>
      <w:pPr>
        <w:tabs>
          <w:tab w:val="num" w:pos="1800"/>
        </w:tabs>
        <w:ind w:hanging="360" w:left="1800"/>
      </w:pPr>
      <w:start w:val="1"/>
    </w:lvl>
    <w:lvl w:ilvl="4">
      <w:lvlJc w:val="left"/>
      <w:lvlText w:val="%5."/>
      <w:numFmt w:val="decimal"/>
      <w:pPr>
        <w:tabs>
          <w:tab w:val="num" w:pos="2160"/>
        </w:tabs>
        <w:ind w:hanging="360" w:left="2160"/>
      </w:pPr>
      <w:start w:val="1"/>
    </w:lvl>
    <w:lvl w:ilvl="5">
      <w:lvlJc w:val="left"/>
      <w:lvlText w:val="%6."/>
      <w:numFmt w:val="decimal"/>
      <w:pPr>
        <w:tabs>
          <w:tab w:val="num" w:pos="2520"/>
        </w:tabs>
        <w:ind w:hanging="360" w:left="2520"/>
      </w:pPr>
      <w:start w:val="1"/>
    </w:lvl>
    <w:lvl w:ilvl="6">
      <w:lvlJc w:val="left"/>
      <w:lvlText w:val="%7."/>
      <w:numFmt w:val="decimal"/>
      <w:pPr>
        <w:tabs>
          <w:tab w:val="num" w:pos="2880"/>
        </w:tabs>
        <w:ind w:hanging="360" w:left="2880"/>
      </w:pPr>
      <w:start w:val="1"/>
    </w:lvl>
    <w:lvl w:ilvl="7">
      <w:lvlJc w:val="left"/>
      <w:lvlText w:val="%8."/>
      <w:numFmt w:val="decimal"/>
      <w:pPr>
        <w:tabs>
          <w:tab w:val="num" w:pos="3240"/>
        </w:tabs>
        <w:ind w:hanging="360" w:left="3240"/>
      </w:pPr>
      <w:start w:val="1"/>
    </w:lvl>
    <w:lvl w:ilvl="8">
      <w:lvlJc w:val="left"/>
      <w:lvlText w:val="%9."/>
      <w:numFmt w:val="decimal"/>
      <w:pPr>
        <w:tabs>
          <w:tab w:val="num" w:pos="3600"/>
        </w:tabs>
        <w:ind w:hanging="360" w:left="3600"/>
      </w:pPr>
      <w:start w:val="1"/>
    </w:lvl>
  </w:abstractNum>
  <w:abstractNum w:abstractNumId="4">
    <w:lvl w:ilvl="0">
      <w:lvlJc w:val="left"/>
      <w:lvlText w:val="%1."/>
      <w:numFmt w:val="decimal"/>
      <w:pPr>
        <w:tabs>
          <w:tab w:val="num" w:pos="360"/>
        </w:tabs>
        <w:ind w:hanging="360" w:left="360"/>
      </w:pPr>
      <w:rPr/>
      <w:start w:val="1"/>
    </w:lvl>
    <w:lvl w:ilvl="1">
      <w:lvlJc w:val="left"/>
      <w:lvlText w:val="%2."/>
      <w:numFmt w:val="decimal"/>
      <w:pPr>
        <w:tabs>
          <w:tab w:val="num" w:pos="1080"/>
        </w:tabs>
        <w:ind w:hanging="360" w:left="1080"/>
      </w:pPr>
      <w:start w:val="1"/>
    </w:lvl>
    <w:lvl w:ilvl="2">
      <w:lvlJc w:val="left"/>
      <w:lvlText w:val="%3."/>
      <w:numFmt w:val="decimal"/>
      <w:pPr>
        <w:tabs>
          <w:tab w:val="num" w:pos="1440"/>
        </w:tabs>
        <w:ind w:hanging="360" w:left="1440"/>
      </w:pPr>
      <w:start w:val="1"/>
    </w:lvl>
    <w:lvl w:ilvl="3">
      <w:lvlJc w:val="left"/>
      <w:lvlText w:val="%4."/>
      <w:numFmt w:val="decimal"/>
      <w:pPr>
        <w:tabs>
          <w:tab w:val="num" w:pos="1800"/>
        </w:tabs>
        <w:ind w:hanging="360" w:left="1800"/>
      </w:pPr>
      <w:start w:val="1"/>
    </w:lvl>
    <w:lvl w:ilvl="4">
      <w:lvlJc w:val="left"/>
      <w:lvlText w:val="%5."/>
      <w:numFmt w:val="decimal"/>
      <w:pPr>
        <w:tabs>
          <w:tab w:val="num" w:pos="2160"/>
        </w:tabs>
        <w:ind w:hanging="360" w:left="2160"/>
      </w:pPr>
      <w:start w:val="1"/>
    </w:lvl>
    <w:lvl w:ilvl="5">
      <w:lvlJc w:val="left"/>
      <w:lvlText w:val="%6."/>
      <w:numFmt w:val="decimal"/>
      <w:pPr>
        <w:tabs>
          <w:tab w:val="num" w:pos="2520"/>
        </w:tabs>
        <w:ind w:hanging="360" w:left="2520"/>
      </w:pPr>
      <w:start w:val="1"/>
    </w:lvl>
    <w:lvl w:ilvl="6">
      <w:lvlJc w:val="left"/>
      <w:lvlText w:val="%7."/>
      <w:numFmt w:val="decimal"/>
      <w:pPr>
        <w:tabs>
          <w:tab w:val="num" w:pos="2880"/>
        </w:tabs>
        <w:ind w:hanging="360" w:left="2880"/>
      </w:pPr>
      <w:start w:val="1"/>
    </w:lvl>
    <w:lvl w:ilvl="7">
      <w:lvlJc w:val="left"/>
      <w:lvlText w:val="%8."/>
      <w:numFmt w:val="decimal"/>
      <w:pPr>
        <w:tabs>
          <w:tab w:val="num" w:pos="3240"/>
        </w:tabs>
        <w:ind w:hanging="360" w:left="3240"/>
      </w:pPr>
      <w:start w:val="1"/>
    </w:lvl>
    <w:lvl w:ilvl="8">
      <w:lvlJc w:val="left"/>
      <w:lvlText w:val="%9."/>
      <w:numFmt w:val="decimal"/>
      <w:pPr>
        <w:tabs>
          <w:tab w:val="num" w:pos="3600"/>
        </w:tabs>
        <w:ind w:hanging="360" w:left="3600"/>
      </w:pPr>
      <w:start w:val="1"/>
    </w:lvl>
  </w:abstractNum>
  <w:abstractNum w:abstractNumId="5">
    <w:lvl w:ilvl="0">
      <w:lvlJc w:val="left"/>
      <w:lvlText w:val="%1."/>
      <w:numFmt w:val="decimal"/>
      <w:pPr>
        <w:tabs>
          <w:tab w:val="num" w:pos="720"/>
        </w:tabs>
        <w:ind w:hanging="360" w:left="720"/>
      </w:pPr>
      <w:rPr/>
      <w:start w:val="1"/>
    </w:lvl>
    <w:lvl w:ilvl="1">
      <w:lvlJc w:val="left"/>
      <w:lvlText w:val="%2."/>
      <w:numFmt w:val="decimal"/>
      <w:pPr>
        <w:tabs>
          <w:tab w:val="num" w:pos="1080"/>
        </w:tabs>
        <w:ind w:hanging="360" w:left="1080"/>
      </w:pPr>
      <w:start w:val="1"/>
    </w:lvl>
    <w:lvl w:ilvl="2">
      <w:lvlJc w:val="left"/>
      <w:lvlText w:val="%3."/>
      <w:numFmt w:val="decimal"/>
      <w:pPr>
        <w:tabs>
          <w:tab w:val="num" w:pos="1440"/>
        </w:tabs>
        <w:ind w:hanging="360" w:left="1440"/>
      </w:pPr>
      <w:start w:val="1"/>
    </w:lvl>
    <w:lvl w:ilvl="3">
      <w:lvlJc w:val="left"/>
      <w:lvlText w:val="%4."/>
      <w:numFmt w:val="decimal"/>
      <w:pPr>
        <w:tabs>
          <w:tab w:val="num" w:pos="1800"/>
        </w:tabs>
        <w:ind w:hanging="360" w:left="1800"/>
      </w:pPr>
      <w:start w:val="1"/>
    </w:lvl>
    <w:lvl w:ilvl="4">
      <w:lvlJc w:val="left"/>
      <w:lvlText w:val="%5."/>
      <w:numFmt w:val="decimal"/>
      <w:pPr>
        <w:tabs>
          <w:tab w:val="num" w:pos="2160"/>
        </w:tabs>
        <w:ind w:hanging="360" w:left="2160"/>
      </w:pPr>
      <w:start w:val="1"/>
    </w:lvl>
    <w:lvl w:ilvl="5">
      <w:lvlJc w:val="left"/>
      <w:lvlText w:val="%6."/>
      <w:numFmt w:val="decimal"/>
      <w:pPr>
        <w:tabs>
          <w:tab w:val="num" w:pos="2520"/>
        </w:tabs>
        <w:ind w:hanging="360" w:left="2520"/>
      </w:pPr>
      <w:start w:val="1"/>
    </w:lvl>
    <w:lvl w:ilvl="6">
      <w:lvlJc w:val="left"/>
      <w:lvlText w:val="%7."/>
      <w:numFmt w:val="decimal"/>
      <w:pPr>
        <w:tabs>
          <w:tab w:val="num" w:pos="2880"/>
        </w:tabs>
        <w:ind w:hanging="360" w:left="2880"/>
      </w:pPr>
      <w:start w:val="1"/>
    </w:lvl>
    <w:lvl w:ilvl="7">
      <w:lvlJc w:val="left"/>
      <w:lvlText w:val="%8."/>
      <w:numFmt w:val="decimal"/>
      <w:pPr>
        <w:tabs>
          <w:tab w:val="num" w:pos="3240"/>
        </w:tabs>
        <w:ind w:hanging="360" w:left="3240"/>
      </w:pPr>
      <w:start w:val="1"/>
    </w:lvl>
    <w:lvl w:ilvl="8">
      <w:lvlJc w:val="left"/>
      <w:lvlText w:val="%9."/>
      <w:numFmt w:val="decimal"/>
      <w:pPr>
        <w:tabs>
          <w:tab w:val="num" w:pos="3600"/>
        </w:tabs>
        <w:ind w:hanging="360" w:left="3600"/>
      </w:pPr>
      <w:start w:val="1"/>
    </w:lvl>
  </w:abstractNum>
  <w:abstractNum w:abstractNumId="6">
    <w:lvl w:ilvl="0">
      <w:lvlJc w:val="left"/>
      <w:lvlText w:val="%1."/>
      <w:numFmt w:val="decimal"/>
      <w:pPr>
        <w:tabs>
          <w:tab w:val="num" w:pos="1080"/>
        </w:tabs>
        <w:ind w:hanging="360" w:left="1080"/>
      </w:pPr>
      <w:rPr/>
      <w:start w:val="1"/>
    </w:lvl>
    <w:lvl w:ilvl="1">
      <w:lvlJc w:val="left"/>
      <w:lvlText w:val="%2."/>
      <w:numFmt w:val="decimal"/>
      <w:pPr>
        <w:tabs>
          <w:tab w:val="num" w:pos="1080"/>
        </w:tabs>
        <w:ind w:hanging="360" w:left="1080"/>
      </w:pPr>
      <w:start w:val="1"/>
    </w:lvl>
    <w:lvl w:ilvl="2">
      <w:lvlJc w:val="left"/>
      <w:lvlText w:val="%3."/>
      <w:numFmt w:val="decimal"/>
      <w:pPr>
        <w:tabs>
          <w:tab w:val="num" w:pos="1440"/>
        </w:tabs>
        <w:ind w:hanging="360" w:left="1440"/>
      </w:pPr>
      <w:start w:val="1"/>
    </w:lvl>
    <w:lvl w:ilvl="3">
      <w:lvlJc w:val="left"/>
      <w:lvlText w:val="%4."/>
      <w:numFmt w:val="decimal"/>
      <w:pPr>
        <w:tabs>
          <w:tab w:val="num" w:pos="1800"/>
        </w:tabs>
        <w:ind w:hanging="360" w:left="1800"/>
      </w:pPr>
      <w:start w:val="1"/>
    </w:lvl>
    <w:lvl w:ilvl="4">
      <w:lvlJc w:val="left"/>
      <w:lvlText w:val="%5."/>
      <w:numFmt w:val="decimal"/>
      <w:pPr>
        <w:tabs>
          <w:tab w:val="num" w:pos="2160"/>
        </w:tabs>
        <w:ind w:hanging="360" w:left="2160"/>
      </w:pPr>
      <w:start w:val="1"/>
    </w:lvl>
    <w:lvl w:ilvl="5">
      <w:lvlJc w:val="left"/>
      <w:lvlText w:val="%6."/>
      <w:numFmt w:val="decimal"/>
      <w:pPr>
        <w:tabs>
          <w:tab w:val="num" w:pos="2520"/>
        </w:tabs>
        <w:ind w:hanging="360" w:left="2520"/>
      </w:pPr>
      <w:start w:val="1"/>
    </w:lvl>
    <w:lvl w:ilvl="6">
      <w:lvlJc w:val="left"/>
      <w:lvlText w:val="%7."/>
      <w:numFmt w:val="decimal"/>
      <w:pPr>
        <w:tabs>
          <w:tab w:val="num" w:pos="2880"/>
        </w:tabs>
        <w:ind w:hanging="360" w:left="2880"/>
      </w:pPr>
      <w:start w:val="1"/>
    </w:lvl>
    <w:lvl w:ilvl="7">
      <w:lvlJc w:val="left"/>
      <w:lvlText w:val="%8."/>
      <w:numFmt w:val="decimal"/>
      <w:pPr>
        <w:tabs>
          <w:tab w:val="num" w:pos="3240"/>
        </w:tabs>
        <w:ind w:hanging="360" w:left="3240"/>
      </w:pPr>
      <w:start w:val="1"/>
    </w:lvl>
    <w:lvl w:ilvl="8">
      <w:lvlJc w:val="left"/>
      <w:lvlText w:val="%9."/>
      <w:numFmt w:val="decimal"/>
      <w:pPr>
        <w:tabs>
          <w:tab w:val="num" w:pos="3600"/>
        </w:tabs>
        <w:ind w:hanging="360" w:left="3600"/>
      </w:pPr>
      <w:start w:val="1"/>
    </w:lvl>
  </w:abstractNum>
  <w:abstractNum w:abstractNumId="7">
    <w:lvl w:ilvl="0">
      <w:lvlJc w:val="left"/>
      <w:lvlText w:val=""/>
      <w:numFmt w:val="none"/>
      <w:pPr>
        <w:tabs>
          <w:tab w:val="num" w:pos="0"/>
        </w:tabs>
        <w:ind w:firstLine="0" w:left="0"/>
      </w:pPr>
      <w:start w:val="1"/>
      <w:suff w:val="nothing"/>
    </w:lvl>
    <w:lvl w:ilvl="1">
      <w:lvlJc w:val="left"/>
      <w:lvlText w:val=""/>
      <w:numFmt w:val="none"/>
      <w:pPr>
        <w:tabs>
          <w:tab w:val="num" w:pos="0"/>
        </w:tabs>
        <w:ind w:firstLine="0" w:left="0"/>
      </w:pPr>
      <w:start w:val="1"/>
      <w:suff w:val="nothing"/>
    </w:lvl>
    <w:lvl w:ilvl="2">
      <w:lvlJc w:val="left"/>
      <w:lvlText w:val=""/>
      <w:numFmt w:val="none"/>
      <w:pPr>
        <w:tabs>
          <w:tab w:val="num" w:pos="0"/>
        </w:tabs>
        <w:ind w:firstLine="0" w:left="0"/>
      </w:pPr>
      <w:start w:val="1"/>
      <w:suff w:val="nothing"/>
    </w:lvl>
    <w:lvl w:ilvl="3">
      <w:lvlJc w:val="left"/>
      <w:lvlText w:val=""/>
      <w:numFmt w:val="none"/>
      <w:pPr>
        <w:tabs>
          <w:tab w:val="num" w:pos="0"/>
        </w:tabs>
        <w:ind w:firstLine="0" w:left="0"/>
      </w:pPr>
      <w:start w:val="1"/>
      <w:suff w:val="nothing"/>
    </w:lvl>
    <w:lvl w:ilvl="4">
      <w:lvlJc w:val="left"/>
      <w:lvlText w:val=""/>
      <w:numFmt w:val="none"/>
      <w:pPr>
        <w:tabs>
          <w:tab w:val="num" w:pos="0"/>
        </w:tabs>
        <w:ind w:firstLine="0" w:left="0"/>
      </w:pPr>
      <w:start w:val="1"/>
      <w:suff w:val="nothing"/>
    </w:lvl>
    <w:lvl w:ilvl="5">
      <w:lvlJc w:val="left"/>
      <w:lvlText w:val=""/>
      <w:numFmt w:val="none"/>
      <w:pPr>
        <w:tabs>
          <w:tab w:val="num" w:pos="0"/>
        </w:tabs>
        <w:ind w:firstLine="0" w:left="0"/>
      </w:pPr>
      <w:start w:val="1"/>
      <w:suff w:val="nothing"/>
    </w:lvl>
    <w:lvl w:ilvl="6">
      <w:lvlJc w:val="left"/>
      <w:lvlText w:val=""/>
      <w:numFmt w:val="none"/>
      <w:pPr>
        <w:tabs>
          <w:tab w:val="num" w:pos="0"/>
        </w:tabs>
        <w:ind w:firstLine="0" w:left="0"/>
      </w:pPr>
      <w:start w:val="1"/>
      <w:suff w:val="nothing"/>
    </w:lvl>
    <w:lvl w:ilvl="7">
      <w:lvlJc w:val="left"/>
      <w:lvlText w:val=""/>
      <w:numFmt w:val="none"/>
      <w:pPr>
        <w:tabs>
          <w:tab w:val="num" w:pos="0"/>
        </w:tabs>
        <w:ind w:firstLine="0" w:left="0"/>
      </w:pPr>
      <w:start w:val="1"/>
      <w:suff w:val="nothing"/>
    </w:lvl>
    <w:lvl w:ilvl="8">
      <w:lvlJc w:val="left"/>
      <w:lvlText w:val=""/>
      <w:numFmt w:val="none"/>
      <w:pPr>
        <w:tabs>
          <w:tab w:val="num" w:pos="0"/>
        </w:tabs>
        <w:ind w:firstLine="0" w:left="0"/>
      </w:pPr>
      <w:start w:val="1"/>
      <w:suff w:val="nothing"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autoHyphenation w:val="true"/>
  <w:hyphenationZone w:val="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hAnsi="Cambria" w:eastAsia="ＭＳ 明朝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 w:val="true"/>
      <w:bidi w:val="false"/>
      <w:spacing w:after="120" w:before="0" w:line="259" w:lineRule="auto"/>
      <w:jc w:val="left"/>
    </w:pPr>
    <w:rPr>
      <w:rFonts w:ascii="Aptos" w:hAnsi="Aptos" w:eastAsia="ＭＳ 明朝"/>
      <w:color w:val="20252a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 w:val="true"/>
      <w:spacing w:after="140" w:before="280"/>
      <w:outlineLvl w:val="0"/>
    </w:pPr>
    <w:rPr>
      <w:rFonts w:ascii="Calibri" w:hAnsi="Calibri" w:eastAsia="ＭＳ ゴシック" w:asciiTheme="majorHAnsi" w:hAnsiTheme="majorHAnsi" w:eastAsiaTheme="majorEastAsia" w:cstheme="majorBid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 w:val="true"/>
      <w:spacing w:after="100" w:before="200"/>
      <w:outlineLvl w:val="1"/>
    </w:pPr>
    <w:rPr>
      <w:rFonts w:ascii="Calibri" w:hAnsi="Calibri" w:eastAsia="ＭＳ ゴシック" w:asciiTheme="majorHAnsi" w:hAnsiTheme="majorHAnsi" w:eastAsiaTheme="majorEastAsia" w:cstheme="majorBidi"/>
      <w:b/>
      <w:bCs/>
      <w:color w:val="17365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 w:val="true"/>
      <w:spacing w:after="80" w:before="160"/>
      <w:outlineLvl w:val="2"/>
    </w:pPr>
    <w:rPr>
      <w:rFonts w:ascii="Calibri" w:hAnsi="Calibri" w:eastAsia="ＭＳ ゴシック" w:asciiTheme="majorHAnsi" w:hAnsiTheme="majorHAnsi" w:eastAsiaTheme="majorEastAsia" w:cstheme="majorBidi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 w:val="true"/>
      <w:keepLines w:val="true"/>
      <w:spacing w:after="0" w:before="200"/>
      <w:outlineLvl w:val="3"/>
    </w:pPr>
    <w:rPr>
      <w:rFonts w:ascii="Calibri" w:hAnsi="Calibri" w:eastAsia="ＭＳ ゴシック"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 w:val="true"/>
      <w:keepLines w:val="true"/>
      <w:spacing w:after="0" w:before="200"/>
      <w:outlineLvl w:val="4"/>
    </w:pPr>
    <w:rPr>
      <w:rFonts w:ascii="Calibri" w:hAnsi="Calibri" w:eastAsia="ＭＳ ゴシック"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 w:val="true"/>
      <w:keepLines w:val="true"/>
      <w:spacing w:after="0" w:before="200"/>
      <w:outlineLvl w:val="5"/>
    </w:pPr>
    <w:rPr>
      <w:rFonts w:ascii="Calibri" w:hAnsi="Calibri" w:eastAsia="ＭＳ ゴシック"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 w:val="true"/>
      <w:keepLines w:val="true"/>
      <w:spacing w:after="0" w:before="200"/>
      <w:outlineLvl w:val="6"/>
    </w:pPr>
    <w:rPr>
      <w:rFonts w:ascii="Calibri" w:hAnsi="Calibri" w:eastAsia="ＭＳ ゴシック"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 w:val="true"/>
      <w:keepLines w:val="true"/>
      <w:spacing w:after="0" w:before="200"/>
      <w:outlineLvl w:val="7"/>
    </w:pPr>
    <w:rPr>
      <w:rFonts w:ascii="Calibri" w:hAnsi="Calibri" w:eastAsia="ＭＳ ゴシック"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 w:val="true"/>
      <w:keepLines w:val="true"/>
      <w:spacing w:after="0" w:before="200"/>
      <w:outlineLvl w:val="8"/>
    </w:pPr>
    <w:rPr>
      <w:rFonts w:ascii="Calibri" w:hAnsi="Calibri" w:eastAsia="ＭＳ ゴシック"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</w:style>
  <w:style w:type="character" w:styleId="FooterChar" w:customStyle="1">
    <w:name w:val="Footer Char"/>
    <w:basedOn w:val="DefaultParagraphFont"/>
    <w:link w:val="Footer"/>
    <w:uiPriority w:val="99"/>
    <w:qFormat/>
  </w:style>
  <w:style w:type="character" w:styleId="DefaultParagraphFont" w:default="1">
    <w:name w:val="Default Paragraph Font"/>
    <w:uiPriority w:val="1"/>
    <w:semiHidden/>
    <w:unhideWhenUsed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Calibri" w:hAnsi="Calibri" w:eastAsia="ＭＳ ゴシック"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Calibri" w:hAnsi="Calibri" w:eastAsia="ＭＳ ゴシック"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ascii="Calibri" w:hAnsi="Calibri" w:eastAsia="ＭＳ ゴシック" w:asciiTheme="majorHAnsi" w:hAnsiTheme="majorHAnsi" w:eastAsiaTheme="majorEastAsia" w:cstheme="majorBid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="Calibri" w:hAnsi="Calibri" w:eastAsia="ＭＳ ゴシック"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rFonts w:ascii="Calibri" w:hAnsi="Calibri" w:eastAsia="ＭＳ ゴシック"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</w:style>
  <w:style w:type="character" w:styleId="BodyText2Char" w:customStyle="1">
    <w:name w:val="Body Text 2 Char"/>
    <w:basedOn w:val="DefaultParagraphFont"/>
    <w:link w:val="BodyText2"/>
    <w:uiPriority w:val="99"/>
    <w:qFormat/>
  </w:style>
  <w:style w:type="character" w:styleId="BodyText3Char" w:customStyle="1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Pr>
      <w:rFonts w:ascii="Calibri" w:hAnsi="Calibri" w:eastAsia="ＭＳ ゴシック"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Pr>
      <w:rFonts w:ascii="Calibri" w:hAnsi="Calibri" w:eastAsia="ＭＳ ゴシック"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Pr>
      <w:rFonts w:ascii="Calibri" w:hAnsi="Calibri" w:eastAsia="ＭＳ ゴシック"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Pr>
      <w:rFonts w:ascii="Calibri" w:hAnsi="Calibri" w:eastAsia="ＭＳ ゴシック"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Pr>
      <w:rFonts w:ascii="Calibri" w:hAnsi="Calibri" w:eastAsia="ＭＳ ゴシック"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Pr>
      <w:rFonts w:ascii="Calibri" w:hAnsi="Calibri" w:eastAsia="ＭＳ ゴシック"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after="120" w:before="240"/>
    </w:pPr>
    <w:rPr>
      <w:rFonts w:ascii="Liberation Sans" w:hAnsi="Liberation Sans" w:eastAsia="Noto Sans CJK SC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pPr>
      <w:spacing w:after="120" w:before="0"/>
    </w:pPr>
  </w:style>
  <w:style w:type="paragraph" w:styleId="List">
    <w:name w:val="List"/>
    <w:basedOn w:val="Normal"/>
    <w:uiPriority w:val="99"/>
    <w:unhideWhenUsed/>
    <w:pPr>
      <w:spacing w:after="120" w:before="0"/>
      <w:ind w:hanging="360" w:left="360"/>
      <w:contextualSpacing w:val="true"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Index">
    <w:name w:val="Index"/>
    <w:basedOn w:val="Normal"/>
    <w:qFormat/>
    <w:pPr>
      <w:suppressLineNumbers w:val="true"/>
    </w:pPr>
    <w:rPr>
      <w:rFonts w:cs="Lucida Sans"/>
    </w:rPr>
  </w:style>
  <w:style w:type="paragraph" w:styleId="HeaderandFooter">
    <w:name w:val="Header and Footer"/>
    <w:basedOn w:val="Normal"/>
    <w:qFormat/>
    <w:p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</w:style>
  <w:style w:type="paragraph" w:styleId="NoSpacing">
    <w:name w:val="No Spacing"/>
    <w:uiPriority w:val="1"/>
    <w:qFormat/>
    <w:pPr>
      <w:widowControl w:val="true"/>
      <w:bidi w:val="false"/>
      <w:spacing w:after="0" w:before="0" w:line="240" w:lineRule="auto"/>
      <w:jc w:val="left"/>
    </w:pPr>
    <w:rPr>
      <w:rFonts w:ascii="Cambria" w:hAnsi="Cambria" w:eastAsia="ＭＳ 明朝"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color="4f81bd" w:themeColor="accent1" w:sz="8" w:space="4"/>
      </w:pBdr>
      <w:spacing w:after="300" w:before="0" w:line="240" w:lineRule="auto"/>
      <w:contextualSpacing w:val="true"/>
    </w:pPr>
    <w:rPr>
      <w:rFonts w:ascii="Calibri" w:hAnsi="Calibri" w:eastAsia="ＭＳ ゴシック"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rFonts w:ascii="Calibri" w:hAnsi="Calibri" w:eastAsia="ＭＳ ゴシック"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after="120" w:before="0"/>
      <w:ind w:left="720"/>
      <w:contextualSpacing w:val="true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before="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 w:before="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pPr>
      <w:spacing w:after="120" w:before="0"/>
      <w:ind w:hanging="360" w:left="720"/>
      <w:contextualSpacing w:val="true"/>
    </w:pPr>
  </w:style>
  <w:style w:type="paragraph" w:styleId="List3">
    <w:name w:val="List 3"/>
    <w:basedOn w:val="Normal"/>
    <w:uiPriority w:val="99"/>
    <w:unhideWhenUsed/>
    <w:qFormat/>
    <w:pPr>
      <w:spacing w:after="120" w:before="0"/>
      <w:ind w:hanging="360" w:left="1080"/>
      <w:contextualSpacing w:val="true"/>
    </w:pPr>
  </w:style>
  <w:style w:type="paragraph" w:styleId="ListBullet">
    <w:name w:val="List Bullet"/>
    <w:basedOn w:val="Normal"/>
    <w:uiPriority w:val="99"/>
    <w:unhideWhenUsed/>
    <w:pPr>
      <w:numPr>
        <w:ilvl w:val="0"/>
        <w:numId w:val="1"/>
      </w:numPr>
      <w:spacing w:after="60" w:before="0"/>
      <w:ind w:hanging="259" w:left="403"/>
      <w:contextualSpacing w:val="true"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pPr>
      <w:numPr>
        <w:ilvl w:val="0"/>
        <w:numId w:val="2"/>
      </w:numPr>
      <w:spacing w:after="120" w:before="0"/>
      <w:contextualSpacing w:val="true"/>
    </w:pPr>
  </w:style>
  <w:style w:type="paragraph" w:styleId="ListBullet3">
    <w:name w:val="List Bullet 3"/>
    <w:basedOn w:val="Normal"/>
    <w:uiPriority w:val="99"/>
    <w:unhideWhenUsed/>
    <w:pPr>
      <w:numPr>
        <w:ilvl w:val="0"/>
        <w:numId w:val="3"/>
      </w:numPr>
      <w:spacing w:after="120" w:before="0"/>
      <w:contextualSpacing w:val="true"/>
    </w:pPr>
  </w:style>
  <w:style w:type="paragraph" w:styleId="ListNumber">
    <w:name w:val="List Number"/>
    <w:basedOn w:val="Normal"/>
    <w:uiPriority w:val="99"/>
    <w:unhideWhenUsed/>
    <w:pPr>
      <w:numPr>
        <w:ilvl w:val="0"/>
        <w:numId w:val="4"/>
      </w:numPr>
      <w:spacing w:after="60" w:before="0"/>
      <w:ind w:hanging="259" w:left="403"/>
      <w:contextualSpacing w:val="true"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pPr>
      <w:numPr>
        <w:ilvl w:val="0"/>
        <w:numId w:val="5"/>
      </w:numPr>
      <w:spacing w:after="120" w:before="0"/>
      <w:contextualSpacing w:val="true"/>
    </w:pPr>
  </w:style>
  <w:style w:type="paragraph" w:styleId="ListNumber3">
    <w:name w:val="List Number 3"/>
    <w:basedOn w:val="Normal"/>
    <w:uiPriority w:val="99"/>
    <w:unhideWhenUsed/>
    <w:pPr>
      <w:numPr>
        <w:ilvl w:val="0"/>
        <w:numId w:val="6"/>
      </w:numPr>
      <w:spacing w:after="120" w:before="0"/>
      <w:contextualSpacing w:val="true"/>
    </w:pPr>
  </w:style>
  <w:style w:type="paragraph" w:styleId="ListContinue">
    <w:name w:val="List Continue"/>
    <w:basedOn w:val="Normal"/>
    <w:uiPriority w:val="99"/>
    <w:unhideWhenUsed/>
    <w:pPr>
      <w:spacing w:after="120" w:before="0"/>
      <w:ind w:left="360"/>
      <w:contextualSpacing w:val="true"/>
    </w:pPr>
  </w:style>
  <w:style w:type="paragraph" w:styleId="ListContinue2">
    <w:name w:val="List Continue 2"/>
    <w:basedOn w:val="Normal"/>
    <w:uiPriority w:val="99"/>
    <w:unhideWhenUsed/>
    <w:pPr>
      <w:spacing w:after="120" w:before="0"/>
      <w:ind w:left="720"/>
      <w:contextualSpacing w:val="true"/>
    </w:pPr>
  </w:style>
  <w:style w:type="paragraph" w:styleId="ListContinue3">
    <w:name w:val="List Continue 3"/>
    <w:basedOn w:val="Normal"/>
    <w:uiPriority w:val="99"/>
    <w:unhideWhenUsed/>
    <w:pPr>
      <w:spacing w:after="120" w:before="0"/>
      <w:ind w:left="1080"/>
      <w:contextualSpacing w:val="true"/>
    </w:pPr>
  </w:style>
  <w:style w:type="paragraph" w:styleId="MacroText">
    <w:name w:val="macro"/>
    <w:link w:val="MacroTextChar"/>
    <w:uiPriority w:val="99"/>
    <w:unhideWhenUsed/>
    <w:qFormat/>
    <w:pPr>
      <w:widowControl w:val="true"/>
      <w:tabs>
        <w:tab w:val="clear" w:pos="720"/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bidi w:val="false"/>
      <w:spacing w:after="200" w:before="0" w:line="276" w:lineRule="auto"/>
      <w:jc w:val="left"/>
    </w:pPr>
    <w:rPr>
      <w:rFonts w:ascii="Courier" w:hAnsi="Courier" w:eastAsia="ＭＳ 明朝" w:eastAsiaTheme="minorEastAsia" w:cstheme="minorBidi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pPr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numbering" w:styleId="NoList" w:default="1">
    <w:name w:val="No List"/>
    <w:uiPriority w:val="99"/>
    <w:semiHidden/>
    <w:unhideWhenUsed/>
    <w:qFormat/>
  </w:style>
  <w:style w:type="table" w:styleId="TableNormal" w:default="1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b/>
        <w:bCs/>
      </w:rPr>
      <w:pPr>
        <w:spacing w:after="0" w:before="0" w:line="240" w:lineRule="auto"/>
      </w:p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b/>
        <w:bCs/>
      </w:rPr>
      <w:pPr>
        <w:spacing w:after="0" w:before="0" w:line="240" w:lineRule="auto"/>
      </w:p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b/>
        <w:bCs/>
      </w:rPr>
      <w:pPr>
        <w:spacing w:after="0" w:before="0" w:line="240" w:lineRule="auto"/>
      </w:p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b/>
        <w:bCs/>
      </w:rPr>
      <w:pPr>
        <w:spacing w:after="0" w:before="0" w:line="240" w:lineRule="auto"/>
      </w:p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b/>
        <w:bCs/>
      </w:rPr>
      <w:pPr>
        <w:spacing w:after="0" w:before="0" w:line="240" w:lineRule="auto"/>
      </w:p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b/>
        <w:bCs/>
      </w:rPr>
      <w:pPr>
        <w:spacing w:after="0" w:before="0" w:line="240" w:lineRule="auto"/>
      </w:p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b/>
        <w:bCs/>
      </w:rPr>
      <w:pPr>
        <w:spacing w:after="0" w:before="0" w:line="240" w:lineRule="auto"/>
      </w:p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shd w:val="clear" w:color="auto" w:fill="000000" w:themeFill="text1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shd w:val="clear" w:color="auto" w:fill="4f81bd" w:themeFill="accent1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shd w:val="clear" w:color="auto" w:fill="c0504d" w:themeFill="accent2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shd w:val="clear" w:color="auto" w:fill="9bbb59" w:themeFill="accent3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shd w:val="clear" w:color="auto" w:fill="8064a2" w:themeFill="accent4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shd w:val="clear" w:color="auto" w:fill="4bacc6" w:themeFill="accent5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shd w:val="clear" w:color="auto" w:fill="f79646" w:themeFill="accent6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spacing w:after="0" w:before="0" w:line="240" w:lineRule="auto"/>
      </w:p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0c0c0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2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1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pPr>
        <w:spacing w:after="0" w:before="0" w:line="240" w:lineRule="auto"/>
      </w:pPr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4d0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auto" w:sz="18" w:space="0"/>
        <w:bottom w:val="single" w:color="auto" w:sz="1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cPr>
        <w:shd w:val="clear" w:color="auto" w:fill="d8d8d8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auto" w:sz="18" w:space="0"/>
        <w:bottom w:val="single" w:color="auto" w:sz="1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cPr>
        <w:shd w:val="clear" w:color="auto" w:fill="d8d8d8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auto" w:sz="18" w:space="0"/>
        <w:bottom w:val="single" w:color="auto" w:sz="1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cPr>
        <w:shd w:val="clear" w:color="auto" w:fill="d8d8d8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auto" w:sz="18" w:space="0"/>
        <w:bottom w:val="single" w:color="auto" w:sz="1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cPr>
        <w:shd w:val="clear" w:color="auto" w:fill="d8d8d8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auto" w:sz="18" w:space="0"/>
        <w:bottom w:val="single" w:color="auto" w:sz="1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cPr>
        <w:shd w:val="clear" w:color="auto" w:fill="d8d8d8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auto" w:sz="18" w:space="0"/>
        <w:bottom w:val="single" w:color="auto" w:sz="1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cPr>
        <w:shd w:val="clear" w:color="auto" w:fill="d8d8d8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auto" w:sz="18" w:space="0"/>
        <w:bottom w:val="single" w:color="auto" w:sz="18" w:space="0"/>
      </w:tblBorders>
    </w:tblPr>
    <w:tblStylePr w:type="firstRow">
      <w:rPr>
        <w:b/>
        <w:bCs/>
        <w:color w:val="ffffff" w:themeColor="background1"/>
      </w:rPr>
      <w:pPr>
        <w:spacing w:after="0" w:before="0" w:line="240" w:lineRule="auto"/>
      </w:p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cPr>
        <w:shd w:val="clear" w:color="auto" w:fill="d8d8d8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c0c0c0" w:themeFill="text1" w:themeFillTint="3F"/>
      </w:tcPr>
    </w:tblStylePr>
    <w:tblStylePr w:type="band1Horz"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2" w:themeFill="accent2" w:themeFillTint="3F"/>
      </w:tcPr>
    </w:tblStylePr>
    <w:tblStylePr w:type="band1Horz"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1" w:themeFill="accent5" w:themeFillTint="3F"/>
      </w:tcPr>
    </w:tblStylePr>
    <w:tblStylePr w:type="band1Horz"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4d0" w:themeFill="accent6" w:themeFillTint="3F"/>
      </w:tcPr>
    </w:tblStylePr>
    <w:tblStylePr w:type="band1Horz"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808080" w:themeFill="text1" w:themeFillTint="7F"/>
      </w:tcPr>
    </w:tblStylePr>
    <w:tblStylePr w:type="band1Horz"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bfde" w:themeFill="accent1" w:themeFillTint="7F"/>
      </w:tcPr>
    </w:tblStylePr>
    <w:tblStylePr w:type="band1Horz"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808080" w:themeFill="text1" w:themeFillTint="7F"/>
      </w:tcPr>
    </w:tblStylePr>
    <w:tblStylePr w:type="band1Horz"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bfde" w:themeFill="accent1" w:themeFillTint="7F"/>
      </w:tcPr>
    </w:tblStylePr>
    <w:tblStylePr w:type="band1Horz"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</w:tcPr>
    </w:tblStylePr>
    <w:tblStylePr w:type="band1Vert">
      <w:tcPr>
        <w:shd w:val="clear" w:color="auto" w:fill="808080" w:themeFill="text1" w:themeFillTint="7F"/>
      </w:tcPr>
    </w:tblStylePr>
    <w:tblStylePr w:type="band1Horz"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cPr>
        <w:shd w:val="clear" w:color="auto" w:fill="365f91" w:themeFill="accent1" w:themeFillShade="BF"/>
      </w:tcPr>
    </w:tblStylePr>
    <w:tblStylePr w:type="band1Vert">
      <w:tcPr>
        <w:shd w:val="clear" w:color="auto" w:fill="a7bfde" w:themeFill="accent1" w:themeFillTint="7F"/>
      </w:tcPr>
    </w:tblStylePr>
    <w:tblStylePr w:type="band1Horz"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cPr>
        <w:shd w:val="clear" w:color="auto" w:fill="9436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cPr>
        <w:shd w:val="clear" w:color="auto" w:fill="e36c0a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header" Target="header1.xml" /><Relationship Id="rId8" Type="http://schemas.openxmlformats.org/officeDocument/2006/relationships/header" Target="header2.xml" /><Relationship Id="rId9" Type="http://schemas.openxmlformats.org/officeDocument/2006/relationships/header" Target="header3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footer" Target="footer3.xml" /><Relationship Id="rId13" Type="http://schemas.openxmlformats.org/officeDocument/2006/relationships/customXml" Target="../customXml/item1.xml" /><Relationship Id="rId14" Type="http://schemas.openxmlformats.org/officeDocument/2006/relationships/image" Target="media/image1.png"/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Arial"/>
        <a:cs typeface="Arial"/>
      </a:majorFont>
      <a:minorFont>
        <a:latin typeface="Cambria" pitchFamily="0" charset="1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1396</Words>
  <Characters>8495</Characters>
  <CharactersWithSpaces>9769</CharactersWithSpaces>
  <Application>ONLYOFFICE/9.4.0.129</Application>
  <Paragraphs>138</Paragraphs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LAB-001 — Safe Junos Configuration Workflow — Solution Guide</dc:title>
  <dc:subject>JNCIE-SP Roadmap editable solution guide</dc:subject>
  <dc:creator>OpenAI</dc:creator>
  <cp:keywords>Junos JNCIE-SP containerlab commit confirmed rollback</cp:keywords>
  <dc:description>generated by python-docx</dc:description>
  <dc:language>en-US</dc:language>
  <cp:lastModifiedBy/>
  <cp:revision>2</cp:revision>
  <dcterms:created xsi:type="dcterms:W3CDTF">2013-12-23T23:15:00Z</dcterms:created>
  <dcterms:modified xsi:type="dcterms:W3CDTF">2026-08-17T14:58:57Z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