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tabs>
          <w:tab w:val="clear" w:pos="8640"/>
        </w:tabs>
        <w:spacing w:line="300" w:lineRule="auto"/>
      </w:pPr>
      <w:r>
        <w:rPr>
          <w:rtl w:val="0"/>
          <w:lang w:val="en-US"/>
        </w:rPr>
        <w:t>Work experience</w:t>
      </w:r>
    </w:p>
    <w:p>
      <w:pPr>
        <w:pStyle w:val="Heading 2"/>
      </w:pPr>
      <w:r>
        <w:rPr>
          <w:rtl w:val="0"/>
        </w:rPr>
        <w:t xml:space="preserve">UniCredit Russia, </w:t>
      </w:r>
      <w:r>
        <w:rPr>
          <w:rtl w:val="0"/>
          <w:lang w:val="en-US"/>
        </w:rPr>
        <w:t xml:space="preserve">head of </w:t>
      </w:r>
      <w:r>
        <w:rPr>
          <w:rtl w:val="0"/>
        </w:rPr>
        <w:t>Mark</w:t>
      </w:r>
      <w:r>
        <w:rPr>
          <w:rtl w:val="0"/>
          <w:lang w:val="en-US"/>
        </w:rPr>
        <w:t xml:space="preserve">et </w:t>
      </w:r>
      <w:r>
        <w:rPr>
          <w:rtl w:val="0"/>
          <w:lang w:val="da-DK"/>
        </w:rPr>
        <w:t>Risk</w:t>
        <w:tab/>
      </w:r>
      <w:r>
        <w:rPr>
          <w:rtl w:val="0"/>
          <w:lang w:val="en-US"/>
        </w:rPr>
        <w:t>September</w:t>
      </w:r>
      <w:r>
        <w:rPr>
          <w:rtl w:val="0"/>
        </w:rPr>
        <w:t xml:space="preserve"> 201</w:t>
      </w:r>
      <w:r>
        <w:rPr>
          <w:rtl w:val="0"/>
          <w:lang w:val="en-US"/>
        </w:rPr>
        <w:t>4</w:t>
      </w:r>
      <w:r>
        <w:rPr>
          <w:rtl w:val="0"/>
        </w:rPr>
        <w:t>–</w:t>
      </w:r>
      <w:r>
        <w:rPr>
          <w:rtl w:val="0"/>
        </w:rPr>
        <w:t>...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Currently lead a team of nine people responsible for market, liquidity, and counterparty credit risk measurement and reporting;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Led the team through several technological transitions;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Discussed and negotiated limits, investment and balance sheet development plans with business units of the Bank and the shareholder (UniCredit Group);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Act as executive secretary for ALCO.</w:t>
      </w:r>
    </w:p>
    <w:p>
      <w:pPr>
        <w:pStyle w:val="Heading 2"/>
      </w:pPr>
      <w:r>
        <w:rPr>
          <w:rtl w:val="0"/>
          <w:lang w:val="en-US"/>
        </w:rPr>
        <w:t>UniCredit Russia, Market Risk, head of section (market analysis and limit control)</w:t>
        <w:tab/>
        <w:t>July 2012</w:t>
      </w:r>
      <w:r>
        <w:rPr>
          <w:rtl w:val="0"/>
        </w:rPr>
        <w:t>–</w:t>
      </w:r>
      <w:r>
        <w:rPr>
          <w:rtl w:val="0"/>
          <w:lang w:val="en-US"/>
        </w:rPr>
        <w:t>august 2014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 xml:space="preserve">Largely in addition to responsibilities in the previous role (below), </w:t>
      </w:r>
      <w:r>
        <w:rPr>
          <w:rtl w:val="0"/>
        </w:rPr>
        <w:t>l</w:t>
      </w:r>
      <w:r>
        <w:rPr>
          <w:rtl w:val="0"/>
        </w:rPr>
        <w:t>ed a team of three people responsible for limit control, market conformity,</w:t>
      </w:r>
      <w:r>
        <w:rPr>
          <w:rtl w:val="0"/>
        </w:rPr>
        <w:t xml:space="preserve"> trading PnL calculation,</w:t>
      </w:r>
      <w:r>
        <w:rPr>
          <w:rtl w:val="0"/>
        </w:rPr>
        <w:t xml:space="preserve"> and other market risk issues in the trading book;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Managed the development and introduction of several new policies and processes in the Bank, including an overhaul of the market conformity verification process, introduction of a derivative sales policy, new product implementation (from market and counterparty credit risk side), &amp;c.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 xml:space="preserve">Developed a regular report on sources of trading result volatility, </w:t>
      </w:r>
      <w:r>
        <w:rPr>
          <w:rtl w:val="0"/>
        </w:rPr>
        <w:t>now actively used within the Bank</w:t>
      </w:r>
      <w:r>
        <w:rPr>
          <w:rtl w:val="0"/>
        </w:rPr>
        <w:t>.</w:t>
      </w:r>
    </w:p>
    <w:p>
      <w:pPr>
        <w:pStyle w:val="Heading 2"/>
        <w:spacing w:line="276" w:lineRule="auto"/>
      </w:pPr>
      <w:r>
        <w:rPr>
          <w:rtl w:val="0"/>
          <w:lang w:val="en-US"/>
        </w:rPr>
        <w:t>UniCredit Russia, Market Risk, Senior Officer</w:t>
        <w:tab/>
      </w:r>
      <w:r>
        <w:rPr>
          <w:rtl w:val="0"/>
          <w:lang w:val="en-US"/>
        </w:rPr>
        <w:t>October</w:t>
      </w:r>
      <w:r>
        <w:rPr>
          <w:rtl w:val="0"/>
        </w:rPr>
        <w:t xml:space="preserve"> 2010</w:t>
      </w:r>
      <w:r>
        <w:rPr>
          <w:rtl w:val="0"/>
        </w:rPr>
        <w:t>–</w:t>
      </w:r>
      <w:r>
        <w:rPr>
          <w:rtl w:val="0"/>
          <w:lang w:val="en-US"/>
        </w:rPr>
        <w:t>July 2012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Re-built the internal system used to calculate profit and loss of the bank</w:t>
      </w:r>
      <w:r>
        <w:rPr>
          <w:rtl w:val="0"/>
        </w:rPr>
        <w:t>’</w:t>
      </w:r>
      <w:r>
        <w:rPr>
          <w:rtl w:val="0"/>
        </w:rPr>
        <w:t>s trading activities (mainly IR derivatives, FX and bonds), fixing multiple errors with total magnitude of millions of dollars;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 xml:space="preserve">Built a system for calculating the spot-equivalent FX position generated by non-FX instruments denominated in foreign currencies, allowing the bank to hedge a previously unaccounted-for </w:t>
      </w:r>
      <w:r>
        <w:rPr>
          <w:rtl w:val="0"/>
        </w:rPr>
        <w:t xml:space="preserve">economic </w:t>
      </w:r>
      <w:r>
        <w:rPr>
          <w:rtl w:val="0"/>
        </w:rPr>
        <w:t>FX position (tens of millions dollars/euros);</w:t>
      </w:r>
    </w:p>
    <w:p>
      <w:pPr>
        <w:pStyle w:val="Small paragraph gap"/>
        <w:numPr>
          <w:ilvl w:val="0"/>
          <w:numId w:val="1"/>
        </w:numPr>
        <w:spacing w:line="300" w:lineRule="auto"/>
        <w:rPr>
          <w:lang w:val="en-US"/>
        </w:rPr>
      </w:pPr>
      <w:r>
        <w:rPr>
          <w:rtl w:val="0"/>
          <w:lang w:val="en-US"/>
        </w:rPr>
        <w:t>Provided daily explanations of P&amp;L movements to traders, supplied regular reports to shareholders and senior management, interacted with controlling, accounting and audit on P&amp;L-related topics, etc.</w:t>
      </w:r>
    </w:p>
    <w:p>
      <w:pPr>
        <w:pStyle w:val="Heading 1"/>
        <w:spacing w:line="276" w:lineRule="auto"/>
      </w:pPr>
      <w:r>
        <w:rPr>
          <w:rtl w:val="0"/>
          <w:lang w:val="en-US"/>
        </w:rPr>
        <w:t>Education</w:t>
      </w:r>
    </w:p>
    <w:p>
      <w:pPr>
        <w:pStyle w:val="Heading 2"/>
      </w:pPr>
      <w:r>
        <w:rPr>
          <w:rtl w:val="0"/>
          <w:lang w:val="en-US"/>
        </w:rPr>
        <w:t xml:space="preserve">New Economic School, MA in Economics </w:t>
        <w:tab/>
        <w:t>2008</w:t>
      </w:r>
      <w:r>
        <w:rPr>
          <w:rtl w:val="0"/>
        </w:rPr>
        <w:t>–</w:t>
      </w:r>
      <w:r>
        <w:rPr>
          <w:rtl w:val="0"/>
        </w:rPr>
        <w:t>2010</w:t>
      </w:r>
    </w:p>
    <w:p>
      <w:pPr>
        <w:pStyle w:val="Body"/>
        <w:spacing w:line="276" w:lineRule="auto"/>
      </w:pPr>
      <w:r>
        <w:rPr>
          <w:rtl w:val="0"/>
          <w:lang w:val="en-US"/>
        </w:rPr>
        <w:t>Specialized in finance and development economics. Graduated with a GPA of 3.9 (out of 5; 4.12 in Finance, 4 in Development Economics).</w:t>
      </w:r>
    </w:p>
    <w:p>
      <w:pPr>
        <w:pStyle w:val="Heading 2"/>
      </w:pPr>
      <w:r>
        <w:rPr>
          <w:rtl w:val="0"/>
          <w:lang w:val="en-US"/>
        </w:rPr>
        <w:t xml:space="preserve">Lomonosov Moscow State University, Mathematics </w:t>
        <w:tab/>
        <w:t>2002</w:t>
      </w:r>
      <w:r>
        <w:rPr>
          <w:rtl w:val="0"/>
        </w:rPr>
        <w:t>–</w:t>
      </w:r>
      <w:r>
        <w:rPr>
          <w:rtl w:val="0"/>
        </w:rPr>
        <w:t>2007</w:t>
      </w:r>
    </w:p>
    <w:p>
      <w:pPr>
        <w:pStyle w:val="Body"/>
        <w:spacing w:line="276" w:lineRule="auto"/>
      </w:pPr>
      <w:r>
        <w:rPr>
          <w:rtl w:val="0"/>
          <w:lang w:val="en-US"/>
        </w:rPr>
        <w:t>Specialized in logic and theoretical computer science. Graduated with a GPA of 4.7.</w:t>
      </w:r>
    </w:p>
    <w:p>
      <w:pPr>
        <w:pStyle w:val="Heading 1"/>
      </w:pPr>
      <w:r>
        <w:rPr>
          <w:rFonts w:cs="Arial Unicode MS" w:eastAsia="Arial Unicode MS"/>
          <w:rtl w:val="0"/>
          <w:lang w:val="en-US"/>
        </w:rPr>
        <w:t>Skills</w:t>
      </w:r>
      <w:r>
        <w:rPr>
          <w:rFonts w:cs="Arial Unicode MS" w:eastAsia="Arial Unicode MS"/>
          <w:rtl w:val="0"/>
          <w:lang w:val="en-US"/>
        </w:rPr>
        <w:t xml:space="preserve"> and certification</w:t>
      </w:r>
    </w:p>
    <w:p>
      <w:pPr>
        <w:pStyle w:val="Body"/>
        <w:spacing w:line="276" w:lineRule="auto"/>
      </w:pPr>
      <w:r>
        <w:rPr>
          <w:rtl w:val="0"/>
          <w:lang w:val="en-US"/>
        </w:rPr>
        <w:t xml:space="preserve">Certified FRM since 2014. </w:t>
      </w:r>
      <w:r>
        <w:rPr>
          <w:rtl w:val="0"/>
          <w:lang w:val="en-US"/>
        </w:rPr>
        <w:t>Passed the Level I CFA exam in 2011, Level II in 2013</w:t>
      </w:r>
      <w:r>
        <w:rPr>
          <w:rtl w:val="0"/>
          <w:lang w:val="en-US"/>
        </w:rPr>
        <w:t>, Level III in 2015.</w:t>
      </w:r>
    </w:p>
    <w:p>
      <w:pPr>
        <w:pStyle w:val="Body"/>
        <w:spacing w:line="276" w:lineRule="auto"/>
      </w:pPr>
      <w:r>
        <w:rPr>
          <w:rtl w:val="0"/>
          <w:lang w:val="en-US"/>
        </w:rPr>
        <w:t>Languages: Russian (native), English (fluent; 111 out of 120 points on the TOEFL IBT exam in 2008).</w:t>
      </w:r>
    </w:p>
    <w:p>
      <w:pPr>
        <w:pStyle w:val="Body"/>
        <w:spacing w:after="60" w:line="276" w:lineRule="auto"/>
      </w:pPr>
      <w:r>
        <w:rPr>
          <w:rtl w:val="0"/>
          <w:lang w:val="en-US"/>
        </w:rPr>
        <w:t>Computer skills: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  <w:lang w:val="de-DE"/>
        </w:rPr>
        <w:t>Misys Kondor+</w:t>
      </w:r>
      <w:r>
        <w:rPr>
          <w:rtl w:val="0"/>
        </w:rPr>
        <w:t xml:space="preserve">, Bloomberg, </w:t>
      </w:r>
      <w:r>
        <w:rPr>
          <w:rtl w:val="0"/>
          <w:lang w:val="de-DE"/>
        </w:rPr>
        <w:t xml:space="preserve">Reuters </w:t>
      </w:r>
      <w:r>
        <w:rPr>
          <w:rtl w:val="0"/>
        </w:rPr>
        <w:t>Eikon/Eikon Excel</w:t>
      </w:r>
      <w:r>
        <w:rPr>
          <w:rtl w:val="0"/>
        </w:rPr>
        <w:t>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SQL, primarily for MS SQL Server (</w:t>
      </w:r>
      <w:r>
        <w:rPr>
          <w:rtl w:val="0"/>
        </w:rPr>
        <w:t xml:space="preserve">including writing complex stored procedures and such; </w:t>
      </w:r>
      <w:r>
        <w:rPr>
          <w:rtl w:val="0"/>
        </w:rPr>
        <w:t>also MS SQL Server Integration Services);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 xml:space="preserve">Statistical and mathematical packages: </w:t>
      </w:r>
      <w:r>
        <w:rPr>
          <w:rtl w:val="0"/>
        </w:rPr>
        <w:t xml:space="preserve">R, </w:t>
      </w:r>
      <w:r>
        <w:rPr>
          <w:rtl w:val="0"/>
        </w:rPr>
        <w:t>Mathematica, Stata;</w:t>
      </w:r>
    </w:p>
    <w:p>
      <w:pPr>
        <w:pStyle w:val="Small paragraph gap"/>
        <w:numPr>
          <w:ilvl w:val="0"/>
          <w:numId w:val="1"/>
        </w:numPr>
      </w:pPr>
      <w:r>
        <w:rPr>
          <w:rtl w:val="0"/>
        </w:rPr>
        <w:t>Programming languages: C, Python</w:t>
      </w:r>
      <w:r>
        <w:rPr>
          <w:rtl w:val="0"/>
        </w:rPr>
        <w:t>, VBA</w:t>
      </w:r>
      <w:r>
        <w:rPr>
          <w:rtl w:val="0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4252" w:right="1134" w:bottom="1843" w:left="2126" w:header="1134" w:footer="113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tab/>
      <w:tab/>
    </w:r>
    <w:r>
      <w:rPr>
        <w:rtl w:val="0"/>
        <w:lang w:val="pt-PT"/>
      </w:rPr>
      <w:t>Page</w:t>
    </w:r>
    <w:r>
      <w:rPr>
        <w:rtl w:val="0"/>
      </w:rPr>
      <w:t xml:space="preserve">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Addres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Address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ing 1"/>
    </w:pPr>
    <w:r>
      <w:rPr/>
      <w:fldChar w:fldCharType="begin" w:fldLock="0"/>
    </w:r>
    <w:r>
      <w:instrText xml:space="preserve"> MERGEFIELD First </w:instrText>
    </w:r>
    <w:r>
      <w:rPr/>
      <w:fldChar w:fldCharType="separate" w:fldLock="0"/>
    </w:r>
    <w:r>
      <w:rPr>
        <w:rFonts w:cs="Arial Unicode MS" w:eastAsia="Arial Unicode MS"/>
        <w:rtl w:val="0"/>
        <w:lang w:val="nl-NL"/>
      </w:rPr>
      <w:t>Alexander</w:t>
    </w:r>
    <w:r>
      <w:rPr/>
      <w:fldChar w:fldCharType="end" w:fldLock="0"/>
    </w:r>
    <w:r>
      <w:rPr>
        <w:rFonts w:cs="Arial Unicode MS" w:eastAsia="Arial Unicode MS"/>
        <w:rtl w:val="0"/>
      </w:rPr>
      <w:t xml:space="preserve"> </w:t>
    </w:r>
    <w:r>
      <w:rPr/>
      <w:fldChar w:fldCharType="begin" w:fldLock="0"/>
    </w:r>
    <w:r>
      <w:instrText xml:space="preserve"> MERGEFIELD Last </w:instrText>
    </w:r>
    <w:r>
      <w:rPr/>
      <w:fldChar w:fldCharType="separate" w:fldLock="0"/>
    </w:r>
    <w:r>
      <w:rPr>
        <w:rFonts w:cs="Arial Unicode MS" w:eastAsia="Arial Unicode MS"/>
        <w:rtl w:val="0"/>
      </w:rPr>
      <w:t>Khodyrev</w:t>
    </w:r>
    <w:r>
      <w:rPr/>
      <w:fldChar w:fldCharType="end" w:fldLock="0"/>
    </w:r>
  </w:p>
  <w:p>
    <w:pPr>
      <w:pStyle w:val="Body"/>
    </w:pPr>
    <w:r>
      <w:rPr>
        <w:rFonts w:cs="Arial Unicode MS" w:eastAsia="Arial Unicode MS"/>
        <w:rtl w:val="0"/>
      </w:rPr>
      <w:t>+7 (916) 837-89-08</w:t>
    </w:r>
    <w:r>
      <w:rPr>
        <w:rFonts w:cs="Arial Unicode MS" w:eastAsia="Arial Unicode MS"/>
        <w:rtl w:val="0"/>
        <w:lang w:val="en-US"/>
      </w:rPr>
      <w:t xml:space="preserve">,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"mailto:a@akho.name"</w:instrText>
    </w:r>
    <w:r>
      <w:rPr>
        <w:rStyle w:val="Hyperlink.0"/>
      </w:rPr>
      <w:fldChar w:fldCharType="separate" w:fldLock="0"/>
    </w:r>
    <w:r>
      <w:rPr>
        <w:rStyle w:val="Hyperlink.0"/>
        <w:rFonts w:cs="Arial Unicode MS" w:eastAsia="Arial Unicode MS"/>
        <w:rtl w:val="0"/>
        <w:lang w:val="en-US"/>
      </w:rPr>
      <w:t>a@akho.name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60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6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2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68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04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40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76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312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488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ddress">
    <w:name w:val="Address"/>
    <w:next w:val="Address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3f3c"/>
      <w:spacing w:val="7"/>
      <w:kern w:val="0"/>
      <w:position w:val="0"/>
      <w:sz w:val="14"/>
      <w:szCs w:val="1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e36a29"/>
      <w:spacing w:val="7"/>
      <w:kern w:val="0"/>
      <w:position w:val="0"/>
      <w:sz w:val="14"/>
      <w:szCs w:val="14"/>
      <w:u w:val="none"/>
      <w:vertAlign w:val="baseline"/>
    </w:rPr>
  </w:style>
  <w:style w:type="paragraph" w:styleId="Heading 1">
    <w:name w:val="Heading 1"/>
    <w:next w:val="Body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e36a29"/>
      <w:spacing w:val="12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13f3c"/>
      <w:spacing w:val="0"/>
      <w:kern w:val="0"/>
      <w:position w:val="0"/>
      <w:sz w:val="16"/>
      <w:szCs w:val="16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413f3c"/>
      <w:spacing w:val="0"/>
      <w:kern w:val="0"/>
      <w:position w:val="0"/>
      <w:sz w:val="14"/>
      <w:szCs w:val="14"/>
      <w:u w:val="none"/>
      <w:vertAlign w:val="baseline"/>
      <w:lang w:val="nl-NL"/>
    </w:rPr>
  </w:style>
  <w:style w:type="paragraph" w:styleId="Small paragraph gap">
    <w:name w:val="Small paragraph gap"/>
    <w:next w:val="Small paragraph ga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13f3c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313131"/>
      </a:dk2>
      <a:lt2>
        <a:srgbClr val="B2B2B2"/>
      </a:lt2>
      <a:accent1>
        <a:srgbClr val="570D72"/>
      </a:accent1>
      <a:accent2>
        <a:srgbClr val="228FD7"/>
      </a:accent2>
      <a:accent3>
        <a:srgbClr val="5EB82B"/>
      </a:accent3>
      <a:accent4>
        <a:srgbClr val="FF0F1B"/>
      </a:accent4>
      <a:accent5>
        <a:srgbClr val="FF992E"/>
      </a:accent5>
      <a:accent6>
        <a:srgbClr val="EDC926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sx="100000" sy="100000" kx="0" ky="0" algn="b" rotWithShape="0" blurRad="63500" dist="63500" dir="5400000">
              <a:srgbClr val="000000">
                <a:alpha val="4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hueOff val="-474196"/>
            <a:satOff val="-7140"/>
            <a:lumOff val="-342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