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PASS24.online — План роста до 10 млн ₽ MRR в 2026</w:t>
      </w:r>
    </w:p>
    <w:p>
      <w:pPr>
        <w:jc w:val="center"/>
      </w:pPr>
      <w:r>
        <w:rPr>
          <w:i/>
        </w:rPr>
        <w:t>Цель: +6 млн ₽ MRR за 2026 (рост новой клиентской базы; upsell текущей базы учитываем как бонус ≤10%)</w:t>
      </w:r>
    </w:p>
    <w:p/>
    <w:p>
      <w:pPr>
        <w:pStyle w:val="Heading1"/>
      </w:pPr>
      <w:r>
        <w:t>1) Исходные данные и допущения</w:t>
      </w:r>
    </w:p>
    <w:p>
      <w:r>
        <w:rPr>
          <w:b/>
        </w:rPr>
        <w:t xml:space="preserve">Текущая база: </w:t>
      </w:r>
      <w:r>
        <w:t xml:space="preserve">219 клиентов, текущий MRR ~4 000 000 ₽. </w:t>
      </w:r>
      <w:r>
        <w:rPr>
          <w:b/>
        </w:rPr>
        <w:t xml:space="preserve">Средний ARPA (MRR на клиента): </w:t>
      </w:r>
      <w:r>
        <w:t>~18 265 ₽/мес (4 000 000 / 219).</w:t>
      </w:r>
    </w:p>
    <w:p>
      <w:r>
        <w:rPr>
          <w:b/>
        </w:rPr>
        <w:t xml:space="preserve">Ключевое ограничение: </w:t>
      </w:r>
      <w:r>
        <w:t>не опираемся на рост MRR за счет повышения тарифа текущей базы (upsell ≤10% как бонус).</w:t>
      </w:r>
    </w:p>
    <w:p>
      <w:r>
        <w:rPr>
          <w:b/>
        </w:rPr>
        <w:t xml:space="preserve">Конверсия: </w:t>
      </w:r>
      <w:r>
        <w:t>фактическая конверсия 'квалифицированный лид → оплата' по наблюдениям ~8–10% (например, 21 квал-лид → ~2 сделки).</w:t>
      </w:r>
    </w:p>
    <w:p>
      <w:r>
        <w:rPr>
          <w:b/>
        </w:rPr>
        <w:t xml:space="preserve">Целевая экономика новых продаж: </w:t>
      </w:r>
      <w:r>
        <w:t>поднимаем средний чек именно у новых клиентов за счет пакетирования (цель ARPA новых сделок ~25 000 ₽/мес).</w:t>
      </w:r>
    </w:p>
    <w:p/>
    <w:p>
      <w:pPr>
        <w:pStyle w:val="Heading1"/>
      </w:pPr>
      <w:r>
        <w:t>2) Стратегия (3 драйвера роста без холодного обзвона)</w:t>
      </w:r>
    </w:p>
    <w:p>
      <w:pPr>
        <w:pStyle w:val="ListBullet"/>
      </w:pPr>
      <w:r>
        <w:rPr>
          <w:b/>
        </w:rPr>
        <w:t>Драйвер A — SEO 2.0 (масштаб квал-лидов)</w:t>
      </w:r>
    </w:p>
    <w:p>
      <w:pPr>
        <w:pStyle w:val="ListBullet2"/>
      </w:pPr>
      <w:r>
        <w:t>Усиление SEO не текстами, а коммерческими страницами: «Интеграции», «Сравнения», FAQ по болям охраны, кейсы и отраслевые/региональные страницы. KPI — квал-лиды, а не трафик.</w:t>
      </w:r>
    </w:p>
    <w:p>
      <w:pPr>
        <w:pStyle w:val="ListBullet"/>
      </w:pPr>
      <w:r>
        <w:rPr>
          <w:b/>
        </w:rPr>
        <w:t>Драйвер B — Партнерский канал (интеграторы/монтажники/УК)</w:t>
      </w:r>
    </w:p>
    <w:p>
      <w:pPr>
        <w:pStyle w:val="ListBullet2"/>
      </w:pPr>
      <w:r>
        <w:t>Сеть партнеров, которые уже имеют поток объектов. Нужны: простая модель вознаграждения, быстрый пресейл, материалы, прозрачный учет лидов. KPI — сделки/мес от партнеров.</w:t>
      </w:r>
    </w:p>
    <w:p>
      <w:pPr>
        <w:pStyle w:val="ListBullet"/>
      </w:pPr>
      <w:r>
        <w:rPr>
          <w:b/>
        </w:rPr>
        <w:t>Драйвер C — Платный поиск + ретаргет (добор горячего спроса)</w:t>
      </w:r>
    </w:p>
    <w:p>
      <w:pPr>
        <w:pStyle w:val="ListBullet2"/>
      </w:pPr>
      <w:r>
        <w:t>Контекст по высокоинтентным запросам и ретаргет на посетителей посадочных/кейсов. KPI — стоимость квал-лида и количество квалов, не общий CPL.</w:t>
      </w:r>
    </w:p>
    <w:p/>
    <w:p>
      <w:pPr>
        <w:pStyle w:val="Heading1"/>
      </w:pPr>
      <w:r>
        <w:t>3) Улучшения процесса продаж (чтобы удержать конверсию 8–10% на масштабе)</w:t>
      </w:r>
    </w:p>
    <w:p>
      <w:pPr>
        <w:pStyle w:val="ListNumber"/>
      </w:pPr>
      <w:r>
        <w:t>SLA скорости реакции: первичный контакт с SEO/контекста в течение 5–15 минут в рабочее время.</w:t>
      </w:r>
    </w:p>
    <w:p>
      <w:pPr>
        <w:pStyle w:val="ListNumber"/>
      </w:pPr>
      <w:r>
        <w:t>Единый стандарт демо (15–20 минут): 3 боли охраны → 3 функции → кейс → расчёт → следующий шаг.</w:t>
      </w:r>
    </w:p>
    <w:p>
      <w:pPr>
        <w:pStyle w:val="ListNumber"/>
      </w:pPr>
      <w:r>
        <w:t>Стандартизация КП: 1-страничное КП + техприложение; 3 пакета; прозрачные доп. опции.</w:t>
      </w:r>
    </w:p>
    <w:p>
      <w:pPr>
        <w:pStyle w:val="ListNumber"/>
      </w:pPr>
      <w:r>
        <w:t>Пресейл/тех-сопровождение сложных сделок (интеграции, нестандартные требования) — чтобы не терять сделки на техблоке.</w:t>
      </w:r>
    </w:p>
    <w:p>
      <w:pPr>
        <w:pStyle w:val="ListNumber"/>
      </w:pPr>
      <w:r>
        <w:t>Отчетность по когорте: квал-лиды месяца → оплаты через 1/2/3 месяца (учет цикла до 3 месяцев).</w:t>
      </w:r>
    </w:p>
    <w:p/>
    <w:p>
      <w:pPr>
        <w:pStyle w:val="Heading1"/>
      </w:pPr>
      <w:r>
        <w:t>4) Динамика роста по месяцам (план 2026)</w:t>
      </w:r>
    </w:p>
    <w:p>
      <w:r>
        <w:t>Таблица ниже — целевой план по квал-лидам и сделкам. Расчет квал-лидов основан на конверсии 8% (квал → оплата). Цель ARPA новых сделок: 25 000 ₽/мес. MRR считается как сделки месяца × ARPA.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Месяц</w:t>
            </w:r>
          </w:p>
        </w:tc>
        <w:tc>
          <w:tcPr>
            <w:tcW w:type="dxa" w:w="1440"/>
          </w:tcPr>
          <w:p>
            <w:r>
              <w:t>Квал-лиды (план)</w:t>
            </w:r>
          </w:p>
        </w:tc>
        <w:tc>
          <w:tcPr>
            <w:tcW w:type="dxa" w:w="1440"/>
          </w:tcPr>
          <w:p>
            <w:r>
              <w:t>Сделки (план)</w:t>
            </w:r>
          </w:p>
        </w:tc>
        <w:tc>
          <w:tcPr>
            <w:tcW w:type="dxa" w:w="1440"/>
          </w:tcPr>
          <w:p>
            <w:r>
              <w:t>Конверсия</w:t>
            </w:r>
          </w:p>
        </w:tc>
        <w:tc>
          <w:tcPr>
            <w:tcW w:type="dxa" w:w="1440"/>
          </w:tcPr>
          <w:p>
            <w:r>
              <w:t>Новый MRR, ₽</w:t>
            </w:r>
          </w:p>
        </w:tc>
        <w:tc>
          <w:tcPr>
            <w:tcW w:type="dxa" w:w="1440"/>
          </w:tcPr>
          <w:p>
            <w:r>
              <w:t>MRR накопит., ₽</w:t>
            </w:r>
          </w:p>
        </w:tc>
      </w:tr>
      <w:tr>
        <w:tc>
          <w:tcPr>
            <w:tcW w:type="dxa" w:w="1440"/>
          </w:tcPr>
          <w:p>
            <w:r>
              <w:t>Jan 2026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150 000</w:t>
            </w:r>
          </w:p>
        </w:tc>
        <w:tc>
          <w:tcPr>
            <w:tcW w:type="dxa" w:w="1440"/>
          </w:tcPr>
          <w:p>
            <w:r>
              <w:t>150 000</w:t>
            </w:r>
          </w:p>
        </w:tc>
      </w:tr>
      <w:tr>
        <w:tc>
          <w:tcPr>
            <w:tcW w:type="dxa" w:w="1440"/>
          </w:tcPr>
          <w:p>
            <w:r>
              <w:t>Feb 2026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200 000</w:t>
            </w:r>
          </w:p>
        </w:tc>
        <w:tc>
          <w:tcPr>
            <w:tcW w:type="dxa" w:w="1440"/>
          </w:tcPr>
          <w:p>
            <w:r>
              <w:t>350 000</w:t>
            </w:r>
          </w:p>
        </w:tc>
      </w:tr>
      <w:tr>
        <w:tc>
          <w:tcPr>
            <w:tcW w:type="dxa" w:w="1440"/>
          </w:tcPr>
          <w:p>
            <w:r>
              <w:t>Mar 2026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250 000</w:t>
            </w:r>
          </w:p>
        </w:tc>
        <w:tc>
          <w:tcPr>
            <w:tcW w:type="dxa" w:w="1440"/>
          </w:tcPr>
          <w:p>
            <w:r>
              <w:t>600 000</w:t>
            </w:r>
          </w:p>
        </w:tc>
      </w:tr>
      <w:tr>
        <w:tc>
          <w:tcPr>
            <w:tcW w:type="dxa" w:w="1440"/>
          </w:tcPr>
          <w:p>
            <w:r>
              <w:t>Apr 2026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400 000</w:t>
            </w:r>
          </w:p>
        </w:tc>
        <w:tc>
          <w:tcPr>
            <w:tcW w:type="dxa" w:w="1440"/>
          </w:tcPr>
          <w:p>
            <w:r>
              <w:t>1 000 000</w:t>
            </w:r>
          </w:p>
        </w:tc>
      </w:tr>
      <w:tr>
        <w:tc>
          <w:tcPr>
            <w:tcW w:type="dxa" w:w="1440"/>
          </w:tcPr>
          <w:p>
            <w:r>
              <w:t>May 2026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500 000</w:t>
            </w:r>
          </w:p>
        </w:tc>
        <w:tc>
          <w:tcPr>
            <w:tcW w:type="dxa" w:w="1440"/>
          </w:tcPr>
          <w:p>
            <w:r>
              <w:t>1 500 000</w:t>
            </w:r>
          </w:p>
        </w:tc>
      </w:tr>
      <w:tr>
        <w:tc>
          <w:tcPr>
            <w:tcW w:type="dxa" w:w="1440"/>
          </w:tcPr>
          <w:p>
            <w:r>
              <w:t>Jun 2026</w:t>
            </w:r>
          </w:p>
        </w:tc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550 000</w:t>
            </w:r>
          </w:p>
        </w:tc>
        <w:tc>
          <w:tcPr>
            <w:tcW w:type="dxa" w:w="1440"/>
          </w:tcPr>
          <w:p>
            <w:r>
              <w:t>2 050 000</w:t>
            </w:r>
          </w:p>
        </w:tc>
      </w:tr>
      <w:tr>
        <w:tc>
          <w:tcPr>
            <w:tcW w:type="dxa" w:w="1440"/>
          </w:tcPr>
          <w:p>
            <w:r>
              <w:t>Jul 2026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600 000</w:t>
            </w:r>
          </w:p>
        </w:tc>
        <w:tc>
          <w:tcPr>
            <w:tcW w:type="dxa" w:w="1440"/>
          </w:tcPr>
          <w:p>
            <w:r>
              <w:t>2 650 000</w:t>
            </w:r>
          </w:p>
        </w:tc>
      </w:tr>
      <w:tr>
        <w:tc>
          <w:tcPr>
            <w:tcW w:type="dxa" w:w="1440"/>
          </w:tcPr>
          <w:p>
            <w:r>
              <w:t>Aug 2026</w:t>
            </w:r>
          </w:p>
        </w:tc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650 000</w:t>
            </w:r>
          </w:p>
        </w:tc>
        <w:tc>
          <w:tcPr>
            <w:tcW w:type="dxa" w:w="1440"/>
          </w:tcPr>
          <w:p>
            <w:r>
              <w:t>3 300 000</w:t>
            </w:r>
          </w:p>
        </w:tc>
      </w:tr>
      <w:tr>
        <w:tc>
          <w:tcPr>
            <w:tcW w:type="dxa" w:w="1440"/>
          </w:tcPr>
          <w:p>
            <w:r>
              <w:t>Sep 2026</w:t>
            </w:r>
          </w:p>
        </w:tc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650 000</w:t>
            </w:r>
          </w:p>
        </w:tc>
        <w:tc>
          <w:tcPr>
            <w:tcW w:type="dxa" w:w="1440"/>
          </w:tcPr>
          <w:p>
            <w:r>
              <w:t>3 950 000</w:t>
            </w:r>
          </w:p>
        </w:tc>
      </w:tr>
      <w:tr>
        <w:tc>
          <w:tcPr>
            <w:tcW w:type="dxa" w:w="1440"/>
          </w:tcPr>
          <w:p>
            <w:r>
              <w:t>Oct 2026</w:t>
            </w:r>
          </w:p>
        </w:tc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650 000</w:t>
            </w:r>
          </w:p>
        </w:tc>
        <w:tc>
          <w:tcPr>
            <w:tcW w:type="dxa" w:w="1440"/>
          </w:tcPr>
          <w:p>
            <w:r>
              <w:t>4 600 000</w:t>
            </w:r>
          </w:p>
        </w:tc>
      </w:tr>
      <w:tr>
        <w:tc>
          <w:tcPr>
            <w:tcW w:type="dxa" w:w="1440"/>
          </w:tcPr>
          <w:p>
            <w:r>
              <w:t>Nov 2026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700 000</w:t>
            </w:r>
          </w:p>
        </w:tc>
        <w:tc>
          <w:tcPr>
            <w:tcW w:type="dxa" w:w="1440"/>
          </w:tcPr>
          <w:p>
            <w:r>
              <w:t>5 300 000</w:t>
            </w:r>
          </w:p>
        </w:tc>
      </w:tr>
      <w:tr>
        <w:tc>
          <w:tcPr>
            <w:tcW w:type="dxa" w:w="1440"/>
          </w:tcPr>
          <w:p>
            <w:r>
              <w:t>Dec 2026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700 000</w:t>
            </w:r>
          </w:p>
        </w:tc>
        <w:tc>
          <w:tcPr>
            <w:tcW w:type="dxa" w:w="1440"/>
          </w:tcPr>
          <w:p>
            <w:r>
              <w:t>6 000 000</w:t>
            </w:r>
          </w:p>
        </w:tc>
      </w:tr>
    </w:tbl>
    <w:p/>
    <w:p>
      <w:pPr>
        <w:pStyle w:val="Heading1"/>
      </w:pPr>
      <w:r>
        <w:t>5) Что именно делаем по каналам (идеи по пунктам)</w:t>
      </w:r>
    </w:p>
    <w:p>
      <w:pPr>
        <w:pStyle w:val="Heading2"/>
      </w:pPr>
      <w:r>
        <w:t>SEO 2.0</w:t>
      </w:r>
    </w:p>
    <w:p>
      <w:pPr>
        <w:pStyle w:val="ListBullet"/>
      </w:pPr>
      <w:r>
        <w:t>Запустить кластер «Интеграции» (каждая интеграция — отдельная посадочная + кейсы/FAQ + схема работ).</w:t>
      </w:r>
    </w:p>
    <w:p>
      <w:pPr>
        <w:pStyle w:val="ListBullet"/>
      </w:pPr>
      <w:r>
        <w:t>Запустить кластер «Сравнение/альтернатива» (высокий интент, высокое качество квалов).</w:t>
      </w:r>
    </w:p>
    <w:p>
      <w:pPr>
        <w:pStyle w:val="ListBullet"/>
      </w:pPr>
      <w:r>
        <w:t>Обновить страницу «Коттеджные поселки» под запросы охраны: исключения, ручной режим, экстренные службы, надежность.</w:t>
      </w:r>
    </w:p>
    <w:p>
      <w:pPr>
        <w:pStyle w:val="ListBullet"/>
      </w:pPr>
      <w:r>
        <w:t>Системно выпускать кейсы: 1 кейс/месяц + короткие видеофрагменты для ретаргета.</w:t>
      </w:r>
    </w:p>
    <w:p>
      <w:pPr>
        <w:pStyle w:val="Heading2"/>
      </w:pPr>
      <w:r>
        <w:t>Партнеры</w:t>
      </w:r>
    </w:p>
    <w:p>
      <w:pPr>
        <w:pStyle w:val="ListBullet"/>
      </w:pPr>
      <w:r>
        <w:t>Модель: фикс за подключение + % от MRR первые N месяцев (простая и понятная).</w:t>
      </w:r>
    </w:p>
    <w:p>
      <w:pPr>
        <w:pStyle w:val="ListBullet"/>
      </w:pPr>
      <w:r>
        <w:t>Партнерский пакет: презентация, 1-страничное КП, калькулятор, FAQ по внедрению.</w:t>
      </w:r>
    </w:p>
    <w:p>
      <w:pPr>
        <w:pStyle w:val="ListBullet"/>
      </w:pPr>
      <w:r>
        <w:t>Процесс: партнер → квалификация → демо (до 48 часов) → КП (до 3 дней) → запуск.</w:t>
      </w:r>
    </w:p>
    <w:p>
      <w:pPr>
        <w:pStyle w:val="ListBullet"/>
      </w:pPr>
      <w:r>
        <w:t>Цель: к концу Q2 — 20 активных партнеров, к концу года — 50 активных.</w:t>
      </w:r>
    </w:p>
    <w:p>
      <w:pPr>
        <w:pStyle w:val="Heading2"/>
      </w:pPr>
      <w:r>
        <w:t>Платный поиск + ретаргет</w:t>
      </w:r>
    </w:p>
    <w:p>
      <w:pPr>
        <w:pStyle w:val="ListBullet"/>
      </w:pPr>
      <w:r>
        <w:t>Отдельные кампании: поселки/пропуска/распознавание/журнал/интеграции.</w:t>
      </w:r>
    </w:p>
    <w:p>
      <w:pPr>
        <w:pStyle w:val="ListBullet"/>
      </w:pPr>
      <w:r>
        <w:t>Оптимизация по квал-лидам (CRM-офлайн конверсии), а не по формам.</w:t>
      </w:r>
    </w:p>
    <w:p>
      <w:pPr>
        <w:pStyle w:val="ListBullet"/>
      </w:pPr>
      <w:r>
        <w:t>Ретаргет на посетителей страниц поселков, интеграций и кейсов.</w:t>
      </w:r>
    </w:p>
    <w:p/>
    <w:p>
      <w:pPr>
        <w:pStyle w:val="Heading1"/>
      </w:pPr>
      <w:r>
        <w:t>6) KPI и контроль</w:t>
      </w:r>
    </w:p>
    <w:p>
      <w:pPr>
        <w:pStyle w:val="ListBullet"/>
      </w:pPr>
      <w:r>
        <w:t>Квал-лиды/мес (по источникам) и их доля в сделках.</w:t>
      </w:r>
    </w:p>
    <w:p>
      <w:pPr>
        <w:pStyle w:val="ListBullet"/>
      </w:pPr>
      <w:r>
        <w:t>Сделки/мес и новый MRR/мес.</w:t>
      </w:r>
    </w:p>
    <w:p>
      <w:pPr>
        <w:pStyle w:val="ListBullet"/>
      </w:pPr>
      <w:r>
        <w:t>Скорость реакции (минуты до первого контакта).</w:t>
      </w:r>
    </w:p>
    <w:p>
      <w:pPr>
        <w:pStyle w:val="ListBullet"/>
      </w:pPr>
      <w:r>
        <w:t>Доля сделок с ARPA ≥ 25 000 ₽ (пакетирование для новых клиентов).</w:t>
      </w:r>
    </w:p>
    <w:p>
      <w:pPr>
        <w:pStyle w:val="ListBullet"/>
      </w:pPr>
      <w:r>
        <w:t>Причины проигрыша (ТОП-5) и влияние интеграций/техблока.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