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Synthetic Dataset Generator for Disaster Resilience Planning</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Infrastructure Service Disruption and Recovery Time After Typhoons/Floods</w:t>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Target users:</w:t>
      </w:r>
      <w:r w:rsidDel="00000000" w:rsidR="00000000" w:rsidRPr="00000000">
        <w:rPr>
          <w:rFonts w:ascii="Times New Roman" w:cs="Times New Roman" w:eastAsia="Times New Roman" w:hAnsi="Times New Roman"/>
          <w:sz w:val="24"/>
          <w:szCs w:val="24"/>
          <w:rtl w:val="0"/>
        </w:rPr>
        <w:t xml:space="preserve"> Resilience Planner / Infrastructure Risk Analyst</w:t>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Context: </w:t>
      </w:r>
      <w:r w:rsidDel="00000000" w:rsidR="00000000" w:rsidRPr="00000000">
        <w:rPr>
          <w:rFonts w:ascii="Times New Roman" w:cs="Times New Roman" w:eastAsia="Times New Roman" w:hAnsi="Times New Roman"/>
          <w:sz w:val="24"/>
          <w:szCs w:val="24"/>
          <w:rtl w:val="0"/>
        </w:rPr>
        <w:t xml:space="preserve">Philippines archipelago, Western North Pacific typhoon basin</w:t>
      </w:r>
    </w:p>
    <w:p w:rsidR="00000000" w:rsidDel="00000000" w:rsidP="00000000" w:rsidRDefault="00000000" w:rsidRPr="00000000" w14:paraId="0000000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Askia Khryss Roxas</w:t>
      </w:r>
    </w:p>
    <w:p w:rsidR="00000000" w:rsidDel="00000000" w:rsidP="00000000" w:rsidRDefault="00000000" w:rsidRPr="00000000" w14:paraId="00000008">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Data Modeling Intern, Eskwelabs</w:t>
      </w:r>
    </w:p>
    <w:p w:rsidR="00000000" w:rsidDel="00000000" w:rsidP="00000000" w:rsidRDefault="00000000" w:rsidRPr="00000000" w14:paraId="00000009">
      <w:pPr>
        <w:jc w:val="center"/>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askia.khryss@gmail.com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Rationale</w:t>
      </w:r>
    </w:p>
    <w:p w:rsidR="00000000" w:rsidDel="00000000" w:rsidP="00000000" w:rsidRDefault="00000000" w:rsidRPr="00000000" w14:paraId="0000000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Philippines loses approximately ₱133.2 billion annually to typhoon-related damages.</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To decide where resilience measures are most needed, it is important to understand how infrastructure systems respond to typhoons. This requires data that captures not only whether a system is disrupted, but also how the disruption affects its recovery. However, existing disruption data are often organised by individual sectors, making it difficult to account for dependencies between infrastructure systems.</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rtl w:val="0"/>
        </w:rPr>
        <w:t xml:space="preserve"> For example, a power outage can affect water pumping stations, while flooded roads can prevent repair personnel from reaching telecommunications facilities. These dependencies mean that the effects of a hazard can extend beyond the infrastructure directly affected, producing cascading disruptions across connected systems that are difficult to represent in single-sector risk models. This dataset generator therefore models infrastructure disruption and recovery across multiple sectors, with interdependencies incorporated into the data. Furthermore, it enables three categories of analysis relevant to policy and planning:</w:t>
      </w:r>
    </w:p>
    <w:tbl>
      <w:tblPr>
        <w:tblStyle w:val="Table1"/>
        <w:tblW w:w="1018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2610"/>
        <w:gridCol w:w="5040"/>
        <w:tblGridChange w:id="0">
          <w:tblGrid>
            <w:gridCol w:w="2535"/>
            <w:gridCol w:w="2610"/>
            <w:gridCol w:w="5040"/>
          </w:tblGrid>
        </w:tblGridChange>
      </w:tblGrid>
      <w:tr>
        <w:trPr>
          <w:cantSplit w:val="0"/>
          <w:tblHeader w:val="0"/>
        </w:trPr>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Analysis type</w:t>
            </w:r>
          </w:p>
        </w:tc>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Policy application</w:t>
            </w:r>
          </w:p>
        </w:tc>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 question</w:t>
            </w:r>
          </w:p>
        </w:tc>
      </w:tr>
      <w:tr>
        <w:trPr>
          <w:cantSplit w:val="0"/>
          <w:tblHeader w:val="0"/>
        </w:trPr>
        <w:tc>
          <w:tcPr>
            <w:tcBorders>
              <w:top w:color="000000" w:space="0" w:sz="12"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Predictive modeling</w:t>
            </w:r>
          </w:p>
        </w:tc>
        <w:tc>
          <w:tcPr>
            <w:tcBorders>
              <w:top w:color="000000" w:space="0" w:sz="12"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Pre-positioning resources</w:t>
            </w:r>
          </w:p>
        </w:tc>
        <w:tc>
          <w:tcPr>
            <w:tcBorders>
              <w:top w:color="000000" w:space="0" w:sz="12"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forecast storm intensity, which municipalities face highest joint power-water failure risk?</w:t>
            </w:r>
          </w:p>
        </w:tc>
      </w:tr>
      <w:tr>
        <w:trPr>
          <w:cantSplit w:val="0"/>
          <w:trHeight w:val="500.976562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Survival analysis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Recovery planning</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health facilities experiencing disruption, what is the median time to service restoration?</w:t>
            </w:r>
          </w:p>
        </w:tc>
      </w:tr>
      <w:tr>
        <w:trPr>
          <w:cantSplit w:val="0"/>
          <w:tblHeader w:val="0"/>
        </w:trPr>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Causal inference</w:t>
            </w:r>
          </w:p>
        </w:tc>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Investment prioritization</w:t>
            </w:r>
          </w:p>
        </w:tc>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observed correlation between infrastructure condition and recovery time reflect a causal effect, or confounding by unmeasured governance capacity?</w:t>
            </w:r>
          </w:p>
        </w:tc>
      </w:tr>
    </w:tbl>
    <w:p w:rsidR="00000000" w:rsidDel="00000000" w:rsidP="00000000" w:rsidRDefault="00000000" w:rsidRPr="00000000" w14:paraId="0000001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Core Concepts and Definitions</w:t>
      </w:r>
    </w:p>
    <w:p w:rsidR="00000000" w:rsidDel="00000000" w:rsidP="00000000" w:rsidRDefault="00000000" w:rsidRPr="00000000" w14:paraId="0000001A">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presenting the model structure, we define key technical terms that appear throughout this document:</w:t>
      </w:r>
    </w:p>
    <w:p w:rsidR="00000000" w:rsidDel="00000000" w:rsidP="00000000" w:rsidRDefault="00000000" w:rsidRPr="00000000" w14:paraId="0000001B">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ind w:left="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2.1 Structural Causal Model (SCM)</w:t>
      </w:r>
    </w:p>
    <w:p w:rsidR="00000000" w:rsidDel="00000000" w:rsidP="00000000" w:rsidRDefault="00000000" w:rsidRPr="00000000" w14:paraId="0000001D">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structural causal model is a formal representation of a data-generating process as a set of equations. Each variable is expressed as a function of its direct causes plus independent noise. Formally, an SCM consists of:</w:t>
      </w:r>
    </w:p>
    <w:p w:rsidR="00000000" w:rsidDel="00000000" w:rsidP="00000000" w:rsidRDefault="00000000" w:rsidRPr="00000000" w14:paraId="0000001E">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set of endogenous variables </w:t>
      </w:r>
      <m:oMath>
        <m:r>
          <w:rPr>
            <w:rFonts w:ascii="Times New Roman" w:cs="Times New Roman" w:eastAsia="Times New Roman" w:hAnsi="Times New Roman"/>
            <w:sz w:val="24"/>
            <w:szCs w:val="24"/>
          </w:rPr>
          <m:t xml:space="preserve">V={</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 . . .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n</m:t>
            </m:r>
          </m:sub>
        </m:sSub>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1F">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set of exogenous (noise) variables </w:t>
      </w:r>
      <m:oMath>
        <m:r>
          <w:rPr>
            <w:rFonts w:ascii="Times New Roman" w:cs="Times New Roman" w:eastAsia="Times New Roman" w:hAnsi="Times New Roman"/>
            <w:sz w:val="24"/>
            <w:szCs w:val="24"/>
          </w:rPr>
          <m:t xml:space="preserve">U={</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U</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 . . .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U</m:t>
            </m:r>
          </m:e>
          <m:sub>
            <m:r>
              <w:rPr>
                <w:rFonts w:ascii="Times New Roman" w:cs="Times New Roman" w:eastAsia="Times New Roman" w:hAnsi="Times New Roman"/>
                <w:sz w:val="24"/>
                <w:szCs w:val="24"/>
              </w:rPr>
              <m:t xml:space="preserve">n</m:t>
            </m:r>
          </m:sub>
        </m:sSub>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20">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set of structural equations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(Pa(</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U</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t xml:space="preserve"> where </w:t>
      </w:r>
      <m:oMath>
        <m:r>
          <w:rPr>
            <w:rFonts w:ascii="Times New Roman" w:cs="Times New Roman" w:eastAsia="Times New Roman" w:hAnsi="Times New Roman"/>
            <w:sz w:val="24"/>
            <w:szCs w:val="24"/>
          </w:rPr>
          <m:t xml:space="preserve">Pa(</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t xml:space="preserve"> denotes the parents (direct causes) of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i</m:t>
            </m:r>
          </m:sub>
        </m:sSub>
      </m:oMath>
      <w:r w:rsidDel="00000000" w:rsidR="00000000" w:rsidRPr="00000000">
        <w:rPr>
          <w:rtl w:val="0"/>
        </w:rPr>
      </w:r>
    </w:p>
    <w:p w:rsidR="00000000" w:rsidDel="00000000" w:rsidP="00000000" w:rsidRDefault="00000000" w:rsidRPr="00000000" w14:paraId="00000021">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SCMs differ from structural equation modeling (SEM), which is a statistical estimation framework for fitting models to observed covariance structures. An SCM specifies how data is generated; SEM is a method for analyzing data that already exists. This generator uses an SCM to produce synthetic data; it does not estimate parameters from real observations. </w:t>
      </w:r>
    </w:p>
    <w:p w:rsidR="00000000" w:rsidDel="00000000" w:rsidP="00000000" w:rsidRDefault="00000000" w:rsidRPr="00000000" w14:paraId="0000002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ind w:left="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2.2 Directed Acyclic Graph (DAG)</w:t>
      </w:r>
    </w:p>
    <w:p w:rsidR="00000000" w:rsidDel="00000000" w:rsidP="00000000" w:rsidRDefault="00000000" w:rsidRPr="00000000" w14:paraId="00000024">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directed acyclic graph is a graphical representation of causal structure where:</w:t>
      </w:r>
    </w:p>
    <w:p w:rsidR="00000000" w:rsidDel="00000000" w:rsidP="00000000" w:rsidRDefault="00000000" w:rsidRPr="00000000" w14:paraId="00000025">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Nodes represent variables</w:t>
      </w:r>
    </w:p>
    <w:p w:rsidR="00000000" w:rsidDel="00000000" w:rsidP="00000000" w:rsidRDefault="00000000" w:rsidRPr="00000000" w14:paraId="00000026">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Directed edges (arrows) represent direct causal effects</w:t>
      </w:r>
    </w:p>
    <w:p w:rsidR="00000000" w:rsidDel="00000000" w:rsidP="00000000" w:rsidRDefault="00000000" w:rsidRPr="00000000" w14:paraId="00000027">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graph contains no cycles (no variable can be its own ancestor, even indirectly)</w:t>
      </w:r>
    </w:p>
    <w:p w:rsidR="00000000" w:rsidDel="00000000" w:rsidP="00000000" w:rsidRDefault="00000000" w:rsidRPr="00000000" w14:paraId="0000002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DAGs encode conditional independence relationships: if all parents of a variable are conditioned on, that variable becomes independent of its non-descendants. This property enables identification of causal effects from observational data under specific assumptions.</w:t>
      </w:r>
      <w:r w:rsidDel="00000000" w:rsidR="00000000" w:rsidRPr="00000000">
        <w:rPr>
          <w:rFonts w:ascii="Times New Roman" w:cs="Times New Roman" w:eastAsia="Times New Roman" w:hAnsi="Times New Roman"/>
          <w:sz w:val="24"/>
          <w:szCs w:val="24"/>
          <w:vertAlign w:val="superscript"/>
        </w:rPr>
        <w:footnoteReference w:customMarkFollows="0" w:id="2"/>
      </w:r>
      <w:r w:rsidDel="00000000" w:rsidR="00000000" w:rsidRPr="00000000">
        <w:rPr>
          <w:rtl w:val="0"/>
        </w:rPr>
      </w:r>
    </w:p>
    <w:p w:rsidR="00000000" w:rsidDel="00000000" w:rsidP="00000000" w:rsidRDefault="00000000" w:rsidRPr="00000000" w14:paraId="00000029">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ind w:left="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2.3 Omitted Variable Bias</w:t>
      </w:r>
    </w:p>
    <w:p w:rsidR="00000000" w:rsidDel="00000000" w:rsidP="00000000" w:rsidRDefault="00000000" w:rsidRPr="00000000" w14:paraId="0000002B">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Omitted variable bias occurs when a variable that affects both the treatment and outcome is excluded from a statistical model. If the omitted variable </w:t>
      </w:r>
      <m:oMath>
        <m:r>
          <w:rPr>
            <w:rFonts w:ascii="Times New Roman" w:cs="Times New Roman" w:eastAsia="Times New Roman" w:hAnsi="Times New Roman"/>
            <w:sz w:val="24"/>
            <w:szCs w:val="24"/>
          </w:rPr>
          <m:t xml:space="preserve">Z</m:t>
        </m:r>
      </m:oMath>
      <w:r w:rsidDel="00000000" w:rsidR="00000000" w:rsidRPr="00000000">
        <w:rPr>
          <w:rFonts w:ascii="Times New Roman" w:cs="Times New Roman" w:eastAsia="Times New Roman" w:hAnsi="Times New Roman"/>
          <w:sz w:val="24"/>
          <w:szCs w:val="24"/>
          <w:rtl w:val="0"/>
        </w:rPr>
        <w:t xml:space="preserve"> influences both </w:t>
      </w:r>
      <m:oMath>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and </w:t>
      </w:r>
      <m:oMath>
        <m:r>
          <w:rPr>
            <w:rFonts w:ascii="Times New Roman" w:cs="Times New Roman" w:eastAsia="Times New Roman" w:hAnsi="Times New Roman"/>
            <w:sz w:val="24"/>
            <w:szCs w:val="24"/>
          </w:rPr>
          <m:t xml:space="preserve">Y</m:t>
        </m:r>
      </m:oMath>
      <w:r w:rsidDel="00000000" w:rsidR="00000000" w:rsidRPr="00000000">
        <w:rPr>
          <w:rFonts w:ascii="Times New Roman" w:cs="Times New Roman" w:eastAsia="Times New Roman" w:hAnsi="Times New Roman"/>
          <w:sz w:val="24"/>
          <w:szCs w:val="24"/>
          <w:rtl w:val="0"/>
        </w:rPr>
        <w:t xml:space="preserve">, the estimated coefficient on </w:t>
      </w:r>
      <m:oMath>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captures not only the direct effect of </w:t>
      </w:r>
      <m:oMath>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on </w:t>
      </w:r>
      <m:oMath>
        <m:r>
          <w:rPr>
            <w:rFonts w:ascii="Times New Roman" w:cs="Times New Roman" w:eastAsia="Times New Roman" w:hAnsi="Times New Roman"/>
            <w:sz w:val="24"/>
            <w:szCs w:val="24"/>
          </w:rPr>
          <m:t xml:space="preserve">Y</m:t>
        </m:r>
      </m:oMath>
      <w:r w:rsidDel="00000000" w:rsidR="00000000" w:rsidRPr="00000000">
        <w:rPr>
          <w:rFonts w:ascii="Times New Roman" w:cs="Times New Roman" w:eastAsia="Times New Roman" w:hAnsi="Times New Roman"/>
          <w:sz w:val="24"/>
          <w:szCs w:val="24"/>
          <w:rtl w:val="0"/>
        </w:rPr>
        <w:t xml:space="preserve"> but also the indirect pathway through </w:t>
      </w:r>
      <m:oMath>
        <m:r>
          <w:rPr>
            <w:rFonts w:ascii="Times New Roman" w:cs="Times New Roman" w:eastAsia="Times New Roman" w:hAnsi="Times New Roman"/>
            <w:sz w:val="24"/>
            <w:szCs w:val="24"/>
          </w:rPr>
          <m:t xml:space="preserve">Z</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C">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generator intentionally includes a latent variable, governance_capacity, that drives multiple observed features but is dropped before export. This design creates realistic omitted variable bias: analysts working only with the exported data will observe correlations (e.g., between infrastructure condition and recovery time) that cannot be fully explained without the latent construct.</w:t>
      </w:r>
      <w:r w:rsidDel="00000000" w:rsidR="00000000" w:rsidRPr="00000000">
        <w:rPr>
          <w:rtl w:val="0"/>
        </w:rPr>
      </w:r>
    </w:p>
    <w:p w:rsidR="00000000" w:rsidDel="00000000" w:rsidP="00000000" w:rsidRDefault="00000000" w:rsidRPr="00000000" w14:paraId="0000002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ind w:left="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2.4 Right-Censoring</w:t>
      </w:r>
    </w:p>
    <w:p w:rsidR="00000000" w:rsidDel="00000000" w:rsidP="00000000" w:rsidRDefault="00000000" w:rsidRPr="00000000" w14:paraId="0000002F">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survival analysis, statistical methods for time-to-event data, right-censoring occurs when the event of interest has not occurred by the end of the observation period. For recovery time analysis, if a disruption is still unresolved when data is extracted, we know only that recovery time </w:t>
      </w:r>
      <m:oMath>
        <m:r>
          <m:t>≥</m:t>
        </m:r>
      </m:oMath>
      <w:r w:rsidDel="00000000" w:rsidR="00000000" w:rsidRPr="00000000">
        <w:rPr>
          <w:rFonts w:ascii="Times New Roman" w:cs="Times New Roman" w:eastAsia="Times New Roman" w:hAnsi="Times New Roman"/>
          <w:sz w:val="24"/>
          <w:szCs w:val="24"/>
          <w:rtl w:val="0"/>
        </w:rPr>
        <w:t xml:space="preserve"> observed duration, not the exact value. </w:t>
      </w:r>
    </w:p>
    <w:p w:rsidR="00000000" w:rsidDel="00000000" w:rsidP="00000000" w:rsidRDefault="00000000" w:rsidRPr="00000000" w14:paraId="00000030">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Treating censored observations as if they were exact values would downwardly bias mean recovery time estimates. The Kaplan-Meier estimator handles censoring correctly by computing the probability of surviving (remaining unresolved) past time </w:t>
      </w:r>
      <m:oMath>
        <m:r>
          <w:rPr>
            <w:rFonts w:ascii="Times New Roman" w:cs="Times New Roman" w:eastAsia="Times New Roman" w:hAnsi="Times New Roman"/>
            <w:sz w:val="24"/>
            <w:szCs w:val="24"/>
          </w:rPr>
          <m:t xml:space="preserve">t</m:t>
        </m:r>
      </m:oMath>
      <w:r w:rsidDel="00000000" w:rsidR="00000000" w:rsidRPr="00000000">
        <w:rPr>
          <w:rFonts w:ascii="Times New Roman" w:cs="Times New Roman" w:eastAsia="Times New Roman" w:hAnsi="Times New Roman"/>
          <w:sz w:val="24"/>
          <w:szCs w:val="24"/>
          <w:rtl w:val="0"/>
        </w:rPr>
        <w:t xml:space="preserve"> using both resolved and censored observations.</w:t>
      </w:r>
      <w:r w:rsidDel="00000000" w:rsidR="00000000" w:rsidRPr="00000000">
        <w:rPr>
          <w:rFonts w:ascii="Times New Roman" w:cs="Times New Roman" w:eastAsia="Times New Roman" w:hAnsi="Times New Roman"/>
          <w:sz w:val="24"/>
          <w:szCs w:val="24"/>
          <w:vertAlign w:val="superscript"/>
        </w:rPr>
        <w:footnoteReference w:customMarkFollows="0" w:id="3"/>
      </w:r>
      <w:r w:rsidDel="00000000" w:rsidR="00000000" w:rsidRPr="00000000">
        <w:rPr>
          <w:rtl w:val="0"/>
        </w:rPr>
      </w:r>
    </w:p>
    <w:p w:rsidR="00000000" w:rsidDel="00000000" w:rsidP="00000000" w:rsidRDefault="00000000" w:rsidRPr="00000000" w14:paraId="00000031">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ind w:left="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2.5 Logistic Regression and the Sigmoid Function</w:t>
      </w:r>
    </w:p>
    <w:p w:rsidR="00000000" w:rsidDel="00000000" w:rsidP="00000000" w:rsidRDefault="00000000" w:rsidRPr="00000000" w14:paraId="00000033">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 models the probability of a binary outcome as a function of covariates. The sigmoid function (or logistic function) transforms a linear combination of inputs into a probability between 0 and 1:</w:t>
      </w:r>
    </w:p>
    <w:p w:rsidR="00000000" w:rsidDel="00000000" w:rsidP="00000000" w:rsidRDefault="00000000" w:rsidRPr="00000000" w14:paraId="00000034">
      <w:pPr>
        <w:ind w:left="0" w:firstLine="0"/>
        <w:jc w:val="center"/>
        <w:rPr>
          <w:rFonts w:ascii="Times New Roman" w:cs="Times New Roman" w:eastAsia="Times New Roman" w:hAnsi="Times New Roman"/>
          <w:sz w:val="24"/>
          <w:szCs w:val="24"/>
        </w:rPr>
      </w:pPr>
      <m:oMath>
        <m:r>
          <m:t>σ</m:t>
        </m:r>
        <m:r>
          <w:rPr>
            <w:rFonts w:ascii="Times New Roman" w:cs="Times New Roman" w:eastAsia="Times New Roman" w:hAnsi="Times New Roman"/>
            <w:sz w:val="24"/>
            <w:szCs w:val="24"/>
          </w:rPr>
          <m:t xml:space="preserve">(x)=</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 xml:space="preserve">-x</m:t>
                </m:r>
              </m:sup>
            </m:sSup>
          </m:den>
        </m:f>
      </m:oMath>
      <w:r w:rsidDel="00000000" w:rsidR="00000000" w:rsidRPr="00000000">
        <w:rPr>
          <w:rtl w:val="0"/>
        </w:rPr>
      </w:r>
    </w:p>
    <w:p w:rsidR="00000000" w:rsidDel="00000000" w:rsidP="00000000" w:rsidRDefault="00000000" w:rsidRPr="00000000" w14:paraId="00000035">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disruption occurrence, we model:</w:t>
      </w:r>
    </w:p>
    <w:p w:rsidR="00000000" w:rsidDel="00000000" w:rsidP="00000000" w:rsidRDefault="00000000" w:rsidRPr="00000000" w14:paraId="00000036">
      <w:pPr>
        <w:ind w:left="0" w:firstLine="0"/>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P(disruption=1)=</m:t>
        </m:r>
        <m:r>
          <w:rPr>
            <w:rFonts w:ascii="Times New Roman" w:cs="Times New Roman" w:eastAsia="Times New Roman" w:hAnsi="Times New Roman"/>
            <w:sz w:val="24"/>
            <w:szCs w:val="24"/>
          </w:rPr>
          <m:t>σ</m:t>
        </m:r>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0</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wind+</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redundancy+...)</m:t>
        </m:r>
      </m:oMath>
      <w:r w:rsidDel="00000000" w:rsidR="00000000" w:rsidRPr="00000000">
        <w:rPr>
          <w:rtl w:val="0"/>
        </w:rPr>
      </w:r>
    </w:p>
    <w:p w:rsidR="00000000" w:rsidDel="00000000" w:rsidP="00000000" w:rsidRDefault="00000000" w:rsidRPr="00000000" w14:paraId="00000037">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 coefficients increase disruption probability; negative coefficients decrease it. The magnitude indicates the strength of association on the log-odds scale.</w:t>
      </w:r>
    </w:p>
    <w:p w:rsidR="00000000" w:rsidDel="00000000" w:rsidP="00000000" w:rsidRDefault="00000000" w:rsidRPr="00000000" w14:paraId="00000038">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ind w:left="0" w:firstLine="0"/>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2.6 Class Imbalance</w:t>
      </w:r>
    </w:p>
    <w:p w:rsidR="00000000" w:rsidDel="00000000" w:rsidP="00000000" w:rsidRDefault="00000000" w:rsidRPr="00000000" w14:paraId="0000003A">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imbalance occurs when one outcome category is much rarer than another. In disaster data, most area-event pairs experience no disruption; disruption is the exception, not the rule. However, an imbalanced data pose challenges for predictive modeling, a naïve classifier that always predicts "no disruption" could achieve high accuracy while being useless for decision-making. This generator intentionally produces realistic class imbalance (disruption rates typically 0.1-2% depending on sector) to support development of methods that handle rare events appropriately.</w:t>
      </w:r>
    </w:p>
    <w:p w:rsidR="00000000" w:rsidDel="00000000" w:rsidP="00000000" w:rsidRDefault="00000000" w:rsidRPr="00000000" w14:paraId="0000003B">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b w:val="1"/>
          <w:bCs w:val="1"/>
          <w:sz w:val="24"/>
          <w:szCs w:val="24"/>
          <w:rtl w:val="0"/>
        </w:rPr>
        <w:t xml:space="preserve">. Modeling Approach</w:t>
      </w:r>
    </w:p>
    <w:p w:rsidR="00000000" w:rsidDel="00000000" w:rsidP="00000000" w:rsidRDefault="00000000" w:rsidRPr="00000000" w14:paraId="0000003D">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3.1 Municipality Archetypes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E">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Municipalities are represented as anonymized archetypes rather than specific Local Government Units (LGUs) to avoid attribution of synthetic outcomes to actual places.</w:t>
      </w:r>
    </w:p>
    <w:p w:rsidR="00000000" w:rsidDel="00000000" w:rsidP="00000000" w:rsidRDefault="00000000" w:rsidRPr="00000000" w14:paraId="0000003F">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ind w:left="0" w:firstLine="720"/>
        <w:jc w:val="both"/>
        <w:rPr>
          <w:rFonts w:ascii="Times New Roman" w:cs="Times New Roman" w:eastAsia="Times New Roman" w:hAnsi="Times New Roman"/>
          <w:sz w:val="24"/>
          <w:szCs w:val="24"/>
        </w:rPr>
      </w:pPr>
      <w:r w:rsidDel="00000000" w:rsidR="00000000" w:rsidRPr="00000000">
        <w:rPr>
          <w:rtl w:val="0"/>
        </w:rPr>
      </w:r>
    </w:p>
    <w:tbl>
      <w:tblPr>
        <w:tblStyle w:val="Table2"/>
        <w:tblW w:w="10665.0" w:type="dxa"/>
        <w:jc w:val="left"/>
        <w:tblInd w:w="-696.000000000000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6"/>
        <w:gridCol w:w="1089"/>
        <w:gridCol w:w="3570"/>
        <w:gridCol w:w="3150"/>
        <w:tblGridChange w:id="0">
          <w:tblGrid>
            <w:gridCol w:w="2856"/>
            <w:gridCol w:w="1089"/>
            <w:gridCol w:w="3570"/>
            <w:gridCol w:w="3150"/>
          </w:tblGrid>
        </w:tblGridChange>
      </w:tblGrid>
      <w:tr>
        <w:trPr>
          <w:cantSplit w:val="0"/>
          <w:tblHeader w:val="0"/>
        </w:trPr>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Archetype</w:t>
            </w:r>
          </w:p>
        </w:tc>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Share</w:t>
            </w:r>
          </w:p>
        </w:tc>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Characteristics</w:t>
            </w:r>
          </w:p>
        </w:tc>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Representative Context</w:t>
            </w:r>
          </w:p>
        </w:tc>
      </w:tr>
      <w:tr>
        <w:trPr>
          <w:cantSplit w:val="0"/>
          <w:tblHeader w:val="0"/>
        </w:trPr>
        <w:tc>
          <w:tcPr>
            <w:tcBorders>
              <w:top w:color="000000" w:space="0" w:sz="12"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Coastal, high exposure</w:t>
            </w:r>
          </w:p>
        </w:tc>
        <w:tc>
          <w:tcPr>
            <w:tcBorders>
              <w:top w:color="000000" w:space="0" w:sz="12"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tcBorders>
              <w:top w:color="000000" w:space="0" w:sz="12"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Frequent direct landfall, high wind/surge exposure </w:t>
            </w:r>
          </w:p>
        </w:tc>
        <w:tc>
          <w:tcPr>
            <w:tcBorders>
              <w:top w:color="000000" w:space="0" w:sz="12"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Eastern Samar, northern Cebu </w:t>
            </w:r>
          </w:p>
        </w:tc>
      </w:tr>
      <w:tr>
        <w:trPr>
          <w:cantSplit w:val="0"/>
          <w:trHeight w:val="500.976562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Coastal, moderate exposure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 frequent direct hits, moderate exposure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Southern Luzon, Mindanao coast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Inland floodplain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River-basin flood risk, lower wind exposure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 Luzon, Cagayan Valley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Mountainous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Landslide risk, rainfall amplification, access challenges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Cordillera, Sierra Madre </w:t>
            </w:r>
          </w:p>
        </w:tc>
      </w:tr>
      <w:tr>
        <w:trPr>
          <w:cantSplit w:val="0"/>
          <w:trHeight w:val="810" w:hRule="atLeast"/>
          <w:tblHeader w:val="0"/>
        </w:trPr>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Urban/dense</w:t>
            </w:r>
          </w:p>
        </w:tc>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 redundancy and infrastructure investment, higher population exposure</w:t>
            </w:r>
          </w:p>
        </w:tc>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Metro Manila, Cebu City, Davao </w:t>
            </w:r>
          </w:p>
        </w:tc>
      </w:tr>
    </w:tbl>
    <w:p w:rsidR="00000000" w:rsidDel="00000000" w:rsidP="00000000" w:rsidRDefault="00000000" w:rsidRPr="00000000" w14:paraId="0000005A">
      <w:pPr>
        <w:ind w:left="0" w:firstLine="0"/>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5B">
      <w:pPr>
        <w:ind w:left="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3.2 Hierarchical Structural Causal Model (SCM)</w:t>
      </w:r>
    </w:p>
    <w:p w:rsidR="00000000" w:rsidDel="00000000" w:rsidP="00000000" w:rsidRDefault="00000000" w:rsidRPr="00000000" w14:paraId="0000005C">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tl w:val="0"/>
        </w:rPr>
        <w:t xml:space="preserve">The generator proceeds through five sequential stages. Each stage uses outputs from previous stages as inputs, ensuring the resulting dataset respects the intended causal structure.</w:t>
      </w:r>
      <w:r w:rsidDel="00000000" w:rsidR="00000000" w:rsidRPr="00000000">
        <w:rPr>
          <w:rtl w:val="0"/>
        </w:rPr>
      </w:r>
    </w:p>
    <w:p w:rsidR="00000000" w:rsidDel="00000000" w:rsidP="00000000" w:rsidRDefault="00000000" w:rsidRPr="00000000" w14:paraId="0000005D">
      <w:pPr>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E">
      <w:pPr>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3.2.1 Stage 1: Areas</w:t>
      </w:r>
    </w:p>
    <w:p w:rsidR="00000000" w:rsidDel="00000000" w:rsidP="00000000" w:rsidRDefault="00000000" w:rsidRPr="00000000" w14:paraId="0000005F">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static municipality profiles, including the latent governance_capacity variable. This variable is drawn from a Beta distribution and represents unobserved institutional quality affecting infrastructure investment, maintenance, and emergency response capacity.</w:t>
      </w:r>
    </w:p>
    <w:p w:rsidR="00000000" w:rsidDel="00000000" w:rsidP="00000000" w:rsidRDefault="00000000" w:rsidRPr="00000000" w14:paraId="00000060">
      <w:pPr>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1">
      <w:pPr>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3.2.2 Stage 2: Typhoon Events</w:t>
      </w:r>
    </w:p>
    <w:p w:rsidR="00000000" w:rsidDel="00000000" w:rsidP="00000000" w:rsidRDefault="00000000" w:rsidRPr="00000000" w14:paraId="00000062">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storm characteristics with wind speed as the root driver. Central pressure is derived from wind speed using the Atkinson and Holliday (1977) relationship for the western North Pacific. Storm surge potential and rainfall are correlated with wind but include independent variance.</w:t>
      </w:r>
      <w:r w:rsidDel="00000000" w:rsidR="00000000" w:rsidRPr="00000000">
        <w:rPr>
          <w:rFonts w:ascii="Times New Roman" w:cs="Times New Roman" w:eastAsia="Times New Roman" w:hAnsi="Times New Roman"/>
          <w:sz w:val="24"/>
          <w:szCs w:val="24"/>
          <w:vertAlign w:val="superscript"/>
        </w:rPr>
        <w:footnoteReference w:customMarkFollows="0" w:id="4"/>
      </w:r>
      <w:r w:rsidDel="00000000" w:rsidR="00000000" w:rsidRPr="00000000">
        <w:rPr>
          <w:rtl w:val="0"/>
        </w:rPr>
      </w:r>
    </w:p>
    <w:p w:rsidR="00000000" w:rsidDel="00000000" w:rsidP="00000000" w:rsidRDefault="00000000" w:rsidRPr="00000000" w14:paraId="00000063">
      <w:pPr>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4">
      <w:pPr>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3.2.3 Stage 3: Hazard Exposure</w:t>
      </w:r>
    </w:p>
    <w:p w:rsidR="00000000" w:rsidDel="00000000" w:rsidP="00000000" w:rsidRDefault="00000000" w:rsidRPr="00000000" w14:paraId="00000065">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 area-event intersection. Each typhoon affects only municipalities within its track radius that creates the realistic class imbalance where most pairs experience zero hazard. Local wind speed attenuates with distance from storm center and distance from coast (typhoons weaken after landfall).</w:t>
      </w:r>
    </w:p>
    <w:p w:rsidR="00000000" w:rsidDel="00000000" w:rsidP="00000000" w:rsidRDefault="00000000" w:rsidRPr="00000000" w14:paraId="00000066">
      <w:pPr>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7">
      <w:pPr>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8">
      <w:pPr>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3.2.4 Stage 4: Sector Disruption Cascade</w:t>
      </w:r>
    </w:p>
    <w:p w:rsidR="00000000" w:rsidDel="00000000" w:rsidP="00000000" w:rsidRDefault="00000000" w:rsidRPr="00000000" w14:paraId="00000069">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disruption occurrence and severity in causal order: </w:t>
      </w:r>
    </w:p>
    <w:p w:rsidR="00000000" w:rsidDel="00000000" w:rsidP="00000000" w:rsidRDefault="00000000" w:rsidRPr="00000000" w14:paraId="0000006A">
      <w:pPr>
        <w:numPr>
          <w:ilvl w:val="0"/>
          <w:numId w:val="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Power and Road. Respond directly to raw hazard components </w:t>
      </w:r>
    </w:p>
    <w:p w:rsidR="00000000" w:rsidDel="00000000" w:rsidP="00000000" w:rsidRDefault="00000000" w:rsidRPr="00000000" w14:paraId="0000006B">
      <w:pPr>
        <w:numPr>
          <w:ilvl w:val="0"/>
          <w:numId w:val="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Water and Telecom. Respond to hazards plus power severity (pumping stations and cell towers depend on grid power) </w:t>
      </w:r>
    </w:p>
    <w:p w:rsidR="00000000" w:rsidDel="00000000" w:rsidP="00000000" w:rsidRDefault="00000000" w:rsidRPr="00000000" w14:paraId="0000006C">
      <w:pPr>
        <w:numPr>
          <w:ilvl w:val="0"/>
          <w:numId w:val="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Health. Responds to all four preceding sectors plus hospital backup power capacity </w:t>
      </w:r>
    </w:p>
    <w:p w:rsidR="00000000" w:rsidDel="00000000" w:rsidP="00000000" w:rsidRDefault="00000000" w:rsidRPr="00000000" w14:paraId="0000006D">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ordering reflects infrastructure interdependencies documented in post-disaster assessments.</w:t>
      </w:r>
      <w:r w:rsidDel="00000000" w:rsidR="00000000" w:rsidRPr="00000000">
        <w:rPr>
          <w:rFonts w:ascii="Times New Roman" w:cs="Times New Roman" w:eastAsia="Times New Roman" w:hAnsi="Times New Roman"/>
          <w:sz w:val="24"/>
          <w:szCs w:val="24"/>
          <w:vertAlign w:val="superscript"/>
        </w:rPr>
        <w:footnoteReference w:customMarkFollows="0" w:id="5"/>
      </w:r>
      <w:r w:rsidDel="00000000" w:rsidR="00000000" w:rsidRPr="00000000">
        <w:rPr>
          <w:rtl w:val="0"/>
        </w:rPr>
      </w:r>
    </w:p>
    <w:p w:rsidR="00000000" w:rsidDel="00000000" w:rsidP="00000000" w:rsidRDefault="00000000" w:rsidRPr="00000000" w14:paraId="0000006E">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3.2.5 Stage 5: Dispatch and Recovery</w:t>
      </w:r>
    </w:p>
    <w:p w:rsidR="00000000" w:rsidDel="00000000" w:rsidP="00000000" w:rsidRDefault="00000000" w:rsidRPr="00000000" w14:paraId="00000070">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repair dispatch time (time until crews reach the site) and recovery time (time until service restoration). Both depend on disruption severity and governance capacity, but recovery time is additionally right-censored against a fixed data-extraction snapshot date.</w:t>
      </w:r>
    </w:p>
    <w:p w:rsidR="00000000" w:rsidDel="00000000" w:rsidP="00000000" w:rsidRDefault="00000000" w:rsidRPr="00000000" w14:paraId="00000071">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ind w:left="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3.3 Sector Interdependency Mechanism</w:t>
      </w:r>
    </w:p>
    <w:p w:rsidR="00000000" w:rsidDel="00000000" w:rsidP="00000000" w:rsidRDefault="00000000" w:rsidRPr="00000000" w14:paraId="00000073">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Aside from being descriptive, the cascade structure encodes functional dependencies:</w:t>
      </w:r>
    </w:p>
    <w:p w:rsidR="00000000" w:rsidDel="00000000" w:rsidP="00000000" w:rsidRDefault="00000000" w:rsidRPr="00000000" w14:paraId="00000074">
      <w:pPr>
        <w:numPr>
          <w:ilvl w:val="0"/>
          <w:numId w:val="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Power disruption affects water systems through pumping station failures </w:t>
      </w:r>
    </w:p>
    <w:p w:rsidR="00000000" w:rsidDel="00000000" w:rsidP="00000000" w:rsidRDefault="00000000" w:rsidRPr="00000000" w14:paraId="00000075">
      <w:pPr>
        <w:numPr>
          <w:ilvl w:val="0"/>
          <w:numId w:val="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Power disruption affects telecom through cell tower battery depletion </w:t>
      </w:r>
    </w:p>
    <w:p w:rsidR="00000000" w:rsidDel="00000000" w:rsidP="00000000" w:rsidRDefault="00000000" w:rsidRPr="00000000" w14:paraId="00000076">
      <w:pPr>
        <w:numPr>
          <w:ilvl w:val="0"/>
          <w:numId w:val="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Road disruption affects dispatch time for all sectors (damaged roads delay repair crews) </w:t>
      </w:r>
    </w:p>
    <w:p w:rsidR="00000000" w:rsidDel="00000000" w:rsidP="00000000" w:rsidRDefault="00000000" w:rsidRPr="00000000" w14:paraId="00000077">
      <w:pPr>
        <w:numPr>
          <w:ilvl w:val="0"/>
          <w:numId w:val="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 prior sectors affect health facilities through operational dependencies </w:t>
      </w:r>
    </w:p>
    <w:p w:rsidR="00000000" w:rsidDel="00000000" w:rsidP="00000000" w:rsidRDefault="00000000" w:rsidRPr="00000000" w14:paraId="00000078">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"network of networks" framing is increasingly central to disaster resilience research.</w:t>
      </w:r>
      <w:r w:rsidDel="00000000" w:rsidR="00000000" w:rsidRPr="00000000">
        <w:rPr>
          <w:rFonts w:ascii="Times New Roman" w:cs="Times New Roman" w:eastAsia="Times New Roman" w:hAnsi="Times New Roman"/>
          <w:sz w:val="24"/>
          <w:szCs w:val="24"/>
          <w:vertAlign w:val="superscript"/>
        </w:rPr>
        <w:footnoteReference w:customMarkFollows="0" w:id="6"/>
      </w:r>
      <w:r w:rsidDel="00000000" w:rsidR="00000000" w:rsidRPr="00000000">
        <w:rPr>
          <w:rtl w:val="0"/>
        </w:rPr>
      </w:r>
    </w:p>
    <w:p w:rsidR="00000000" w:rsidDel="00000000" w:rsidP="00000000" w:rsidRDefault="00000000" w:rsidRPr="00000000" w14:paraId="00000079">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Mathematical Specification</w:t>
      </w:r>
    </w:p>
    <w:p w:rsidR="00000000" w:rsidDel="00000000" w:rsidP="00000000" w:rsidRDefault="00000000" w:rsidRPr="00000000" w14:paraId="0000007B">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4.1 Notation</w:t>
      </w:r>
      <w:r w:rsidDel="00000000" w:rsidR="00000000" w:rsidRPr="00000000">
        <w:rPr>
          <w:rtl w:val="0"/>
        </w:rPr>
      </w:r>
    </w:p>
    <w:tbl>
      <w:tblPr>
        <w:tblStyle w:val="Table3"/>
        <w:tblW w:w="7590.0" w:type="dxa"/>
        <w:jc w:val="left"/>
        <w:tblInd w:w="9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5835"/>
        <w:tblGridChange w:id="0">
          <w:tblGrid>
            <w:gridCol w:w="1755"/>
            <w:gridCol w:w="5835"/>
          </w:tblGrid>
        </w:tblGridChange>
      </w:tblGrid>
      <w:tr>
        <w:trPr>
          <w:cantSplit w:val="0"/>
          <w:tblHeader w:val="0"/>
        </w:trPr>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Symbol</w:t>
            </w:r>
          </w:p>
        </w:tc>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Meaning</w:t>
            </w:r>
          </w:p>
        </w:tc>
      </w:tr>
      <w:tr>
        <w:trPr>
          <w:cantSplit w:val="0"/>
          <w:tblHeader w:val="0"/>
        </w:trPr>
        <w:tc>
          <w:tcPr>
            <w:tcBorders>
              <w:top w:color="000000" w:space="0" w:sz="12"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i</m:t>
              </m:r>
            </m:oMath>
            <w:r w:rsidDel="00000000" w:rsidR="00000000" w:rsidRPr="00000000">
              <w:rPr>
                <w:rtl w:val="0"/>
              </w:rPr>
            </w:r>
          </w:p>
        </w:tc>
        <w:tc>
          <w:tcPr>
            <w:tcBorders>
              <w:top w:color="000000" w:space="0" w:sz="12"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Municipality index</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j</m:t>
              </m:r>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(typhoon) index</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s</m:t>
              </m:r>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Sector index: {power, road, water, telecom, health}</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G</m:t>
                  </m:r>
                </m:e>
                <m:sub>
                  <m:r>
                    <w:rPr>
                      <w:rFonts w:ascii="Times New Roman" w:cs="Times New Roman" w:eastAsia="Times New Roman" w:hAnsi="Times New Roman"/>
                      <w:sz w:val="24"/>
                      <w:szCs w:val="24"/>
                    </w:rPr>
                    <m:t xml:space="preserve">i</m:t>
                  </m:r>
                </m:sub>
              </m:sSub>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Governance capacity (latent) for municipality </w:t>
            </w:r>
            <m:oMath>
              <m:r>
                <w:rPr>
                  <w:rFonts w:ascii="Times New Roman" w:cs="Times New Roman" w:eastAsia="Times New Roman" w:hAnsi="Times New Roman"/>
                  <w:sz w:val="24"/>
                  <w:szCs w:val="24"/>
                </w:rPr>
                <m:t xml:space="preserve">i</m:t>
              </m:r>
            </m:oMath>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m:oMath>
              <m:r>
                <m:t>σ</m:t>
              </m:r>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t>
              </m:r>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Sigmoid function: </w:t>
            </w:r>
            <m:oMath>
              <m:r>
                <m:t>σ</m:t>
              </m:r>
              <m:r>
                <w:rPr>
                  <w:rFonts w:ascii="Times New Roman" w:cs="Times New Roman" w:eastAsia="Times New Roman" w:hAnsi="Times New Roman"/>
                  <w:sz w:val="24"/>
                  <w:szCs w:val="24"/>
                </w:rPr>
                <m:t xml:space="preserve">(x)=1/(1+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 xml:space="preserve">-x</m:t>
                  </m:r>
                </m:sup>
              </m:sSup>
              <m:r>
                <w:rPr>
                  <w:rFonts w:ascii="Times New Roman" w:cs="Times New Roman" w:eastAsia="Times New Roman" w:hAnsi="Times New Roman"/>
                  <w:sz w:val="24"/>
                  <w:szCs w:val="24"/>
                </w:rPr>
                <m:t xml:space="preserve">)</m:t>
              </m:r>
            </m:oMath>
            <w:r w:rsidDel="00000000" w:rsidR="00000000" w:rsidRPr="00000000">
              <w:rPr>
                <w:rtl w:val="0"/>
              </w:rPr>
            </w:r>
          </w:p>
        </w:tc>
      </w:tr>
      <w:tr>
        <w:trPr>
          <w:cantSplit w:val="0"/>
          <w:tblHeader w:val="0"/>
        </w:trPr>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m:oMath>
              <m:r>
                <m:t>ϵ</m:t>
              </m:r>
            </m:oMath>
            <w:r w:rsidDel="00000000" w:rsidR="00000000" w:rsidRPr="00000000">
              <w:rPr>
                <w:rtl w:val="0"/>
              </w:rPr>
            </w:r>
          </w:p>
        </w:tc>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Exogenous noise term</w:t>
            </w:r>
          </w:p>
        </w:tc>
      </w:tr>
    </w:tbl>
    <w:p w:rsidR="00000000" w:rsidDel="00000000" w:rsidP="00000000" w:rsidRDefault="00000000" w:rsidRPr="00000000" w14:paraId="0000008A">
      <w:pPr>
        <w:ind w:left="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4.2 Area Generation (Stage 1)</w:t>
      </w:r>
    </w:p>
    <w:p w:rsidR="00000000" w:rsidDel="00000000" w:rsidP="00000000" w:rsidRDefault="00000000" w:rsidRPr="00000000" w14:paraId="0000008B">
      <w:pPr>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4.2.1 Latent variable</w:t>
      </w:r>
    </w:p>
    <w:p w:rsidR="00000000" w:rsidDel="00000000" w:rsidP="00000000" w:rsidRDefault="00000000" w:rsidRPr="00000000" w14:paraId="0000008C">
      <w:pPr>
        <w:ind w:left="0" w:firstLine="0"/>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G</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~Beta(2.5,2.5)</m:t>
        </m:r>
      </m:oMath>
      <w:r w:rsidDel="00000000" w:rsidR="00000000" w:rsidRPr="00000000">
        <w:rPr>
          <w:rtl w:val="0"/>
        </w:rPr>
      </w:r>
    </w:p>
    <w:p w:rsidR="00000000" w:rsidDel="00000000" w:rsidP="00000000" w:rsidRDefault="00000000" w:rsidRPr="00000000" w14:paraId="0000008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4.2.2 Infrastructure condition</w:t>
      </w:r>
    </w:p>
    <w:p w:rsidR="00000000" w:rsidDel="00000000" w:rsidP="00000000" w:rsidRDefault="00000000" w:rsidRPr="00000000" w14:paraId="0000008F">
      <w:pPr>
        <w:ind w:left="0" w:firstLine="0"/>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conditio</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=cli</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[0,1]</m:t>
            </m:r>
          </m:sub>
        </m:sSub>
        <m:r>
          <w:rPr>
            <w:rFonts w:ascii="Times New Roman" w:cs="Times New Roman" w:eastAsia="Times New Roman" w:hAnsi="Times New Roman"/>
            <w:sz w:val="24"/>
            <w:szCs w:val="24"/>
          </w:rPr>
          <m:t xml:space="preserve">(0.7</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bas</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+0.3</m:t>
        </m:r>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G</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ϵ</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90">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4.2.3 Grid redundancy</w:t>
      </w:r>
    </w:p>
    <w:p w:rsidR="00000000" w:rsidDel="00000000" w:rsidP="00000000" w:rsidRDefault="00000000" w:rsidRPr="00000000" w14:paraId="00000092">
      <w:pPr>
        <w:ind w:left="0" w:firstLine="0"/>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redundanc</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=cli</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[0,1]</m:t>
            </m:r>
          </m:sub>
        </m:sSub>
        <m:r>
          <w:rPr>
            <w:rFonts w:ascii="Times New Roman" w:cs="Times New Roman" w:eastAsia="Times New Roman" w:hAnsi="Times New Roman"/>
            <w:sz w:val="24"/>
            <w:szCs w:val="24"/>
          </w:rPr>
          <m:t xml:space="preserve">(0.6</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bas</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+0.4</m:t>
        </m:r>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G</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ϵ</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m:oMath>
        <m:r>
          <w:rPr>
            <w:rFonts w:ascii="Times New Roman" w:cs="Times New Roman" w:eastAsia="Times New Roman" w:hAnsi="Times New Roman"/>
            <w:sz w:val="24"/>
            <w:szCs w:val="24"/>
          </w:rPr>
          <m:t xml:space="preserve">bas</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 is archetype-specific and </w:t>
      </w:r>
      <m:oMath>
        <m:r>
          <w:rPr>
            <w:rFonts w:ascii="Times New Roman" w:cs="Times New Roman" w:eastAsia="Times New Roman" w:hAnsi="Times New Roman"/>
            <w:sz w:val="24"/>
            <w:szCs w:val="24"/>
          </w:rPr>
          <m:t xml:space="preserve">cli</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[0,1]</m:t>
            </m:r>
          </m:sub>
        </m:sSub>
      </m:oMath>
      <w:r w:rsidDel="00000000" w:rsidR="00000000" w:rsidRPr="00000000">
        <w:rPr>
          <w:rFonts w:ascii="Times New Roman" w:cs="Times New Roman" w:eastAsia="Times New Roman" w:hAnsi="Times New Roman"/>
          <w:sz w:val="24"/>
          <w:szCs w:val="24"/>
          <w:rtl w:val="0"/>
        </w:rPr>
        <w:t xml:space="preserve"> constrains values to the unit interval.</w:t>
      </w:r>
    </w:p>
    <w:p w:rsidR="00000000" w:rsidDel="00000000" w:rsidP="00000000" w:rsidRDefault="00000000" w:rsidRPr="00000000" w14:paraId="00000094">
      <w:pPr>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4.3 Event Generation (Stage 2)</w:t>
      </w:r>
      <w:r w:rsidDel="00000000" w:rsidR="00000000" w:rsidRPr="00000000">
        <w:rPr>
          <w:rtl w:val="0"/>
        </w:rPr>
      </w:r>
    </w:p>
    <w:p w:rsidR="00000000" w:rsidDel="00000000" w:rsidP="00000000" w:rsidRDefault="00000000" w:rsidRPr="00000000" w14:paraId="00000096">
      <w:pPr>
        <w:ind w:left="0" w:firstLine="0"/>
        <w:jc w:val="both"/>
        <w:rPr>
          <w:rFonts w:ascii="Times New Roman" w:cs="Times New Roman" w:eastAsia="Times New Roman" w:hAnsi="Times New Roman"/>
          <w:i w:val="1"/>
          <w:iCs w:val="1"/>
          <w:sz w:val="24"/>
          <w:szCs w:val="24"/>
          <w:vertAlign w:val="superscript"/>
        </w:rPr>
      </w:pPr>
      <w:r w:rsidDel="00000000" w:rsidR="00000000" w:rsidRPr="00000000">
        <w:rPr>
          <w:rFonts w:ascii="Times New Roman" w:cs="Times New Roman" w:eastAsia="Times New Roman" w:hAnsi="Times New Roman"/>
          <w:i w:val="1"/>
          <w:iCs w:val="1"/>
          <w:sz w:val="24"/>
          <w:szCs w:val="24"/>
          <w:rtl w:val="0"/>
        </w:rPr>
        <w:t xml:space="preserve">4.3.1 Wind-pressure relationship (Atkinson &amp; Holliday, 1977)</w:t>
      </w:r>
      <w:r w:rsidDel="00000000" w:rsidR="00000000" w:rsidRPr="00000000">
        <w:rPr>
          <w:rFonts w:ascii="Times New Roman" w:cs="Times New Roman" w:eastAsia="Times New Roman" w:hAnsi="Times New Roman"/>
          <w:i w:val="1"/>
          <w:iCs w:val="1"/>
          <w:sz w:val="24"/>
          <w:szCs w:val="24"/>
          <w:vertAlign w:val="superscript"/>
          <w:rtl w:val="0"/>
        </w:rPr>
        <w:t xml:space="preserve">5</w:t>
      </w:r>
    </w:p>
    <w:p w:rsidR="00000000" w:rsidDel="00000000" w:rsidP="00000000" w:rsidRDefault="00000000" w:rsidRPr="00000000" w14:paraId="00000097">
      <w:pPr>
        <w:ind w:left="0" w:firstLine="0"/>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MSW=3.4</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(1010-MSLP</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0.644</m:t>
            </m:r>
          </m:sup>
        </m:sSup>
      </m:oMath>
      <w:r w:rsidDel="00000000" w:rsidR="00000000" w:rsidRPr="00000000">
        <w:rPr>
          <w:rtl w:val="0"/>
        </w:rPr>
      </w:r>
    </w:p>
    <w:p w:rsidR="00000000" w:rsidDel="00000000" w:rsidP="00000000" w:rsidRDefault="00000000" w:rsidRPr="00000000" w14:paraId="00000098">
      <w:pPr>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9">
      <w:pPr>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4.3.2 Solved for pressure given wind</w:t>
      </w:r>
    </w:p>
    <w:p w:rsidR="00000000" w:rsidDel="00000000" w:rsidP="00000000" w:rsidRDefault="00000000" w:rsidRPr="00000000" w14:paraId="0000009A">
      <w:pPr>
        <w:ind w:left="0" w:firstLine="0"/>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MSL</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j</m:t>
            </m:r>
          </m:sub>
        </m:sSub>
        <m:r>
          <w:rPr>
            <w:rFonts w:ascii="Times New Roman" w:cs="Times New Roman" w:eastAsia="Times New Roman" w:hAnsi="Times New Roman"/>
            <w:sz w:val="24"/>
            <w:szCs w:val="24"/>
          </w:rPr>
          <m:t xml:space="preserve">=1010-(</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MS</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i</m:t>
                </m:r>
              </m:sub>
            </m:sSub>
          </m:num>
          <m:den>
            <m:r>
              <w:rPr>
                <w:rFonts w:ascii="Times New Roman" w:cs="Times New Roman" w:eastAsia="Times New Roman" w:hAnsi="Times New Roman"/>
                <w:sz w:val="24"/>
                <w:szCs w:val="24"/>
              </w:rPr>
              <m:t xml:space="preserve">3.4</m:t>
            </m:r>
          </m:den>
        </m:f>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1/0.644</m:t>
            </m:r>
          </m:sup>
        </m:sSup>
      </m:oMath>
      <w:r w:rsidDel="00000000" w:rsidR="00000000" w:rsidRPr="00000000">
        <w:rPr>
          <w:rtl w:val="0"/>
        </w:rPr>
      </w:r>
    </w:p>
    <w:p w:rsidR="00000000" w:rsidDel="00000000" w:rsidP="00000000" w:rsidRDefault="00000000" w:rsidRPr="00000000" w14:paraId="0000009B">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4.4 Hazard Exposure (Stage 3)</w:t>
      </w:r>
      <w:r w:rsidDel="00000000" w:rsidR="00000000" w:rsidRPr="00000000">
        <w:rPr>
          <w:rtl w:val="0"/>
        </w:rPr>
      </w:r>
    </w:p>
    <w:p w:rsidR="00000000" w:rsidDel="00000000" w:rsidP="00000000" w:rsidRDefault="00000000" w:rsidRPr="00000000" w14:paraId="0000009D">
      <w:pPr>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4.4.1 Wind attenuation</w:t>
      </w:r>
    </w:p>
    <w:p w:rsidR="00000000" w:rsidDel="00000000" w:rsidP="00000000" w:rsidRDefault="00000000" w:rsidRPr="00000000" w14:paraId="0000009E">
      <w:pPr>
        <w:ind w:left="0" w:firstLine="0"/>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local_ win</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ij</m:t>
            </m:r>
          </m:sub>
        </m:sSub>
        <m:r>
          <w:rPr>
            <w:rFonts w:ascii="Times New Roman" w:cs="Times New Roman" w:eastAsia="Times New Roman" w:hAnsi="Times New Roman"/>
            <w:sz w:val="24"/>
            <w:szCs w:val="24"/>
          </w:rPr>
          <m:t xml:space="preserve">=MS</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j</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ij</m:t>
            </m:r>
          </m:sub>
        </m:sSub>
        <m: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j</m:t>
            </m:r>
          </m:sub>
        </m:sSub>
        <m:r>
          <w:rPr>
            <w:rFonts w:ascii="Times New Roman" w:cs="Times New Roman" w:eastAsia="Times New Roman" w:hAnsi="Times New Roman"/>
            <w:sz w:val="24"/>
            <w:szCs w:val="24"/>
          </w:rPr>
          <m:t xml:space="preserve">) [track decay]</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(1-coas</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 /250) [coastal decay] </m:t>
        </m:r>
      </m:oMath>
      <w:r w:rsidDel="00000000" w:rsidR="00000000" w:rsidRPr="00000000">
        <w:rPr>
          <w:rtl w:val="0"/>
        </w:rPr>
      </w:r>
    </w:p>
    <w:p w:rsidR="00000000" w:rsidDel="00000000" w:rsidP="00000000" w:rsidRDefault="00000000" w:rsidRPr="00000000" w14:paraId="0000009F">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ij</m:t>
            </m:r>
          </m:sub>
        </m:sSub>
      </m:oMath>
      <w:r w:rsidDel="00000000" w:rsidR="00000000" w:rsidRPr="00000000">
        <w:rPr>
          <w:rFonts w:ascii="Times New Roman" w:cs="Times New Roman" w:eastAsia="Times New Roman" w:hAnsi="Times New Roman"/>
          <w:sz w:val="24"/>
          <w:szCs w:val="24"/>
          <w:rtl w:val="0"/>
        </w:rPr>
        <w:t xml:space="preserve"> is distance from municipality </w:t>
      </w:r>
      <m:oMath>
        <m:r>
          <w:rPr>
            <w:rFonts w:ascii="Times New Roman" w:cs="Times New Roman" w:eastAsia="Times New Roman" w:hAnsi="Times New Roman"/>
            <w:sz w:val="24"/>
            <w:szCs w:val="24"/>
          </w:rPr>
          <m:t xml:space="preserve">i</m:t>
        </m:r>
      </m:oMath>
      <w:r w:rsidDel="00000000" w:rsidR="00000000" w:rsidRPr="00000000">
        <w:rPr>
          <w:rFonts w:ascii="Times New Roman" w:cs="Times New Roman" w:eastAsia="Times New Roman" w:hAnsi="Times New Roman"/>
          <w:sz w:val="24"/>
          <w:szCs w:val="24"/>
          <w:rtl w:val="0"/>
        </w:rPr>
        <w:t xml:space="preserve"> to storm </w:t>
      </w:r>
      <m:oMath>
        <m:r>
          <w:rPr>
            <w:rFonts w:ascii="Times New Roman" w:cs="Times New Roman" w:eastAsia="Times New Roman" w:hAnsi="Times New Roman"/>
            <w:sz w:val="24"/>
            <w:szCs w:val="24"/>
          </w:rPr>
          <m:t xml:space="preserve">j</m:t>
        </m:r>
      </m:oMath>
      <w:r w:rsidDel="00000000" w:rsidR="00000000" w:rsidRPr="00000000">
        <w:rPr>
          <w:rFonts w:ascii="Times New Roman" w:cs="Times New Roman" w:eastAsia="Times New Roman" w:hAnsi="Times New Roman"/>
          <w:sz w:val="24"/>
          <w:szCs w:val="24"/>
          <w:rtl w:val="0"/>
        </w:rPr>
        <w:t xml:space="preserve">’s track center,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j</m:t>
            </m:r>
          </m:sub>
        </m:sSub>
      </m:oMath>
      <w:r w:rsidDel="00000000" w:rsidR="00000000" w:rsidRPr="00000000">
        <w:rPr>
          <w:rFonts w:ascii="Times New Roman" w:cs="Times New Roman" w:eastAsia="Times New Roman" w:hAnsi="Times New Roman"/>
          <w:sz w:val="24"/>
          <w:szCs w:val="24"/>
          <w:rtl w:val="0"/>
        </w:rPr>
        <w:t xml:space="preserve"> is storm radius, and </w:t>
      </w:r>
      <m:oMath>
        <m:r>
          <w:rPr>
            <w:rFonts w:ascii="Times New Roman" w:cs="Times New Roman" w:eastAsia="Times New Roman" w:hAnsi="Times New Roman"/>
            <w:sz w:val="24"/>
            <w:szCs w:val="24"/>
          </w:rPr>
          <m:t xml:space="preserve">coast</m:t>
        </m:r>
      </m:oMath>
      <w:r w:rsidDel="00000000" w:rsidR="00000000" w:rsidRPr="00000000">
        <w:rPr>
          <w:rFonts w:ascii="Times New Roman" w:cs="Times New Roman" w:eastAsia="Times New Roman" w:hAnsi="Times New Roman"/>
          <w:sz w:val="24"/>
          <w:szCs w:val="24"/>
          <w:rtl w:val="0"/>
        </w:rPr>
        <w:t xml:space="preserve"> is distance to coast.</w:t>
      </w:r>
    </w:p>
    <w:p w:rsidR="00000000" w:rsidDel="00000000" w:rsidP="00000000" w:rsidRDefault="00000000" w:rsidRPr="00000000" w14:paraId="000000A1">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4.5 Disruption Occurrence and Severity (Stage 4)</w:t>
      </w:r>
      <w:r w:rsidDel="00000000" w:rsidR="00000000" w:rsidRPr="00000000">
        <w:rPr>
          <w:rtl w:val="0"/>
        </w:rPr>
      </w:r>
    </w:p>
    <w:p w:rsidR="00000000" w:rsidDel="00000000" w:rsidP="00000000" w:rsidRDefault="00000000" w:rsidRPr="00000000" w14:paraId="000000A3">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sector </w:t>
      </w:r>
      <m:oMath>
        <m:r>
          <w:rPr>
            <w:rFonts w:ascii="Times New Roman" w:cs="Times New Roman" w:eastAsia="Times New Roman" w:hAnsi="Times New Roman"/>
            <w:sz w:val="24"/>
            <w:szCs w:val="24"/>
          </w:rPr>
          <m:t xml:space="preserve">s</m:t>
        </m:r>
      </m:oMath>
      <w:r w:rsidDel="00000000" w:rsidR="00000000" w:rsidRPr="00000000">
        <w:rPr>
          <w:rFonts w:ascii="Times New Roman" w:cs="Times New Roman" w:eastAsia="Times New Roman" w:hAnsi="Times New Roman"/>
          <w:sz w:val="24"/>
          <w:szCs w:val="24"/>
          <w:rtl w:val="0"/>
        </w:rPr>
        <w:t xml:space="preserve">, we compute a covariate score combining relevant hazard and resilience inputs, then generate occurrence and severity:</w:t>
      </w:r>
    </w:p>
    <w:p w:rsidR="00000000" w:rsidDel="00000000" w:rsidP="00000000" w:rsidRDefault="00000000" w:rsidRPr="00000000" w14:paraId="000000A4">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4.5.1 Covariate Score</w:t>
      </w:r>
    </w:p>
    <w:p w:rsidR="00000000" w:rsidDel="00000000" w:rsidP="00000000" w:rsidRDefault="00000000" w:rsidRPr="00000000" w14:paraId="000000A6">
      <w:pPr>
        <w:ind w:left="0" w:firstLine="0"/>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scor</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ijs</m:t>
            </m:r>
          </m:sub>
        </m:sSub>
        <m:r>
          <w:rPr>
            <w:rFonts w:ascii="Times New Roman" w:cs="Times New Roman" w:eastAsia="Times New Roman" w:hAnsi="Times New Roman"/>
            <w:sz w:val="24"/>
            <w:szCs w:val="24"/>
          </w:rPr>
          <m:t xml:space="preserve">=</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k</m:t>
            </m:r>
          </m:sub>
          <m:sup/>
        </m:nary>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sk</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ijk</m:t>
            </m:r>
          </m:sub>
        </m:sSub>
      </m:oMath>
      <w:r w:rsidDel="00000000" w:rsidR="00000000" w:rsidRPr="00000000">
        <w:rPr>
          <w:rtl w:val="0"/>
        </w:rPr>
      </w:r>
    </w:p>
    <w:p w:rsidR="00000000" w:rsidDel="00000000" w:rsidP="00000000" w:rsidRDefault="00000000" w:rsidRPr="00000000" w14:paraId="000000A7">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ijk</m:t>
            </m:r>
          </m:sub>
        </m:sSub>
      </m:oMath>
      <w:r w:rsidDel="00000000" w:rsidR="00000000" w:rsidRPr="00000000">
        <w:rPr>
          <w:rFonts w:ascii="Times New Roman" w:cs="Times New Roman" w:eastAsia="Times New Roman" w:hAnsi="Times New Roman"/>
          <w:sz w:val="24"/>
          <w:szCs w:val="24"/>
          <w:rtl w:val="0"/>
        </w:rPr>
        <w:t xml:space="preserve"> are hazard/resilience inputs and </w:t>
      </w:r>
      <m:oMath>
        <m:sSub>
          <m:sSubPr>
            <m:ctrlPr>
              <w:rPr>
                <w:rFonts w:ascii="Times New Roman" w:cs="Times New Roman" w:eastAsia="Times New Roman" w:hAnsi="Times New Roman"/>
                <w:sz w:val="24"/>
                <w:szCs w:val="24"/>
              </w:rPr>
            </m:ctrlPr>
          </m:sSubPr>
          <m:e>
            <m:r>
              <m:t>β</m:t>
            </m:r>
          </m:e>
          <m:sub>
            <m:r>
              <w:rPr>
                <w:rFonts w:ascii="Times New Roman" w:cs="Times New Roman" w:eastAsia="Times New Roman" w:hAnsi="Times New Roman"/>
                <w:sz w:val="24"/>
                <w:szCs w:val="24"/>
              </w:rPr>
              <m:t xml:space="preserve">sk</m:t>
            </m:r>
          </m:sub>
        </m:sSub>
      </m:oMath>
      <w:r w:rsidDel="00000000" w:rsidR="00000000" w:rsidRPr="00000000">
        <w:rPr>
          <w:rFonts w:ascii="Times New Roman" w:cs="Times New Roman" w:eastAsia="Times New Roman" w:hAnsi="Times New Roman"/>
          <w:sz w:val="24"/>
          <w:szCs w:val="24"/>
          <w:rtl w:val="0"/>
        </w:rPr>
        <w:t xml:space="preserve"> are sector-specific coefficients.</w:t>
      </w:r>
    </w:p>
    <w:p w:rsidR="00000000" w:rsidDel="00000000" w:rsidP="00000000" w:rsidRDefault="00000000" w:rsidRPr="00000000" w14:paraId="000000A8">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4.5.2 Occurrence Probability</w:t>
      </w:r>
    </w:p>
    <w:p w:rsidR="00000000" w:rsidDel="00000000" w:rsidP="00000000" w:rsidRDefault="00000000" w:rsidRPr="00000000" w14:paraId="000000AA">
      <w:pPr>
        <w:ind w:left="0" w:firstLine="0"/>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P(occurrenc</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ijs</m:t>
            </m:r>
          </m:sub>
        </m:sSub>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σ</m:t>
        </m:r>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α</m:t>
                </m:r>
              </m:e>
              <m:sub>
                <m:r>
                  <w:rPr>
                    <w:rFonts w:ascii="Times New Roman" w:cs="Times New Roman" w:eastAsia="Times New Roman" w:hAnsi="Times New Roman"/>
                    <w:sz w:val="24"/>
                    <w:szCs w:val="24"/>
                  </w:rPr>
                  <m:t xml:space="preserve">s</m:t>
                </m:r>
              </m:sub>
              <m:sup>
                <m:r>
                  <w:rPr>
                    <w:rFonts w:ascii="Times New Roman" w:cs="Times New Roman" w:eastAsia="Times New Roman" w:hAnsi="Times New Roman"/>
                    <w:sz w:val="24"/>
                    <w:szCs w:val="24"/>
                  </w:rPr>
                  <m:t xml:space="preserve">occ</m:t>
                </m:r>
              </m:sup>
            </m:sSubSup>
            <m:r>
              <w:rPr>
                <w:rFonts w:ascii="Times New Roman" w:cs="Times New Roman" w:eastAsia="Times New Roman" w:hAnsi="Times New Roman"/>
                <w:sz w:val="24"/>
                <w:szCs w:val="24"/>
              </w:rPr>
              <m:t xml:space="preserve">+scor</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ijs</m:t>
                </m:r>
              </m:sub>
            </m:sSub>
            <m:r>
              <w:rPr>
                <w:rFonts w:ascii="Times New Roman" w:cs="Times New Roman" w:eastAsia="Times New Roman" w:hAnsi="Times New Roman"/>
                <w:sz w:val="24"/>
                <w:szCs w:val="24"/>
              </w:rPr>
              <m:t xml:space="preserve"> )</m:t>
            </m:r>
          </m:e>
          <m:sub/>
        </m:sSub>
      </m:oMath>
      <w:r w:rsidDel="00000000" w:rsidR="00000000" w:rsidRPr="00000000">
        <w:rPr>
          <w:rtl w:val="0"/>
        </w:rPr>
      </w:r>
    </w:p>
    <w:p w:rsidR="00000000" w:rsidDel="00000000" w:rsidP="00000000" w:rsidRDefault="00000000" w:rsidRPr="00000000" w14:paraId="000000AB">
      <w:pPr>
        <w:ind w:lef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4.5.3 Severity (conditional on occurrence)</w:t>
      </w:r>
    </w:p>
    <w:p w:rsidR="00000000" w:rsidDel="00000000" w:rsidP="00000000" w:rsidRDefault="00000000" w:rsidRPr="00000000" w14:paraId="000000AC">
      <w:pPr>
        <w:ind w:left="0" w:firstLine="0"/>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severit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ijs</m:t>
            </m:r>
          </m:sub>
        </m:sSub>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σ</m:t>
        </m:r>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α</m:t>
                </m:r>
              </m:e>
              <m:sub>
                <m:r>
                  <w:rPr>
                    <w:rFonts w:ascii="Times New Roman" w:cs="Times New Roman" w:eastAsia="Times New Roman" w:hAnsi="Times New Roman"/>
                    <w:sz w:val="24"/>
                    <w:szCs w:val="24"/>
                  </w:rPr>
                  <m:t xml:space="preserve">s</m:t>
                </m:r>
              </m:sub>
              <m:sup>
                <m:r>
                  <w:rPr>
                    <w:rFonts w:ascii="Times New Roman" w:cs="Times New Roman" w:eastAsia="Times New Roman" w:hAnsi="Times New Roman"/>
                    <w:sz w:val="24"/>
                    <w:szCs w:val="24"/>
                  </w:rPr>
                  <m:t xml:space="preserve">sev</m:t>
                </m:r>
              </m:sup>
            </m:sSubSup>
            <m:r>
              <w:rPr>
                <w:rFonts w:ascii="Times New Roman" w:cs="Times New Roman" w:eastAsia="Times New Roman" w:hAnsi="Times New Roman"/>
                <w:sz w:val="24"/>
                <w:szCs w:val="24"/>
              </w:rPr>
              <m:t xml:space="preserve">+scor</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ijs</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ϵ</m:t>
                </m:r>
              </m:e>
              <m:sub>
                <m:r>
                  <w:rPr>
                    <w:rFonts w:ascii="Times New Roman" w:cs="Times New Roman" w:eastAsia="Times New Roman" w:hAnsi="Times New Roman"/>
                    <w:sz w:val="24"/>
                    <w:szCs w:val="24"/>
                  </w:rPr>
                  <m:t xml:space="preserve">ijs</m:t>
                </m:r>
              </m:sub>
            </m:sSub>
            <m:r>
              <w:rPr>
                <w:rFonts w:ascii="Times New Roman" w:cs="Times New Roman" w:eastAsia="Times New Roman" w:hAnsi="Times New Roman"/>
                <w:sz w:val="24"/>
                <w:szCs w:val="24"/>
              </w:rPr>
              <m:t xml:space="preserve"> )</m:t>
            </m:r>
          </m:e>
          <m:sub/>
        </m:sSub>
      </m:oMath>
      <w:r w:rsidDel="00000000" w:rsidR="00000000" w:rsidRPr="00000000">
        <w:rPr>
          <w:rtl w:val="0"/>
        </w:rPr>
      </w:r>
    </w:p>
    <w:p w:rsidR="00000000" w:rsidDel="00000000" w:rsidP="00000000" w:rsidRDefault="00000000" w:rsidRPr="00000000" w14:paraId="000000AD">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that occurrence and severity share the same covariate score but use different intercepts </w:t>
      </w:r>
      <m:oMath>
        <m:sSubSup>
          <m:sSubSupPr>
            <m:ctrlPr>
              <w:rPr>
                <w:rFonts w:ascii="Times New Roman" w:cs="Times New Roman" w:eastAsia="Times New Roman" w:hAnsi="Times New Roman"/>
                <w:sz w:val="24"/>
                <w:szCs w:val="24"/>
              </w:rPr>
            </m:ctrlPr>
          </m:sSubSupPr>
          <m:e>
            <m:r>
              <m:t>α</m:t>
            </m:r>
          </m:e>
          <m:sub>
            <m:r>
              <w:rPr>
                <w:rFonts w:ascii="Times New Roman" w:cs="Times New Roman" w:eastAsia="Times New Roman" w:hAnsi="Times New Roman"/>
                <w:sz w:val="24"/>
                <w:szCs w:val="24"/>
              </w:rPr>
              <m:t xml:space="preserve">s</m:t>
            </m:r>
          </m:sub>
          <m:sup>
            <m:r>
              <w:rPr>
                <w:rFonts w:ascii="Times New Roman" w:cs="Times New Roman" w:eastAsia="Times New Roman" w:hAnsi="Times New Roman"/>
                <w:sz w:val="24"/>
                <w:szCs w:val="24"/>
              </w:rPr>
              <m:t xml:space="preserve">occ</m:t>
            </m:r>
          </m:sup>
        </m:sSubSup>
        <m:r>
          <w:rPr>
            <w:rFonts w:ascii="Times New Roman" w:cs="Times New Roman" w:eastAsia="Times New Roman" w:hAnsi="Times New Roman"/>
            <w:sz w:val="24"/>
            <w:szCs w:val="24"/>
          </w:rPr>
          <m:t>≠</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α</m:t>
            </m:r>
          </m:e>
          <m:sub>
            <m:r>
              <w:rPr>
                <w:rFonts w:ascii="Times New Roman" w:cs="Times New Roman" w:eastAsia="Times New Roman" w:hAnsi="Times New Roman"/>
                <w:sz w:val="24"/>
                <w:szCs w:val="24"/>
              </w:rPr>
              <m:t xml:space="preserve">s</m:t>
            </m:r>
          </m:sub>
          <m:sup>
            <m:r>
              <w:rPr>
                <w:rFonts w:ascii="Times New Roman" w:cs="Times New Roman" w:eastAsia="Times New Roman" w:hAnsi="Times New Roman"/>
                <w:sz w:val="24"/>
                <w:szCs w:val="24"/>
              </w:rPr>
              <m:t xml:space="preserve">sev</m:t>
            </m:r>
          </m:sup>
        </m:sSubSup>
      </m:oMath>
      <w:r w:rsidDel="00000000" w:rsidR="00000000" w:rsidRPr="00000000">
        <w:rPr>
          <w:rFonts w:ascii="Times New Roman" w:cs="Times New Roman" w:eastAsia="Times New Roman" w:hAnsi="Times New Roman"/>
          <w:sz w:val="24"/>
          <w:szCs w:val="24"/>
          <w:rtl w:val="0"/>
        </w:rPr>
        <w:t xml:space="preserve">. This allows a sector to have low disruption probability but high severity when disruption does occur. Using a single intercept for both would incorrectly conflate "rare" with "mild."</w:t>
      </w:r>
    </w:p>
    <w:p w:rsidR="00000000" w:rsidDel="00000000" w:rsidP="00000000" w:rsidRDefault="00000000" w:rsidRPr="00000000" w14:paraId="000000AE">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4.6 Recovery Time (Stage 5)</w:t>
      </w:r>
      <w:r w:rsidDel="00000000" w:rsidR="00000000" w:rsidRPr="00000000">
        <w:rPr>
          <w:rtl w:val="0"/>
        </w:rPr>
      </w:r>
    </w:p>
    <w:p w:rsidR="00000000" w:rsidDel="00000000" w:rsidP="00000000" w:rsidRDefault="00000000" w:rsidRPr="00000000" w14:paraId="000000B0">
      <w:pPr>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4.6.1 Recovery Time (days)</w:t>
      </w:r>
    </w:p>
    <w:p w:rsidR="00000000" w:rsidDel="00000000" w:rsidP="00000000" w:rsidRDefault="00000000" w:rsidRPr="00000000" w14:paraId="000000B1">
      <w:pPr>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B2">
      <w:pPr>
        <w:ind w:left="0" w:firstLine="0"/>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recover</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ijs</m:t>
            </m:r>
          </m:sub>
        </m:sSub>
        <m:r>
          <w:rPr>
            <w:rFonts w:ascii="Times New Roman" w:cs="Times New Roman" w:eastAsia="Times New Roman" w:hAnsi="Times New Roman"/>
            <w:sz w:val="24"/>
            <w:szCs w:val="24"/>
          </w:rPr>
          <m:t xml:space="preserve">=cli</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[0.1,90]</m:t>
            </m:r>
          </m:sub>
        </m:sSub>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γ</m:t>
        </m:r>
        <m:r>
          <w:rPr>
            <w:rFonts w:ascii="Times New Roman" w:cs="Times New Roman" w:eastAsia="Times New Roman" w:hAnsi="Times New Roman"/>
            <w:sz w:val="24"/>
            <w:szCs w:val="24"/>
          </w:rPr>
          <m:t xml:space="preserve">0+</m:t>
        </m:r>
        <m:r>
          <w:rPr>
            <w:rFonts w:ascii="Times New Roman" w:cs="Times New Roman" w:eastAsia="Times New Roman" w:hAnsi="Times New Roman"/>
            <w:sz w:val="24"/>
            <w:szCs w:val="24"/>
          </w:rPr>
          <m:t>γ</m:t>
        </m:r>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severit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ijs</m:t>
            </m:r>
          </m:sub>
        </m:sSub>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γ</m:t>
        </m:r>
        <m:r>
          <w:rPr>
            <w:rFonts w:ascii="Times New Roman" w:cs="Times New Roman" w:eastAsia="Times New Roman" w:hAnsi="Times New Roman"/>
            <w:sz w:val="24"/>
            <w:szCs w:val="24"/>
          </w:rPr>
          <m:t xml:space="preserve">2</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dispatc</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 xml:space="preserve">ij</m:t>
            </m:r>
          </m:sub>
        </m:sSub>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γ</m:t>
        </m:r>
        <m:r>
          <w:rPr>
            <w:rFonts w:ascii="Times New Roman" w:cs="Times New Roman" w:eastAsia="Times New Roman" w:hAnsi="Times New Roman"/>
            <w:sz w:val="24"/>
            <w:szCs w:val="24"/>
          </w:rPr>
          <m:t xml:space="preserve">3</m:t>
        </m:r>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G</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+popter</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ϵ</m:t>
            </m:r>
          </m:e>
          <m:sub>
            <m:r>
              <w:rPr>
                <w:rFonts w:ascii="Times New Roman" w:cs="Times New Roman" w:eastAsia="Times New Roman" w:hAnsi="Times New Roman"/>
                <w:sz w:val="24"/>
                <w:szCs w:val="24"/>
              </w:rPr>
              <m:t xml:space="preserve">ijs</m:t>
            </m:r>
          </m:sub>
        </m:sSub>
        <m:r>
          <w:rPr>
            <w:rFonts w:ascii="Times New Roman" w:cs="Times New Roman" w:eastAsia="Times New Roman" w:hAnsi="Times New Roman"/>
            <w:sz w:val="24"/>
            <w:szCs w:val="24"/>
          </w:rPr>
          <m:t xml:space="preserve"> )</m:t>
        </m:r>
      </m:oMath>
      <w:r w:rsidDel="00000000" w:rsidR="00000000" w:rsidRPr="00000000">
        <w:rPr>
          <w:rtl w:val="0"/>
        </w:rPr>
      </w:r>
    </w:p>
    <w:p w:rsidR="00000000" w:rsidDel="00000000" w:rsidP="00000000" w:rsidRDefault="00000000" w:rsidRPr="00000000" w14:paraId="000000B3">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m:oMath>
        <m:r>
          <w:rPr>
            <w:rFonts w:ascii="Times New Roman" w:cs="Times New Roman" w:eastAsia="Times New Roman" w:hAnsi="Times New Roman"/>
            <w:sz w:val="24"/>
            <w:szCs w:val="24"/>
          </w:rPr>
          <m:t xml:space="preserve">popter</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 captures the non-monotonic effect of population (more residents means more repair crews available but more customers to reconnect).</w:t>
      </w:r>
    </w:p>
    <w:p w:rsidR="00000000" w:rsidDel="00000000" w:rsidP="00000000" w:rsidRDefault="00000000" w:rsidRPr="00000000" w14:paraId="000000B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4.6.2 Censoring Indicator</w:t>
      </w:r>
    </w:p>
    <w:p w:rsidR="00000000" w:rsidDel="00000000" w:rsidP="00000000" w:rsidRDefault="00000000" w:rsidRPr="00000000" w14:paraId="000000B7">
      <w:pPr>
        <w:ind w:left="0" w:firstLine="0"/>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censore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ijs</m:t>
            </m:r>
          </m:sub>
        </m:sSub>
        <m:r>
          <w:rPr>
            <w:rFonts w:ascii="Times New Roman" w:cs="Times New Roman" w:eastAsia="Times New Roman" w:hAnsi="Times New Roman"/>
            <w:sz w:val="24"/>
            <w:szCs w:val="24"/>
          </w:rPr>
          <m:t xml:space="preserve">=1[event_dat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j</m:t>
            </m:r>
          </m:sub>
        </m:sSub>
        <m:r>
          <w:rPr>
            <w:rFonts w:ascii="Times New Roman" w:cs="Times New Roman" w:eastAsia="Times New Roman" w:hAnsi="Times New Roman"/>
            <w:sz w:val="24"/>
            <w:szCs w:val="24"/>
          </w:rPr>
          <m:t xml:space="preserve">+recover</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ijs</m:t>
            </m:r>
          </m:sub>
        </m:sSub>
        <m:r>
          <w:rPr>
            <w:rFonts w:ascii="Times New Roman" w:cs="Times New Roman" w:eastAsia="Times New Roman" w:hAnsi="Times New Roman"/>
            <w:sz w:val="24"/>
            <w:szCs w:val="24"/>
          </w:rPr>
          <m:t xml:space="preserve">&gt;snapshot_date]</m:t>
        </m:r>
      </m:oMath>
      <w:r w:rsidDel="00000000" w:rsidR="00000000" w:rsidRPr="00000000">
        <w:rPr>
          <w:rtl w:val="0"/>
        </w:rPr>
      </w:r>
    </w:p>
    <w:p w:rsidR="00000000" w:rsidDel="00000000" w:rsidP="00000000" w:rsidRDefault="00000000" w:rsidRPr="00000000" w14:paraId="000000B8">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Data Schema</w:t>
      </w:r>
    </w:p>
    <w:p w:rsidR="00000000" w:rsidDel="00000000" w:rsidP="00000000" w:rsidRDefault="00000000" w:rsidRPr="00000000" w14:paraId="000000BA">
      <w:pPr>
        <w:ind w:left="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5.1 Table Structure</w:t>
      </w:r>
    </w:p>
    <w:p w:rsidR="00000000" w:rsidDel="00000000" w:rsidP="00000000" w:rsidRDefault="00000000" w:rsidRPr="00000000" w14:paraId="000000BB">
      <w:pPr>
        <w:ind w:left="0" w:firstLine="0"/>
        <w:jc w:val="both"/>
        <w:rPr>
          <w:rFonts w:ascii="Times New Roman" w:cs="Times New Roman" w:eastAsia="Times New Roman" w:hAnsi="Times New Roman"/>
          <w:sz w:val="24"/>
          <w:szCs w:val="24"/>
        </w:rPr>
      </w:pPr>
      <w:r w:rsidDel="00000000" w:rsidR="00000000" w:rsidRPr="00000000">
        <w:rPr>
          <w:rtl w:val="0"/>
        </w:rPr>
      </w:r>
    </w:p>
    <w:tbl>
      <w:tblPr>
        <w:tblStyle w:val="Table4"/>
        <w:tblW w:w="9930.0" w:type="dxa"/>
        <w:jc w:val="left"/>
        <w:tblInd w:w="-4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1965"/>
        <w:gridCol w:w="1965"/>
        <w:gridCol w:w="1695"/>
        <w:gridCol w:w="2235"/>
        <w:tblGridChange w:id="0">
          <w:tblGrid>
            <w:gridCol w:w="2070"/>
            <w:gridCol w:w="1965"/>
            <w:gridCol w:w="1965"/>
            <w:gridCol w:w="1695"/>
            <w:gridCol w:w="2235"/>
          </w:tblGrid>
        </w:tblGridChange>
      </w:tblGrid>
      <w:tr>
        <w:trPr>
          <w:cantSplit w:val="0"/>
          <w:tblHeader w:val="0"/>
        </w:trPr>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w:t>
            </w:r>
          </w:p>
        </w:tc>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Grain</w:t>
            </w:r>
          </w:p>
        </w:tc>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Key</w:t>
            </w:r>
          </w:p>
        </w:tc>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Foreign Keys</w:t>
            </w:r>
          </w:p>
        </w:tc>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Approximate Rows (at 1,500 areas x 300 events)</w:t>
            </w:r>
          </w:p>
        </w:tc>
      </w:tr>
      <w:tr>
        <w:trPr>
          <w:cantSplit w:val="0"/>
          <w:tblHeader w:val="0"/>
        </w:trPr>
        <w:tc>
          <w:tcPr>
            <w:tcBorders>
              <w:top w:color="000000" w:space="0" w:sz="12"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areas</w:t>
            </w:r>
          </w:p>
        </w:tc>
        <w:tc>
          <w:tcPr>
            <w:tcBorders>
              <w:top w:color="000000" w:space="0" w:sz="12"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row per municipality</w:t>
            </w:r>
          </w:p>
        </w:tc>
        <w:tc>
          <w:tcPr>
            <w:tcBorders>
              <w:top w:color="000000" w:space="0" w:sz="12"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area_id</w:t>
            </w:r>
          </w:p>
        </w:tc>
        <w:tc>
          <w:tcPr>
            <w:tcBorders>
              <w:top w:color="000000" w:space="0" w:sz="12"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12"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typhoon_events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row per storm</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event_id</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hazard_exposure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row per area-event pair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area_id, event_id</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→areas, →events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450,000</w:t>
            </w:r>
          </w:p>
        </w:tc>
      </w:tr>
      <w:tr>
        <w:trPr>
          <w:cantSplit w:val="0"/>
          <w:tblHeader w:val="0"/>
        </w:trPr>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sector_disruption</w:t>
            </w:r>
          </w:p>
        </w:tc>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row per area-event-sector</w:t>
            </w:r>
          </w:p>
        </w:tc>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area_id, event_id, sector</w:t>
            </w:r>
          </w:p>
        </w:tc>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→areas, →events</w:t>
            </w:r>
          </w:p>
        </w:tc>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2,250,000</w:t>
            </w:r>
          </w:p>
        </w:tc>
      </w:tr>
    </w:tbl>
    <w:p w:rsidR="00000000" w:rsidDel="00000000" w:rsidP="00000000" w:rsidRDefault="00000000" w:rsidRPr="00000000" w14:paraId="000000D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5.2 Legend for Variable Types</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w:t>
            </w:r>
          </w:p>
        </w:tc>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Meaning</w:t>
            </w:r>
          </w:p>
        </w:tc>
      </w:tr>
      <w:tr>
        <w:trPr>
          <w:cantSplit w:val="0"/>
          <w:tblHeader w:val="0"/>
        </w:trPr>
        <w:tc>
          <w:tcPr>
            <w:tcBorders>
              <w:top w:color="000000" w:space="0" w:sz="12"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t>
            </w:r>
          </w:p>
        </w:tc>
        <w:tc>
          <w:tcPr>
            <w:tcBorders>
              <w:top w:color="000000" w:space="0" w:sz="12"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Generated (exogenous random draw)</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Derived (function of parent variables)</w:t>
            </w:r>
          </w:p>
        </w:tc>
      </w:tr>
      <w:tr>
        <w:trPr>
          <w:cantSplit w:val="0"/>
          <w:tblHeader w:val="0"/>
        </w:trPr>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w:t>
            </w:r>
          </w:p>
        </w:tc>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Latent (used in generation, dropped before export)</w:t>
            </w:r>
          </w:p>
        </w:tc>
      </w:tr>
    </w:tbl>
    <w:p w:rsidR="00000000" w:rsidDel="00000000" w:rsidP="00000000" w:rsidRDefault="00000000" w:rsidRPr="00000000" w14:paraId="000000E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Data Dictionary</w:t>
      </w:r>
    </w:p>
    <w:p w:rsidR="00000000" w:rsidDel="00000000" w:rsidP="00000000" w:rsidRDefault="00000000" w:rsidRPr="00000000" w14:paraId="000000E4">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6.1 typhoon_events Table</w:t>
      </w:r>
      <w:r w:rsidDel="00000000" w:rsidR="00000000" w:rsidRPr="00000000">
        <w:rPr>
          <w:rtl w:val="0"/>
        </w:rPr>
      </w:r>
    </w:p>
    <w:tbl>
      <w:tblPr>
        <w:tblStyle w:val="Table6"/>
        <w:tblW w:w="10515.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1470"/>
        <w:gridCol w:w="2415"/>
        <w:gridCol w:w="810"/>
        <w:gridCol w:w="2805"/>
        <w:tblGridChange w:id="0">
          <w:tblGrid>
            <w:gridCol w:w="3015"/>
            <w:gridCol w:w="1470"/>
            <w:gridCol w:w="2415"/>
            <w:gridCol w:w="810"/>
            <w:gridCol w:w="2805"/>
          </w:tblGrid>
        </w:tblGridChange>
      </w:tblGrid>
      <w:tr>
        <w:trPr>
          <w:cantSplit w:val="0"/>
          <w:tblHeader w:val="0"/>
        </w:trPr>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p>
        </w:tc>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Unit / range</w:t>
            </w:r>
          </w:p>
        </w:tc>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Kind</w:t>
            </w:r>
          </w:p>
        </w:tc>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Parents/Formula</w:t>
            </w:r>
          </w:p>
        </w:tc>
      </w:tr>
      <w:tr>
        <w:trPr>
          <w:cantSplit w:val="0"/>
          <w:tblHeader w:val="0"/>
        </w:trPr>
        <w:tc>
          <w:tcPr>
            <w:tcBorders>
              <w:top w:color="000000" w:space="0" w:sz="12"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0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event_id</w:t>
            </w:r>
          </w:p>
        </w:tc>
        <w:tc>
          <w:tcPr>
            <w:tcBorders>
              <w:top w:color="000000" w:space="0" w:sz="12" w:val="single"/>
              <w:left w:color="ffffff" w:space="0" w:sz="6"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12"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12" w:val="single"/>
              <w:left w:color="ffffff" w:space="0" w:sz="8" w:val="single"/>
              <w:bottom w:color="ffffff" w:space="0" w:sz="8"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12"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0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0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 month</w:t>
            </w:r>
          </w:p>
        </w:tc>
        <w:tc>
          <w:tcPr>
            <w:tcBorders>
              <w:top w:color="ffffff" w:space="0" w:sz="8" w:val="single"/>
              <w:left w:color="ffffff" w:space="0" w:sz="6"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Calendar</w:t>
            </w:r>
          </w:p>
        </w:tc>
        <w:tc>
          <w:tcPr>
            <w:tcBorders>
              <w:top w:color="ffffff" w:space="0" w:sz="8" w:val="single"/>
              <w:left w:color="ffffff" w:space="0" w:sz="8" w:val="single"/>
              <w:bottom w:color="ffffff" w:space="0" w:sz="8"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0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Seasonally weighted sampling</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0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event_date</w:t>
            </w:r>
          </w:p>
        </w:tc>
        <w:tc>
          <w:tcPr>
            <w:tcBorders>
              <w:top w:color="ffffff" w:space="0" w:sz="8" w:val="single"/>
              <w:left w:color="ffffff" w:space="0" w:sz="6"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 8601</w:t>
            </w:r>
          </w:p>
        </w:tc>
        <w:tc>
          <w:tcPr>
            <w:tcBorders>
              <w:top w:color="ffffff" w:space="0" w:sz="8" w:val="single"/>
              <w:left w:color="ffffff" w:space="0" w:sz="8" w:val="single"/>
              <w:bottom w:color="ffffff" w:space="0" w:sz="8"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0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 month, day</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0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max_wind_speed_kph</w:t>
            </w:r>
          </w:p>
        </w:tc>
        <w:tc>
          <w:tcPr>
            <w:tcBorders>
              <w:top w:color="ffffff" w:space="0" w:sz="8" w:val="single"/>
              <w:left w:color="ffffff" w:space="0" w:sz="6"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39-300</w:t>
            </w:r>
          </w:p>
        </w:tc>
        <w:tc>
          <w:tcPr>
            <w:tcBorders>
              <w:top w:color="ffffff" w:space="0" w:sz="8" w:val="single"/>
              <w:left w:color="ffffff" w:space="0" w:sz="8" w:val="single"/>
              <w:bottom w:color="ffffff" w:space="0" w:sz="8"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0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Weibull distribution</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0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pagasa_category</w:t>
            </w:r>
          </w:p>
        </w:tc>
        <w:tc>
          <w:tcPr>
            <w:tcBorders>
              <w:top w:color="ffffff" w:space="0" w:sz="8" w:val="single"/>
              <w:left w:color="ffffff" w:space="0" w:sz="6"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categorical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TD/TS/STS/TY/STY</w:t>
            </w:r>
          </w:p>
        </w:tc>
        <w:tc>
          <w:tcPr>
            <w:tcBorders>
              <w:top w:color="ffffff" w:space="0" w:sz="8" w:val="single"/>
              <w:left w:color="ffffff" w:space="0" w:sz="8" w:val="single"/>
              <w:bottom w:color="ffffff" w:space="0" w:sz="8"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Thresholds on max_wind_speed_kph</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central_pressure_hpa</w:t>
            </w:r>
          </w:p>
        </w:tc>
        <w:tc>
          <w:tcPr>
            <w:tcBorders>
              <w:top w:color="ffffff" w:space="0" w:sz="8" w:val="single"/>
              <w:left w:color="ffffff" w:space="0" w:sz="6"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870-1010</w:t>
            </w:r>
          </w:p>
        </w:tc>
        <w:tc>
          <w:tcPr>
            <w:tcBorders>
              <w:top w:color="ffffff" w:space="0" w:sz="8" w:val="single"/>
              <w:left w:color="ffffff" w:space="0" w:sz="8" w:val="single"/>
              <w:bottom w:color="ffffff" w:space="0" w:sz="8"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Atkinson-Holliday inversion </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total_rainfall_mm</w:t>
            </w:r>
          </w:p>
        </w:tc>
        <w:tc>
          <w:tcPr>
            <w:tcBorders>
              <w:top w:color="ffffff" w:space="0" w:sz="8" w:val="single"/>
              <w:left w:color="ffffff" w:space="0" w:sz="6"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20-2000</w:t>
            </w:r>
          </w:p>
        </w:tc>
        <w:tc>
          <w:tcPr>
            <w:tcBorders>
              <w:top w:color="ffffff" w:space="0" w:sz="8" w:val="single"/>
              <w:left w:color="ffffff" w:space="0" w:sz="8" w:val="single"/>
              <w:bottom w:color="ffffff" w:space="0" w:sz="8"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in wind speed plus noise</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storm_surge_potential_m</w:t>
            </w:r>
          </w:p>
        </w:tc>
        <w:tc>
          <w:tcPr>
            <w:tcBorders>
              <w:top w:color="ffffff" w:space="0" w:sz="8" w:val="single"/>
              <w:left w:color="ffffff" w:space="0" w:sz="6"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w:t>
            </w:r>
          </w:p>
        </w:tc>
        <w:tc>
          <w:tcPr>
            <w:tcBorders>
              <w:top w:color="ffffff" w:space="0" w:sz="8" w:val="single"/>
              <w:left w:color="ffffff" w:space="0" w:sz="8" w:val="single"/>
              <w:bottom w:color="ffffff" w:space="0" w:sz="8"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of pressure</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landfall_region</w:t>
            </w:r>
          </w:p>
        </w:tc>
        <w:tc>
          <w:tcPr>
            <w:tcBorders>
              <w:top w:color="ffffff" w:space="0" w:sz="8" w:val="single"/>
              <w:left w:color="ffffff" w:space="0" w:sz="6"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categorical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synthetic corridors</w:t>
            </w:r>
          </w:p>
        </w:tc>
        <w:tc>
          <w:tcPr>
            <w:tcBorders>
              <w:top w:color="ffffff" w:space="0" w:sz="8" w:val="single"/>
              <w:left w:color="ffffff" w:space="0" w:sz="8" w:val="single"/>
              <w:bottom w:color="ffffff" w:space="0" w:sz="8"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track_radius_km</w:t>
            </w:r>
          </w:p>
        </w:tc>
        <w:tc>
          <w:tcPr>
            <w:tcBorders>
              <w:top w:color="ffffff" w:space="0" w:sz="8" w:val="single"/>
              <w:left w:color="ffffff" w:space="0" w:sz="6"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Gamma(3,40)</w:t>
            </w:r>
          </w:p>
        </w:tc>
        <w:tc>
          <w:tcPr>
            <w:tcBorders>
              <w:top w:color="ffffff" w:space="0" w:sz="8" w:val="single"/>
              <w:left w:color="ffffff" w:space="0" w:sz="8" w:val="single"/>
              <w:bottom w:color="ffffff" w:space="0" w:sz="8"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ffffff" w:space="0" w:sz="6" w:val="single"/>
              <w:left w:color="ffffff" w:space="0" w:sz="6" w:val="single"/>
              <w:bottom w:color="000000" w:space="0" w:sz="12"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duration_days</w:t>
            </w:r>
          </w:p>
        </w:tc>
        <w:tc>
          <w:tcPr>
            <w:tcBorders>
              <w:top w:color="ffffff" w:space="0" w:sz="8" w:val="single"/>
              <w:left w:color="ffffff" w:space="0" w:sz="6"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0.5-7</w:t>
            </w:r>
          </w:p>
        </w:tc>
        <w:tc>
          <w:tcPr>
            <w:tcBorders>
              <w:top w:color="ffffff" w:space="0" w:sz="8" w:val="single"/>
              <w:left w:color="ffffff" w:space="0" w:sz="8" w:val="single"/>
              <w:bottom w:color="000000" w:space="0" w:sz="12"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t>
            </w:r>
          </w:p>
        </w:tc>
        <w:tc>
          <w:tcPr>
            <w:tcBorders>
              <w:top w:color="ffffff" w:space="0" w:sz="6" w:val="single"/>
              <w:left w:color="ffffff" w:space="0" w:sz="6" w:val="single"/>
              <w:bottom w:color="000000" w:space="0" w:sz="12"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of wind speed</w:t>
            </w:r>
          </w:p>
        </w:tc>
      </w:tr>
    </w:tbl>
    <w:p w:rsidR="00000000" w:rsidDel="00000000" w:rsidP="00000000" w:rsidRDefault="00000000" w:rsidRPr="00000000" w14:paraId="0000012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PAGASA Categories </w:t>
      </w:r>
      <w:r w:rsidDel="00000000" w:rsidR="00000000" w:rsidRPr="00000000">
        <w:rPr>
          <w:rFonts w:ascii="Times New Roman" w:cs="Times New Roman" w:eastAsia="Times New Roman" w:hAnsi="Times New Roman"/>
          <w:sz w:val="24"/>
          <w:szCs w:val="24"/>
          <w:vertAlign w:val="superscript"/>
        </w:rPr>
        <w:footnoteReference w:customMarkFollows="0" w:id="7"/>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3">
      <w:pPr>
        <w:numPr>
          <w:ilvl w:val="0"/>
          <w:numId w:val="7"/>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TD: Tropical Depression (39-61 kph)</w:t>
      </w:r>
    </w:p>
    <w:p w:rsidR="00000000" w:rsidDel="00000000" w:rsidP="00000000" w:rsidRDefault="00000000" w:rsidRPr="00000000" w14:paraId="00000124">
      <w:pPr>
        <w:numPr>
          <w:ilvl w:val="0"/>
          <w:numId w:val="7"/>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TS: Tropical Storm (62-88 kph)</w:t>
      </w:r>
    </w:p>
    <w:p w:rsidR="00000000" w:rsidDel="00000000" w:rsidP="00000000" w:rsidRDefault="00000000" w:rsidRPr="00000000" w14:paraId="00000125">
      <w:pPr>
        <w:numPr>
          <w:ilvl w:val="0"/>
          <w:numId w:val="7"/>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STS: Severe Tropical Storm (89-117 kph)</w:t>
      </w:r>
    </w:p>
    <w:p w:rsidR="00000000" w:rsidDel="00000000" w:rsidP="00000000" w:rsidRDefault="00000000" w:rsidRPr="00000000" w14:paraId="00000126">
      <w:pPr>
        <w:numPr>
          <w:ilvl w:val="0"/>
          <w:numId w:val="7"/>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TY: Typhoon (118-184 kph)</w:t>
        <w:br w:type="textWrapping"/>
        <w:t xml:space="preserve">STY: Super Typhoon (</w:t>
      </w:r>
      <m:oMath>
        <m:r>
          <m:t>≥</m:t>
        </m:r>
      </m:oMath>
      <w:r w:rsidDel="00000000" w:rsidR="00000000" w:rsidRPr="00000000">
        <w:rPr>
          <w:rFonts w:ascii="Times New Roman" w:cs="Times New Roman" w:eastAsia="Times New Roman" w:hAnsi="Times New Roman"/>
          <w:sz w:val="24"/>
          <w:szCs w:val="24"/>
          <w:rtl w:val="0"/>
        </w:rPr>
        <w:t xml:space="preserve">185 kph)</w:t>
      </w:r>
    </w:p>
    <w:p w:rsidR="00000000" w:rsidDel="00000000" w:rsidP="00000000" w:rsidRDefault="00000000" w:rsidRPr="00000000" w14:paraId="0000012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6.2 areas Table</w:t>
      </w:r>
      <w:r w:rsidDel="00000000" w:rsidR="00000000" w:rsidRPr="00000000">
        <w:rPr>
          <w:rtl w:val="0"/>
        </w:rPr>
      </w:r>
    </w:p>
    <w:tbl>
      <w:tblPr>
        <w:tblStyle w:val="Table7"/>
        <w:tblW w:w="10515.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1470"/>
        <w:gridCol w:w="2175"/>
        <w:gridCol w:w="1080"/>
        <w:gridCol w:w="2775"/>
        <w:tblGridChange w:id="0">
          <w:tblGrid>
            <w:gridCol w:w="3015"/>
            <w:gridCol w:w="1470"/>
            <w:gridCol w:w="2175"/>
            <w:gridCol w:w="1080"/>
            <w:gridCol w:w="2775"/>
          </w:tblGrid>
        </w:tblGridChange>
      </w:tblGrid>
      <w:tr>
        <w:trPr>
          <w:cantSplit w:val="0"/>
          <w:tblHeader w:val="0"/>
        </w:trPr>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p>
        </w:tc>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Unit / range</w:t>
            </w:r>
          </w:p>
        </w:tc>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Kind</w:t>
            </w:r>
          </w:p>
        </w:tc>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Parents</w:t>
            </w:r>
          </w:p>
        </w:tc>
      </w:tr>
      <w:tr>
        <w:trPr>
          <w:cantSplit w:val="0"/>
          <w:tblHeader w:val="0"/>
        </w:trPr>
        <w:tc>
          <w:tcPr>
            <w:tcBorders>
              <w:top w:color="000000" w:space="0" w:sz="12"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area_id</w:t>
            </w:r>
          </w:p>
        </w:tc>
        <w:tc>
          <w:tcPr>
            <w:tcBorders>
              <w:top w:color="000000" w:space="0" w:sz="12"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12"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12"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12"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archetype</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categorical</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levels</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Weighted sampling</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categorical</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synthetic regions</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Conditional on archetype</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region_position_km</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0-300</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4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Synthetic corridor positon</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population</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LogNormal</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Archetype-specific parameters</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poverty_incidence_pct</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0-100</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Beta distribution, archetype-specific</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elevation_m</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0-2000</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Gamma distribution, archetype-specific</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distance_to_coast_km</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0-150</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Uniform, archetype-specific</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avg_annual_rainfall_mm</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Climatology</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archetype-specific</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historical_typhoon_frequency</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Events / yr</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archetype-specific</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landslide_susceptibility</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Archetype + elevation</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governance_capacity</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L (latent)</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Beta(2.5, 2.5) -DROPPED BEFORE EXPORT</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infrastructure_condition_index</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Governance capacity + archetype</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grid_redundancy_index</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Governance capacity + archetype</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road_network_connectivity_index</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Governance capacity + archetype</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water_backup_supply</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Governance capacity + archetype</w:t>
            </w:r>
          </w:p>
        </w:tc>
      </w:tr>
      <w:tr>
        <w:trPr>
          <w:cantSplit w:val="0"/>
          <w:tblHeader w:val="0"/>
        </w:trPr>
        <w:tc>
          <w:tcPr>
            <w:tcBorders>
              <w:top w:color="ffffff" w:space="0" w:sz="6" w:val="single"/>
              <w:left w:color="ffffff" w:space="0" w:sz="6" w:val="single"/>
              <w:bottom w:color="000000" w:space="0" w:sz="12"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hospital_backup_power_hours</w:t>
            </w:r>
          </w:p>
        </w:tc>
        <w:tc>
          <w:tcPr>
            <w:tcBorders>
              <w:top w:color="ffffff" w:space="0" w:sz="6" w:val="single"/>
              <w:left w:color="ffffff" w:space="0" w:sz="6" w:val="single"/>
              <w:bottom w:color="000000" w:space="0" w:sz="12"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ffffff" w:space="0" w:sz="6" w:val="single"/>
              <w:left w:color="ffffff" w:space="0" w:sz="6" w:val="single"/>
              <w:bottom w:color="000000" w:space="0" w:sz="12"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0-72</w:t>
            </w:r>
          </w:p>
        </w:tc>
        <w:tc>
          <w:tcPr>
            <w:tcBorders>
              <w:top w:color="ffffff" w:space="0" w:sz="6" w:val="single"/>
              <w:left w:color="ffffff" w:space="0" w:sz="6" w:val="single"/>
              <w:bottom w:color="000000" w:space="0" w:sz="12"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tcBorders>
              <w:top w:color="ffffff" w:space="0" w:sz="6" w:val="single"/>
              <w:left w:color="ffffff" w:space="0" w:sz="6" w:val="single"/>
              <w:bottom w:color="000000" w:space="0" w:sz="12"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Governance capacity + archetype</w:t>
            </w:r>
          </w:p>
        </w:tc>
      </w:tr>
    </w:tbl>
    <w:p w:rsidR="00000000" w:rsidDel="00000000" w:rsidP="00000000" w:rsidRDefault="00000000" w:rsidRPr="00000000" w14:paraId="0000018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6.3 hazard_exposure Table</w:t>
      </w:r>
      <w:r w:rsidDel="00000000" w:rsidR="00000000" w:rsidRPr="00000000">
        <w:rPr>
          <w:rtl w:val="0"/>
        </w:rPr>
      </w:r>
    </w:p>
    <w:tbl>
      <w:tblPr>
        <w:tblStyle w:val="Table8"/>
        <w:tblW w:w="10515.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1470"/>
        <w:gridCol w:w="1800"/>
        <w:gridCol w:w="960"/>
        <w:gridCol w:w="3270"/>
        <w:tblGridChange w:id="0">
          <w:tblGrid>
            <w:gridCol w:w="3015"/>
            <w:gridCol w:w="1470"/>
            <w:gridCol w:w="1800"/>
            <w:gridCol w:w="960"/>
            <w:gridCol w:w="3270"/>
          </w:tblGrid>
        </w:tblGridChange>
      </w:tblGrid>
      <w:tr>
        <w:trPr>
          <w:cantSplit w:val="0"/>
          <w:tblHeader w:val="0"/>
        </w:trPr>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p>
        </w:tc>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Unit / range</w:t>
            </w:r>
          </w:p>
        </w:tc>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Kind</w:t>
            </w:r>
          </w:p>
        </w:tc>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Parents</w:t>
            </w:r>
          </w:p>
        </w:tc>
      </w:tr>
      <w:tr>
        <w:trPr>
          <w:cantSplit w:val="0"/>
          <w:tblHeader w:val="0"/>
        </w:trPr>
        <w:tc>
          <w:tcPr>
            <w:tcBorders>
              <w:top w:color="000000" w:space="0" w:sz="12"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area_id, event_id</w:t>
            </w:r>
          </w:p>
        </w:tc>
        <w:tc>
          <w:tcPr>
            <w:tcBorders>
              <w:top w:color="000000" w:space="0" w:sz="12"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12"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12"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12"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exposed</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binary</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 match AND within track radius</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local_wind_speed_kph</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0-300</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wind × attenuation × coastal decay</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local_rainfall_mm</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0-2000</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rainfall × attenuation × terrain factor</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flood_depth_m</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rainfall, elevation, climatology</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storm_surge_height_m</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Surge potential, distance to coast</w:t>
            </w:r>
          </w:p>
        </w:tc>
      </w:tr>
      <w:tr>
        <w:trPr>
          <w:cantSplit w:val="0"/>
          <w:tblHeader w:val="0"/>
        </w:trPr>
        <w:tc>
          <w:tcPr>
            <w:tcBorders>
              <w:top w:color="ffffff" w:space="0" w:sz="6" w:val="single"/>
              <w:left w:color="ffffff" w:space="0" w:sz="6" w:val="single"/>
              <w:bottom w:color="000000" w:space="0" w:sz="12"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landslide_trigger_score</w:t>
            </w:r>
          </w:p>
        </w:tc>
        <w:tc>
          <w:tcPr>
            <w:tcBorders>
              <w:top w:color="ffffff" w:space="0" w:sz="6" w:val="single"/>
              <w:left w:color="ffffff" w:space="0" w:sz="6" w:val="single"/>
              <w:bottom w:color="000000" w:space="0" w:sz="12"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ffffff" w:space="0" w:sz="6" w:val="single"/>
              <w:left w:color="ffffff" w:space="0" w:sz="6" w:val="single"/>
              <w:bottom w:color="000000" w:space="0" w:sz="12"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tcBorders>
              <w:top w:color="ffffff" w:space="0" w:sz="6" w:val="single"/>
              <w:left w:color="ffffff" w:space="0" w:sz="6" w:val="single"/>
              <w:bottom w:color="000000" w:space="0" w:sz="12"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tcBorders>
              <w:top w:color="ffffff" w:space="0" w:sz="6" w:val="single"/>
              <w:left w:color="ffffff" w:space="0" w:sz="6" w:val="single"/>
              <w:bottom w:color="000000" w:space="0" w:sz="12"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Susceptibility × rainfall intensity</w:t>
            </w:r>
          </w:p>
        </w:tc>
      </w:tr>
    </w:tbl>
    <w:p w:rsidR="00000000" w:rsidDel="00000000" w:rsidP="00000000" w:rsidRDefault="00000000" w:rsidRPr="00000000" w14:paraId="000001A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6.4 sector_disruption Table</w:t>
      </w:r>
      <w:r w:rsidDel="00000000" w:rsidR="00000000" w:rsidRPr="00000000">
        <w:rPr>
          <w:rtl w:val="0"/>
        </w:rPr>
      </w:r>
    </w:p>
    <w:tbl>
      <w:tblPr>
        <w:tblStyle w:val="Table9"/>
        <w:tblW w:w="10515.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1470"/>
        <w:gridCol w:w="2415"/>
        <w:gridCol w:w="810"/>
        <w:gridCol w:w="2805"/>
        <w:tblGridChange w:id="0">
          <w:tblGrid>
            <w:gridCol w:w="3015"/>
            <w:gridCol w:w="1470"/>
            <w:gridCol w:w="2415"/>
            <w:gridCol w:w="810"/>
            <w:gridCol w:w="2805"/>
          </w:tblGrid>
        </w:tblGridChange>
      </w:tblGrid>
      <w:tr>
        <w:trPr>
          <w:cantSplit w:val="0"/>
          <w:tblHeader w:val="0"/>
        </w:trPr>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p>
        </w:tc>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Unit / range</w:t>
            </w:r>
          </w:p>
        </w:tc>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Kind</w:t>
            </w:r>
          </w:p>
        </w:tc>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Parents</w:t>
            </w:r>
          </w:p>
        </w:tc>
      </w:tr>
      <w:tr>
        <w:trPr>
          <w:cantSplit w:val="0"/>
          <w:tblHeader w:val="0"/>
        </w:trPr>
        <w:tc>
          <w:tcPr>
            <w:tcBorders>
              <w:top w:color="000000" w:space="0" w:sz="12"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area_id, event_id, sector</w:t>
            </w:r>
          </w:p>
        </w:tc>
        <w:tc>
          <w:tcPr>
            <w:tcBorders>
              <w:top w:color="000000" w:space="0" w:sz="12"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keys</w:t>
            </w:r>
          </w:p>
        </w:tc>
        <w:tc>
          <w:tcPr>
            <w:tcBorders>
              <w:top w:color="000000" w:space="0" w:sz="12"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B7">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sector ∈ {power, road, water, telecom, health}</w:t>
            </w:r>
          </w:p>
        </w:tc>
        <w:tc>
          <w:tcPr>
            <w:tcBorders>
              <w:top w:color="000000" w:space="0" w:sz="12"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12"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disruption_occurred</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binary</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Sector-specific logistic model</w:t>
            </w:r>
          </w:p>
        </w:tc>
      </w:tr>
      <w:tr>
        <w:trPr>
          <w:cantSplit w:val="0"/>
          <w:trHeight w:val="416.953125" w:hRule="atLeast"/>
          <w:tblHeader w:val="0"/>
        </w:trPr>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 conditional on occurred</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Sector-specific severity model</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dispatch_time_hours</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0.5-120</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Road severity, governance, population </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recovery_time_days</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0.1-90+</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 dispatch, governance, population </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censored_flag</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binary</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Recovery completion vs. snapshot date </w:t>
            </w:r>
          </w:p>
        </w:tc>
      </w:tr>
      <w:tr>
        <w:trPr>
          <w:cantSplit w:val="0"/>
          <w:tblHeader w:val="0"/>
        </w:trPr>
        <w:tc>
          <w:tcPr>
            <w:tcBorders>
              <w:top w:color="ffffff" w:space="0" w:sz="6" w:val="single"/>
              <w:left w:color="ffffff" w:space="0" w:sz="6" w:val="single"/>
              <w:bottom w:color="000000" w:space="0" w:sz="12"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reporting_lag_days</w:t>
            </w:r>
          </w:p>
        </w:tc>
        <w:tc>
          <w:tcPr>
            <w:tcBorders>
              <w:top w:color="ffffff" w:space="0" w:sz="6" w:val="single"/>
              <w:left w:color="ffffff" w:space="0" w:sz="6" w:val="single"/>
              <w:bottom w:color="000000" w:space="0" w:sz="12"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ffffff" w:space="0" w:sz="6" w:val="single"/>
              <w:left w:color="ffffff" w:space="0" w:sz="6" w:val="single"/>
              <w:bottom w:color="000000" w:space="0" w:sz="12"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0-14</w:t>
            </w:r>
          </w:p>
        </w:tc>
        <w:tc>
          <w:tcPr>
            <w:tcBorders>
              <w:top w:color="ffffff" w:space="0" w:sz="6" w:val="single"/>
              <w:left w:color="ffffff" w:space="0" w:sz="6" w:val="single"/>
              <w:bottom w:color="000000" w:space="0" w:sz="12"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tcBorders>
              <w:top w:color="ffffff" w:space="0" w:sz="6" w:val="single"/>
              <w:left w:color="ffffff" w:space="0" w:sz="6" w:val="single"/>
              <w:bottom w:color="000000" w:space="0" w:sz="12"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Governance capacity (inverse relationship)</w:t>
            </w:r>
          </w:p>
        </w:tc>
      </w:tr>
    </w:tbl>
    <w:p w:rsidR="00000000" w:rsidDel="00000000" w:rsidP="00000000" w:rsidRDefault="00000000" w:rsidRPr="00000000" w14:paraId="000001D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Constraint Table: Qualitative Relationships</w:t>
      </w:r>
    </w:p>
    <w:p w:rsidR="00000000" w:rsidDel="00000000" w:rsidP="00000000" w:rsidRDefault="00000000" w:rsidRPr="00000000" w14:paraId="000001DD">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sign and relative-strength constraints were established before parameter calibration. Exact coefficients are Tier-2 expert-calibrated starting points (see </w:t>
      </w:r>
      <w:r w:rsidDel="00000000" w:rsidR="00000000" w:rsidRPr="00000000">
        <w:rPr>
          <w:rFonts w:ascii="Times New Roman" w:cs="Times New Roman" w:eastAsia="Times New Roman" w:hAnsi="Times New Roman"/>
          <w:i w:val="1"/>
          <w:iCs w:val="1"/>
          <w:sz w:val="24"/>
          <w:szCs w:val="24"/>
          <w:rtl w:val="0"/>
        </w:rPr>
        <w:t xml:space="preserve">Section 8</w:t>
      </w:r>
      <w:r w:rsidDel="00000000" w:rsidR="00000000" w:rsidRPr="00000000">
        <w:rPr>
          <w:rFonts w:ascii="Times New Roman" w:cs="Times New Roman" w:eastAsia="Times New Roman" w:hAnsi="Times New Roman"/>
          <w:sz w:val="24"/>
          <w:szCs w:val="24"/>
          <w:rtl w:val="0"/>
        </w:rPr>
        <w:t xml:space="preserve">); this table documents the required causal direction for each relationship.</w:t>
      </w:r>
    </w:p>
    <w:tbl>
      <w:tblPr>
        <w:tblStyle w:val="Table10"/>
        <w:tblW w:w="10455.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81.370070778565"/>
        <w:gridCol w:w="3086.8149646107177"/>
        <w:gridCol w:w="3086.8149646107177"/>
        <w:tblGridChange w:id="0">
          <w:tblGrid>
            <w:gridCol w:w="4281.370070778565"/>
            <w:gridCol w:w="3086.8149646107177"/>
            <w:gridCol w:w="3086.8149646107177"/>
          </w:tblGrid>
        </w:tblGridChange>
      </w:tblGrid>
      <w:tr>
        <w:trPr>
          <w:cantSplit w:val="0"/>
          <w:tblHeader w:val="0"/>
        </w:trPr>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Relationship</w:t>
            </w:r>
          </w:p>
        </w:tc>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w:t>
            </w:r>
          </w:p>
        </w:tc>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p>
        </w:tc>
      </w:tr>
      <w:tr>
        <w:trPr>
          <w:cantSplit w:val="0"/>
          <w:tblHeader w:val="0"/>
        </w:trPr>
        <w:tc>
          <w:tcPr>
            <w:tcBorders>
              <w:top w:color="000000" w:space="0" w:sz="12"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E1">
            <w:pPr>
              <w:widowControl w:val="0"/>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local_wind → power severity</w:t>
            </w:r>
          </w:p>
        </w:tc>
        <w:tc>
          <w:tcPr>
            <w:tcBorders>
              <w:top w:color="000000" w:space="0" w:sz="12"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positive</w:t>
            </w:r>
          </w:p>
        </w:tc>
        <w:tc>
          <w:tcPr>
            <w:tcBorders>
              <w:top w:color="000000" w:space="0" w:sz="12"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 is the primary damage mechanism for overhead power lines </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E4">
            <w:pPr>
              <w:widowControl w:val="0"/>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local_rainfall → power severity</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positive</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Rainfall contributes to flooding and vegetation contact </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E7">
            <w:pPr>
              <w:widowControl w:val="0"/>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grid_redundancy → power occurrence</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negative</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Redundant pathways reduce single-point-of-failure risk</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EA">
            <w:pPr>
              <w:widowControl w:val="0"/>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infrastructure_condition → power occurrence</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negative</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Better-maintained infrastructure withstands stress</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ED">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flood_depth (≥ 0.30 m) → road occurrence</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Threshold, then strong</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Pregnolato et al. (2017) empirical threshold for vehicle instability</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F0">
            <w:pPr>
              <w:widowControl w:val="0"/>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landslide_trigger → road severity</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positive (mountains)</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Landslides physically destroy road segments</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F3">
            <w:pPr>
              <w:widowControl w:val="0"/>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road_connectivity → road occurrence</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negative</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Network connectivity enables route redundancy</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F6">
            <w:pPr>
              <w:widowControl w:val="0"/>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flood_depth → water occurrence</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positive</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Flood infiltration damages treatment plants and pipes</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F9">
            <w:pPr>
              <w:widowControl w:val="0"/>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power.severity → water occurrence</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positive</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Pumping station failures reduce pressure</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FC">
            <w:pPr>
              <w:widowControl w:val="0"/>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water_backup_supply → water occurrence</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negative</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Backup systems maintain service during primary failures</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1FF">
            <w:pPr>
              <w:widowControl w:val="0"/>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local_wind → telecom occurrence</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2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positive</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2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Wind damages towers and antennas</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202">
            <w:pPr>
              <w:widowControl w:val="0"/>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power.severity → telecom occurrence</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2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positive</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2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Cell towers depend on grid power or limited battery backup</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205">
            <w:pPr>
              <w:widowControl w:val="0"/>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power/water/road/telecom.severity → health occurrence</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2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positive each</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2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Health facilities depend on all utility systems</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208">
            <w:pPr>
              <w:widowControl w:val="0"/>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hospital_backup_power_hours → health occurrence</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2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negative</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2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Backup generators maintain critical operations</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20B">
            <w:pPr>
              <w:widowControl w:val="0"/>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road.severity → dispatch_time</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2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positive</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2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Damaged roads delay repair crew arrival</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20E">
            <w:pPr>
              <w:widowControl w:val="0"/>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governance_capacity → dispatch_time</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2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negative</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2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Better-governed areas mobilize faster</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211">
            <w:pPr>
              <w:widowControl w:val="0"/>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population → dispatch_time</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2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non-monotonic</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2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Larger areas have more crews but more customers</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214">
            <w:pPr>
              <w:widowControl w:val="0"/>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dispatch_time → recovery_time</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2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positive</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2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Delayed start extends total outage duration</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217">
            <w:pPr>
              <w:widowControl w:val="0"/>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severity → recovery_time</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2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positive</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2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severe damage requires more repair work </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21A">
            <w:pPr>
              <w:widowControl w:val="0"/>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governance_capacity → recovery_time</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2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negative</w:t>
            </w:r>
          </w:p>
        </w:tc>
        <w:tc>
          <w:tcPr>
            <w:tcBorders>
              <w:top w:color="ffffff" w:space="0" w:sz="6" w:val="single"/>
              <w:left w:color="ffffff" w:space="0" w:sz="6" w:val="single"/>
              <w:bottom w:color="ffffff" w:space="0" w:sz="6"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2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Better capacity enables faster coordination and resource access</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ffffff" w:space="0" w:sz="6" w:val="single"/>
              <w:left w:color="ffffff" w:space="0" w:sz="6" w:val="single"/>
              <w:bottom w:color="000000" w:space="0" w:sz="12"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21D">
            <w:pPr>
              <w:widowControl w:val="0"/>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governance_capacity → reporting_lag</w:t>
            </w:r>
          </w:p>
        </w:tc>
        <w:tc>
          <w:tcPr>
            <w:tcBorders>
              <w:top w:color="ffffff" w:space="0" w:sz="6" w:val="single"/>
              <w:left w:color="ffffff" w:space="0" w:sz="6" w:val="single"/>
              <w:bottom w:color="000000" w:space="0" w:sz="12"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2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negative</w:t>
            </w:r>
          </w:p>
        </w:tc>
        <w:tc>
          <w:tcPr>
            <w:tcBorders>
              <w:top w:color="ffffff" w:space="0" w:sz="6" w:val="single"/>
              <w:left w:color="ffffff" w:space="0" w:sz="6" w:val="single"/>
              <w:bottom w:color="000000" w:space="0" w:sz="12" w:val="single"/>
              <w:right w:color="ffffff" w:space="0" w:sz="6" w:val="single"/>
            </w:tcBorders>
            <w:tcMar>
              <w:top w:w="60.0" w:type="dxa"/>
              <w:left w:w="100.0" w:type="dxa"/>
              <w:bottom w:w="60.0" w:type="dxa"/>
              <w:right w:w="100.0" w:type="dxa"/>
            </w:tcMar>
            <w:vAlign w:val="top"/>
          </w:tcPr>
          <w:p w:rsidR="00000000" w:rsidDel="00000000" w:rsidP="00000000" w:rsidRDefault="00000000" w:rsidRPr="00000000" w14:paraId="000002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Better-governed areas report more promptly</w:t>
            </w:r>
          </w:p>
        </w:tc>
      </w:tr>
    </w:tbl>
    <w:p w:rsidR="00000000" w:rsidDel="00000000" w:rsidP="00000000" w:rsidRDefault="00000000" w:rsidRPr="00000000" w14:paraId="0000022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Parameter Calibration Methodology</w:t>
      </w:r>
    </w:p>
    <w:p w:rsidR="00000000" w:rsidDel="00000000" w:rsidP="00000000" w:rsidRDefault="00000000" w:rsidRPr="00000000" w14:paraId="0000022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Parameters are classified into two evidence tiers following standard practice for models where some relationships have public benchmarks and others do not.</w:t>
      </w:r>
    </w:p>
    <w:p w:rsidR="00000000" w:rsidDel="00000000" w:rsidP="00000000" w:rsidRDefault="00000000" w:rsidRPr="00000000" w14:paraId="00000223">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ind w:left="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8.1 Tier 1: Literature-anchored</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0"/>
        <w:gridCol w:w="3705"/>
        <w:gridCol w:w="2505"/>
        <w:tblGridChange w:id="0">
          <w:tblGrid>
            <w:gridCol w:w="3150"/>
            <w:gridCol w:w="3705"/>
            <w:gridCol w:w="2505"/>
          </w:tblGrid>
        </w:tblGridChange>
      </w:tblGrid>
      <w:tr>
        <w:trPr>
          <w:cantSplit w:val="0"/>
          <w:tblHeader w:val="0"/>
        </w:trPr>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Relationship</w:t>
            </w:r>
          </w:p>
        </w:tc>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Value / Formula</w:t>
            </w:r>
          </w:p>
        </w:tc>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w:t>
            </w:r>
          </w:p>
        </w:tc>
      </w:tr>
      <w:tr>
        <w:trPr>
          <w:cantSplit w:val="0"/>
          <w:tblHeader w:val="0"/>
        </w:trPr>
        <w:tc>
          <w:tcPr>
            <w:tcBorders>
              <w:top w:color="000000" w:space="0" w:sz="12"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PAGASA category thresholds</w:t>
            </w:r>
          </w:p>
        </w:tc>
        <w:tc>
          <w:tcPr>
            <w:tcBorders>
              <w:top w:color="000000" w:space="0" w:sz="12"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TD 39-61, TS 62-88, STS 89-117, TY 118-184, STY ≥185 </w:t>
            </w:r>
            <m:oMath>
              <m:r>
                <w:rPr>
                  <w:rFonts w:ascii="Times New Roman" w:cs="Times New Roman" w:eastAsia="Times New Roman" w:hAnsi="Times New Roman"/>
                  <w:sz w:val="24"/>
                  <w:szCs w:val="24"/>
                </w:rPr>
                <m:t xml:space="preserve">kph</m:t>
              </m:r>
            </m:oMath>
            <w:r w:rsidDel="00000000" w:rsidR="00000000" w:rsidRPr="00000000">
              <w:rPr>
                <w:rtl w:val="0"/>
              </w:rPr>
            </w:r>
          </w:p>
        </w:tc>
        <w:tc>
          <w:tcPr>
            <w:tcBorders>
              <w:top w:color="000000" w:space="0" w:sz="12"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PAGASA (2022)</w:t>
            </w:r>
            <w:r w:rsidDel="00000000" w:rsidR="00000000" w:rsidRPr="00000000">
              <w:rPr>
                <w:rFonts w:ascii="Times New Roman" w:cs="Times New Roman" w:eastAsia="Times New Roman" w:hAnsi="Times New Roman"/>
                <w:sz w:val="24"/>
                <w:szCs w:val="24"/>
                <w:vertAlign w:val="superscript"/>
                <w:rtl w:val="0"/>
              </w:rPr>
              <w:t xml:space="preserve">8</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Wind-pressure relationship</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MSW=3.4(1010-MSLP</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0.644</m:t>
                  </m:r>
                </m:sup>
              </m:sSup>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Atkinson &amp; Holliday (1977), western North Pacific basin</w:t>
            </w:r>
            <w:r w:rsidDel="00000000" w:rsidR="00000000" w:rsidRPr="00000000">
              <w:rPr>
                <w:rFonts w:ascii="Times New Roman" w:cs="Times New Roman" w:eastAsia="Times New Roman" w:hAnsi="Times New Roman"/>
                <w:sz w:val="24"/>
                <w:szCs w:val="24"/>
                <w:vertAlign w:val="superscript"/>
                <w:rtl w:val="0"/>
              </w:rPr>
              <w:t xml:space="preserve">5</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Road impassability threshold</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Flood_depth </w:t>
            </w:r>
            <m:oMath>
              <m:r>
                <m:t>≥</m:t>
              </m:r>
            </m:oMath>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0.30m</m:t>
              </m:r>
            </m:oMath>
            <w:r w:rsidDel="00000000" w:rsidR="00000000" w:rsidRPr="00000000">
              <w:rPr>
                <w:rFonts w:ascii="Cardo" w:cs="Cardo" w:eastAsia="Cardo" w:hAnsi="Cardo"/>
                <w:sz w:val="24"/>
                <w:szCs w:val="24"/>
                <w:rtl w:val="0"/>
              </w:rPr>
              <w:t xml:space="preserve">→ disruption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Pregnolato et al. (2017)</w:t>
            </w:r>
            <w:r w:rsidDel="00000000" w:rsidR="00000000" w:rsidRPr="00000000">
              <w:rPr>
                <w:rFonts w:ascii="Times New Roman" w:cs="Times New Roman" w:eastAsia="Times New Roman" w:hAnsi="Times New Roman"/>
                <w:sz w:val="24"/>
                <w:szCs w:val="24"/>
                <w:vertAlign w:val="superscript"/>
              </w:rPr>
              <w:footnoteReference w:customMarkFollows="0" w:id="8"/>
            </w:r>
            <w:r w:rsidDel="00000000" w:rsidR="00000000" w:rsidRPr="00000000">
              <w:rPr>
                <w:rtl w:val="0"/>
              </w:rPr>
            </w:r>
          </w:p>
        </w:tc>
      </w:tr>
      <w:tr>
        <w:trPr>
          <w:cantSplit w:val="0"/>
          <w:tblHeader w:val="0"/>
        </w:trPr>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restoration time range</w:t>
            </w:r>
          </w:p>
        </w:tc>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Hours to weeks depending on damage severity</w:t>
            </w:r>
          </w:p>
        </w:tc>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Manila Electric Company (2025); Philippine power-sector reporting</w:t>
            </w:r>
            <w:r w:rsidDel="00000000" w:rsidR="00000000" w:rsidRPr="00000000">
              <w:rPr>
                <w:rFonts w:ascii="Times New Roman" w:cs="Times New Roman" w:eastAsia="Times New Roman" w:hAnsi="Times New Roman"/>
                <w:sz w:val="24"/>
                <w:szCs w:val="24"/>
                <w:vertAlign w:val="superscript"/>
              </w:rPr>
              <w:footnoteReference w:customMarkFollows="0" w:id="9"/>
            </w:r>
            <w:r w:rsidDel="00000000" w:rsidR="00000000" w:rsidRPr="00000000">
              <w:rPr>
                <w:rtl w:val="0"/>
              </w:rPr>
            </w:r>
          </w:p>
        </w:tc>
      </w:tr>
    </w:tbl>
    <w:p w:rsidR="00000000" w:rsidDel="00000000" w:rsidP="00000000" w:rsidRDefault="00000000" w:rsidRPr="00000000" w14:paraId="00000234">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8.2 Tier 2: Expert-calibrated</w:t>
      </w:r>
    </w:p>
    <w:p w:rsidR="00000000" w:rsidDel="00000000" w:rsidP="00000000" w:rsidRDefault="00000000" w:rsidRPr="00000000" w14:paraId="0000023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no public benchmark exists (e.g., archetype-level redundancy indices, the latent governance capacity distribution, sector logistic-regression coefficients), starting values are set via scenario logic and moment-matching, then validated against the acceptance checklist in </w:t>
      </w:r>
      <w:r w:rsidDel="00000000" w:rsidR="00000000" w:rsidRPr="00000000">
        <w:rPr>
          <w:rFonts w:ascii="Times New Roman" w:cs="Times New Roman" w:eastAsia="Times New Roman" w:hAnsi="Times New Roman"/>
          <w:i w:val="1"/>
          <w:iCs w:val="1"/>
          <w:sz w:val="24"/>
          <w:szCs w:val="24"/>
          <w:rtl w:val="0"/>
        </w:rPr>
        <w:t xml:space="preserve">Section 9</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7">
      <w:pPr>
        <w:ind w:left="0" w:firstLine="720"/>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The institutional constructs underlying governance_capacity, which include fragmented disaster risk reduction and climate change adaptation policy integration, weak LGU risk-financing capacity, inconsistent local disaster planning, are all grounded in ADB's (2025) evaluation of the Philippines' Disaster Resilience Improvement Program, even though no LGU-level governance score exists to calibrate the distribution numerically.</w:t>
      </w:r>
      <w:r w:rsidDel="00000000" w:rsidR="00000000" w:rsidRPr="00000000">
        <w:rPr>
          <w:rFonts w:ascii="Times New Roman" w:cs="Times New Roman" w:eastAsia="Times New Roman" w:hAnsi="Times New Roman"/>
          <w:sz w:val="24"/>
          <w:szCs w:val="24"/>
          <w:vertAlign w:val="superscript"/>
          <w:rtl w:val="0"/>
        </w:rPr>
        <w:t xml:space="preserve">1</w:t>
      </w:r>
    </w:p>
    <w:p w:rsidR="00000000" w:rsidDel="00000000" w:rsidP="00000000" w:rsidRDefault="00000000" w:rsidRPr="00000000" w14:paraId="00000238">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 Realism Features</w:t>
      </w:r>
      <w:r w:rsidDel="00000000" w:rsidR="00000000" w:rsidRPr="00000000">
        <w:rPr>
          <w:rtl w:val="0"/>
        </w:rPr>
      </w:r>
    </w:p>
    <w:tbl>
      <w:tblPr>
        <w:tblStyle w:val="Table12"/>
        <w:tblW w:w="10200.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3870"/>
        <w:gridCol w:w="3615"/>
        <w:tblGridChange w:id="0">
          <w:tblGrid>
            <w:gridCol w:w="2715"/>
            <w:gridCol w:w="3870"/>
            <w:gridCol w:w="3615"/>
          </w:tblGrid>
        </w:tblGridChange>
      </w:tblGrid>
      <w:tr>
        <w:trPr>
          <w:cantSplit w:val="0"/>
          <w:tblHeader w:val="0"/>
        </w:trPr>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p>
        </w:tc>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Mechanism</w:t>
            </w:r>
          </w:p>
        </w:tc>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Policy Relevance</w:t>
            </w:r>
          </w:p>
        </w:tc>
      </w:tr>
      <w:tr>
        <w:trPr>
          <w:cantSplit w:val="0"/>
          <w:tblHeader w:val="0"/>
        </w:trPr>
        <w:tc>
          <w:tcPr>
            <w:tcBorders>
              <w:top w:color="000000" w:space="0" w:sz="12"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Imbalance</w:t>
            </w:r>
          </w:p>
        </w:tc>
        <w:tc>
          <w:tcPr>
            <w:tcBorders>
              <w:top w:color="000000" w:space="0" w:sz="12"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typhoon's track intersects only a random subset of municipalities</w:t>
            </w:r>
          </w:p>
        </w:tc>
        <w:tc>
          <w:tcPr>
            <w:tcBorders>
              <w:top w:color="000000" w:space="0" w:sz="12"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Reflects real data where disruption is rare; supports rare-event ML method development</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Right-censoring</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Recovery times compared against fixed snapshot date; unresolved incidents flagged</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survival analysis training; reflects real data extraction constraints</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Omitted-variable bias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Governance capacity drives multiple observed features, then is dropped</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Creates realistic confounding that analysts must address through research design</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Reporting lag artifact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Delayed reporting in low-governance areas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Introduces selection bias that mirrors real-world data quality variations</w:t>
            </w:r>
          </w:p>
        </w:tc>
      </w:tr>
      <w:tr>
        <w:trPr>
          <w:cantSplit w:val="0"/>
          <w:tblHeader w:val="0"/>
        </w:trPr>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Non-monotonic effects</w:t>
            </w:r>
          </w:p>
        </w:tc>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highlight w:val="white"/>
                <w:rtl w:val="0"/>
              </w:rPr>
              <w:t xml:space="preserve">Population's effect on dispatch/recovery is concave</w:t>
            </w:r>
            <w:r w:rsidDel="00000000" w:rsidR="00000000" w:rsidRPr="00000000">
              <w:rPr>
                <w:rFonts w:ascii="Times New Roman" w:cs="Times New Roman" w:eastAsia="Times New Roman" w:hAnsi="Times New Roman"/>
                <w:sz w:val="24"/>
                <w:szCs w:val="24"/>
                <w:rtl w:val="0"/>
              </w:rPr>
              <w:t xml:space="preserve"> </w:t>
            </w:r>
          </w:p>
        </w:tc>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Captures the tradeoff between resource availability and service demand</w:t>
            </w:r>
          </w:p>
        </w:tc>
      </w:tr>
    </w:tbl>
    <w:p w:rsidR="00000000" w:rsidDel="00000000" w:rsidP="00000000" w:rsidRDefault="00000000" w:rsidRPr="00000000" w14:paraId="0000024C">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Acceptance Criteria (Validation Checklist)</w:t>
      </w:r>
    </w:p>
    <w:p w:rsidR="00000000" w:rsidDel="00000000" w:rsidP="00000000" w:rsidRDefault="00000000" w:rsidRPr="00000000" w14:paraId="0000024E">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Applied to every generated run before the dataset is treated as final. Implemented programmatically in </w:t>
      </w:r>
      <w:r w:rsidDel="00000000" w:rsidR="00000000" w:rsidRPr="00000000">
        <w:rPr>
          <w:rFonts w:ascii="Times New Roman" w:cs="Times New Roman" w:eastAsia="Times New Roman" w:hAnsi="Times New Roman"/>
          <w:i w:val="1"/>
          <w:iCs w:val="1"/>
          <w:sz w:val="24"/>
          <w:szCs w:val="24"/>
          <w:rtl w:val="0"/>
        </w:rPr>
        <w:t xml:space="preserve">Notebook 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F">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ind w:left="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10.1 Structural Validity</w:t>
      </w:r>
    </w:p>
    <w:p w:rsidR="00000000" w:rsidDel="00000000" w:rsidP="00000000" w:rsidRDefault="00000000" w:rsidRPr="00000000" w14:paraId="00000251">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Marginal distributions resemble literature-supported ranges (wind, rainfall, recovery times) </w:t>
      </w:r>
    </w:p>
    <w:p w:rsidR="00000000" w:rsidDel="00000000" w:rsidP="00000000" w:rsidRDefault="00000000" w:rsidRPr="00000000" w14:paraId="00000252">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Severe typhoons (TY/STY) show materially higher disruption rates than TD/TS </w:t>
      </w:r>
    </w:p>
    <w:p w:rsidR="00000000" w:rsidDel="00000000" w:rsidP="00000000" w:rsidRDefault="00000000" w:rsidRPr="00000000" w14:paraId="00000253">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Coastal archetypes show higher wind/surge-driven disruption rates than inland/mountain archetypes </w:t>
      </w:r>
    </w:p>
    <w:p w:rsidR="00000000" w:rsidDel="00000000" w:rsidP="00000000" w:rsidRDefault="00000000" w:rsidRPr="00000000" w14:paraId="00000254">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Power disruption correlates positively with water and telecom disruption (cascade signature present) </w:t>
      </w:r>
    </w:p>
    <w:p w:rsidR="00000000" w:rsidDel="00000000" w:rsidP="00000000" w:rsidRDefault="00000000" w:rsidRPr="00000000" w14:paraId="00000255">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Recovery time correlates positively with severity and dispatch time, negatively with infrastructure condition </w:t>
      </w:r>
    </w:p>
    <w:p w:rsidR="00000000" w:rsidDel="00000000" w:rsidP="00000000" w:rsidRDefault="00000000" w:rsidRPr="00000000" w14:paraId="00000256">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7">
      <w:pPr>
        <w:ind w:left="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10.2 Data Integrity</w:t>
      </w:r>
    </w:p>
    <w:p w:rsidR="00000000" w:rsidDel="00000000" w:rsidP="00000000" w:rsidRDefault="00000000" w:rsidRPr="00000000" w14:paraId="00000258">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 impossible values: no negative rainfall/recovery, no recovery recorded before disruption </w:t>
      </w:r>
    </w:p>
    <w:p w:rsidR="00000000" w:rsidDel="00000000" w:rsidP="00000000" w:rsidRDefault="00000000" w:rsidRPr="00000000" w14:paraId="00000259">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 severity &gt; 0 with occurred = 0 </w:t>
      </w:r>
    </w:p>
    <w:p w:rsidR="00000000" w:rsidDel="00000000" w:rsidP="00000000" w:rsidRDefault="00000000" w:rsidRPr="00000000" w14:paraId="0000025A">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 foreign keys valid across all four tables </w:t>
      </w:r>
    </w:p>
    <w:p w:rsidR="00000000" w:rsidDel="00000000" w:rsidP="00000000" w:rsidRDefault="00000000" w:rsidRPr="00000000" w14:paraId="0000025B">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governance_capacity absent from all exported files </w:t>
      </w:r>
    </w:p>
    <w:p w:rsidR="00000000" w:rsidDel="00000000" w:rsidP="00000000" w:rsidRDefault="00000000" w:rsidRPr="00000000" w14:paraId="0000025C">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ind w:left="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10.3 Omitted Variable Fingerprint</w:t>
      </w:r>
    </w:p>
    <w:p w:rsidR="00000000" w:rsidDel="00000000" w:rsidP="00000000" w:rsidRDefault="00000000" w:rsidRPr="00000000" w14:paraId="0000025E">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Observable correlations suggest unmeasured confounding (e.g., infrastructure condition and recovery time correlated even though governance is the true driver of both)</w:t>
      </w:r>
    </w:p>
    <w:p w:rsidR="00000000" w:rsidDel="00000000" w:rsidP="00000000" w:rsidRDefault="00000000" w:rsidRPr="00000000" w14:paraId="0000025F">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0">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 Limitations and Known Issues</w:t>
      </w:r>
      <w:r w:rsidDel="00000000" w:rsidR="00000000" w:rsidRPr="00000000">
        <w:rPr>
          <w:rtl w:val="0"/>
        </w:rPr>
      </w:r>
    </w:p>
    <w:tbl>
      <w:tblPr>
        <w:tblStyle w:val="Table13"/>
        <w:tblW w:w="10410.0" w:type="dxa"/>
        <w:jc w:val="left"/>
        <w:tblInd w:w="-5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1785"/>
        <w:gridCol w:w="5685"/>
        <w:tblGridChange w:id="0">
          <w:tblGrid>
            <w:gridCol w:w="2940"/>
            <w:gridCol w:w="1785"/>
            <w:gridCol w:w="5685"/>
          </w:tblGrid>
        </w:tblGridChange>
      </w:tblGrid>
      <w:tr>
        <w:trPr>
          <w:cantSplit w:val="0"/>
          <w:trHeight w:val="440.9765625" w:hRule="atLeast"/>
          <w:tblHeader w:val="0"/>
        </w:trPr>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Issue</w:t>
            </w:r>
          </w:p>
        </w:tc>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p>
        </w:tc>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Detail</w:t>
            </w:r>
          </w:p>
        </w:tc>
      </w:tr>
      <w:tr>
        <w:trPr>
          <w:cantSplit w:val="0"/>
          <w:tblHeader w:val="0"/>
        </w:trPr>
        <w:tc>
          <w:tcPr>
            <w:tcBorders>
              <w:top w:color="000000" w:space="0" w:sz="12"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 conflated with occurrence rarity</w:t>
            </w:r>
          </w:p>
        </w:tc>
        <w:tc>
          <w:tcPr>
            <w:tcBorders>
              <w:top w:color="000000" w:space="0" w:sz="12"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Fixed</w:t>
            </w:r>
          </w:p>
        </w:tc>
        <w:tc>
          <w:tcPr>
            <w:tcBorders>
              <w:top w:color="000000" w:space="0" w:sz="12"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Earlier version used same intercept for occurrence and severity, compressing severity for low-base-rate sectors. Fixed by separating intercepts.</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Censoring mechanism nearly inert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Fixed</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Original 11-year window produced &lt;0.1% censoring. Fixed by narrowing event window closer to snapshot date, achieving ~0.2-2% censoring.</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Naive full cross-join does not scale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Fixed</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Original implementation crashed at ~4,000 areas × 800 events. Fixed by implementing batched generation (process events in chunks, stream to CSV).</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Delivered dataset is moderate scale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Documented</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Generated at 1,500 × 300 (2.25M sector rows), not the theoretical maximum. Scale chosen for reliable execution in development environment.</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Power-sector severity saturation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Residual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Severity-given-occurrence concentrated near maximum due to high wind threshold for power disruption occurrence. Leaves limited range for downstream modeling but is not implausible.</w:t>
            </w:r>
          </w:p>
        </w:tc>
      </w:tr>
      <w:tr>
        <w:trPr>
          <w:cantSplit w:val="0"/>
          <w:trHeight w:val="1283.90625" w:hRule="atLeast"/>
          <w:tblHeader w:val="0"/>
        </w:trPr>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Sector coefficients remain Tier-2</w:t>
            </w:r>
          </w:p>
        </w:tc>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Known</w:t>
            </w:r>
          </w:p>
        </w:tc>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coefficients satisfy qualitative sign constraints but were not empirically fit to real Philippine incident data (none available). Absolute magnitudes should be treated as illustrative.</w:t>
            </w:r>
          </w:p>
        </w:tc>
      </w:tr>
    </w:tbl>
    <w:p w:rsidR="00000000" w:rsidDel="00000000" w:rsidP="00000000" w:rsidRDefault="00000000" w:rsidRPr="00000000" w14:paraId="00000276">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Version 2 Roadmap</w:t>
      </w:r>
    </w:p>
    <w:p w:rsidR="00000000" w:rsidDel="00000000" w:rsidP="00000000" w:rsidRDefault="00000000" w:rsidRPr="00000000" w14:paraId="00000278">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extensions were identified during design and deferred to keep v1 debuggable:</w:t>
      </w:r>
    </w:p>
    <w:tbl>
      <w:tblPr>
        <w:tblStyle w:val="Table14"/>
        <w:tblW w:w="10575.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15"/>
        <w:gridCol w:w="3705"/>
        <w:gridCol w:w="3255"/>
        <w:tblGridChange w:id="0">
          <w:tblGrid>
            <w:gridCol w:w="3615"/>
            <w:gridCol w:w="3705"/>
            <w:gridCol w:w="3255"/>
          </w:tblGrid>
        </w:tblGridChange>
      </w:tblGrid>
      <w:tr>
        <w:trPr>
          <w:cantSplit w:val="0"/>
          <w:trHeight w:val="455.9765625" w:hRule="atLeast"/>
          <w:tblHeader w:val="0"/>
        </w:trPr>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Deferred Feature</w:t>
            </w:r>
          </w:p>
        </w:tc>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p>
        </w:tc>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Evidence Anchor</w:t>
            </w:r>
          </w:p>
        </w:tc>
      </w:tr>
      <w:tr>
        <w:trPr>
          <w:cantSplit w:val="0"/>
          <w:tblHeader w:val="0"/>
        </w:trPr>
        <w:tc>
          <w:tcPr>
            <w:tcBorders>
              <w:top w:color="000000" w:space="0" w:sz="12"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 carryover (residual damage across consecutive events)</w:t>
            </w:r>
          </w:p>
        </w:tc>
        <w:tc>
          <w:tcPr>
            <w:tcBorders>
              <w:top w:color="000000" w:space="0" w:sz="12"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Keeps v1 conditionally independent; avoids dynamic state complexity</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12"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Design decision</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Financial resilience latent variable (distinct from governance)</w:t>
            </w:r>
            <w:r w:rsidDel="00000000" w:rsidR="00000000" w:rsidRPr="00000000">
              <w:rPr>
                <w:rFonts w:ascii="Times New Roman" w:cs="Times New Roman" w:eastAsia="Times New Roman" w:hAnsi="Times New Roman"/>
                <w:sz w:val="24"/>
                <w:szCs w:val="24"/>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Represents access to post-disaster liquidity via risk-transfer instruments</w:t>
            </w:r>
            <w:r w:rsidDel="00000000" w:rsidR="00000000" w:rsidRPr="00000000">
              <w:rPr>
                <w:rFonts w:ascii="Times New Roman" w:cs="Times New Roman" w:eastAsia="Times New Roman" w:hAnsi="Times New Roman"/>
                <w:sz w:val="24"/>
                <w:szCs w:val="24"/>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ADB (2025): LGU parametric insurance uptake barriers</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tl w:val="0"/>
              </w:rPr>
            </w:r>
          </w:p>
        </w:tc>
      </w:tr>
      <w:tr>
        <w:trPr>
          <w:cantSplit w:val="0"/>
          <w:tblHeader w:val="0"/>
        </w:trPr>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Multi-hazard overlay (earthquake, storm surge interaction)</w:t>
            </w:r>
            <w:r w:rsidDel="00000000" w:rsidR="00000000" w:rsidRPr="00000000">
              <w:rPr>
                <w:rFonts w:ascii="Times New Roman" w:cs="Times New Roman" w:eastAsia="Times New Roman" w:hAnsi="Times New Roman"/>
                <w:sz w:val="24"/>
                <w:szCs w:val="24"/>
                <w:rtl w:val="0"/>
              </w:rPr>
              <w:t xml:space="preserve"> </w:t>
            </w:r>
          </w:p>
        </w:tc>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v1 scoped to typhoon/flood; other hazards explicit boundary</w:t>
            </w:r>
            <w:r w:rsidDel="00000000" w:rsidR="00000000" w:rsidRPr="00000000">
              <w:rPr>
                <w:rFonts w:ascii="Times New Roman" w:cs="Times New Roman" w:eastAsia="Times New Roman" w:hAnsi="Times New Roman"/>
                <w:sz w:val="24"/>
                <w:szCs w:val="24"/>
                <w:rtl w:val="0"/>
              </w:rPr>
              <w:t xml:space="preserve"> </w:t>
            </w:r>
          </w:p>
        </w:tc>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ADB (2025) multi-hazard framing</w:t>
            </w:r>
            <w:r w:rsidDel="00000000" w:rsidR="00000000" w:rsidRPr="00000000">
              <w:rPr>
                <w:rFonts w:ascii="Times New Roman" w:cs="Times New Roman" w:eastAsia="Times New Roman" w:hAnsi="Times New Roman"/>
                <w:sz w:val="24"/>
                <w:szCs w:val="24"/>
                <w:vertAlign w:val="superscript"/>
                <w:rtl w:val="0"/>
              </w:rPr>
              <w:t xml:space="preserve">1</w:t>
            </w:r>
          </w:p>
        </w:tc>
      </w:tr>
    </w:tbl>
    <w:p w:rsidR="00000000" w:rsidDel="00000000" w:rsidP="00000000" w:rsidRDefault="00000000" w:rsidRPr="00000000" w14:paraId="0000028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6">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Appendix: Mathematical Notations Summary</w:t>
      </w: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Symbol</w:t>
            </w:r>
          </w:p>
        </w:tc>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w:t>
            </w:r>
          </w:p>
        </w:tc>
      </w:tr>
      <w:tr>
        <w:trPr>
          <w:cantSplit w:val="0"/>
          <w:tblHeader w:val="0"/>
        </w:trPr>
        <w:tc>
          <w:tcPr>
            <w:tcBorders>
              <w:top w:color="000000" w:space="0" w:sz="12"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m:oMath>
              <m:r>
                <m:t>σ</m:t>
              </m:r>
              <m:r>
                <w:rPr>
                  <w:rFonts w:ascii="Times New Roman" w:cs="Times New Roman" w:eastAsia="Times New Roman" w:hAnsi="Times New Roman"/>
                  <w:sz w:val="24"/>
                  <w:szCs w:val="24"/>
                </w:rPr>
                <m:t xml:space="preserve">(x)</m:t>
              </m:r>
            </m:oMath>
            <w:r w:rsidDel="00000000" w:rsidR="00000000" w:rsidRPr="00000000">
              <w:rPr>
                <w:rtl w:val="0"/>
              </w:rPr>
            </w:r>
          </w:p>
        </w:tc>
        <w:tc>
          <w:tcPr>
            <w:tcBorders>
              <w:top w:color="000000" w:space="0" w:sz="12"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Sigmoid function: </w:t>
            </w:r>
            <m:oMath>
              <m:r>
                <w:rPr>
                  <w:rFonts w:ascii="Times New Roman" w:cs="Times New Roman" w:eastAsia="Times New Roman" w:hAnsi="Times New Roman"/>
                  <w:sz w:val="24"/>
                  <w:szCs w:val="24"/>
                </w:rPr>
                <m:t xml:space="preserve">1/1(1+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 xml:space="preserve">-x</m:t>
                  </m:r>
                </m:sup>
              </m:sSup>
              <m:r>
                <w:rPr>
                  <w:rFonts w:ascii="Times New Roman" w:cs="Times New Roman" w:eastAsia="Times New Roman" w:hAnsi="Times New Roman"/>
                  <w:sz w:val="24"/>
                  <w:szCs w:val="24"/>
                </w:rPr>
                <m:t xml:space="preserve">)</m:t>
              </m:r>
            </m:oMath>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Pa(V)</m:t>
              </m:r>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Parents of variable </w:t>
            </w:r>
            <m:oMath>
              <m:r>
                <w:rPr>
                  <w:rFonts w:ascii="Times New Roman" w:cs="Times New Roman" w:eastAsia="Times New Roman" w:hAnsi="Times New Roman"/>
                  <w:sz w:val="24"/>
                  <w:szCs w:val="24"/>
                </w:rPr>
                <m:t xml:space="preserve">V</m:t>
              </m:r>
            </m:oMath>
            <w:r w:rsidDel="00000000" w:rsidR="00000000" w:rsidRPr="00000000">
              <w:rPr>
                <w:rFonts w:ascii="Times New Roman" w:cs="Times New Roman" w:eastAsia="Times New Roman" w:hAnsi="Times New Roman"/>
                <w:sz w:val="24"/>
                <w:szCs w:val="24"/>
                <w:rtl w:val="0"/>
              </w:rPr>
              <w:t xml:space="preserve"> in the causal graph</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t>
              </m:r>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Indicator function: 1 if condition true, 0 otherwise</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cli</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[a,b]</m:t>
                  </m:r>
                </m:sub>
              </m:sSub>
              <m:r>
                <w:rPr>
                  <w:rFonts w:ascii="Times New Roman" w:cs="Times New Roman" w:eastAsia="Times New Roman" w:hAnsi="Times New Roman"/>
                  <w:sz w:val="24"/>
                  <w:szCs w:val="24"/>
                </w:rPr>
                <m:t xml:space="preserve">(x)</m:t>
              </m:r>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Constraints </w:t>
            </w:r>
            <m:oMath>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to interval </w:t>
            </w:r>
            <m:oMath>
              <m:r>
                <w:rPr>
                  <w:rFonts w:ascii="Times New Roman" w:cs="Times New Roman" w:eastAsia="Times New Roman" w:hAnsi="Times New Roman"/>
                  <w:sz w:val="24"/>
                  <w:szCs w:val="24"/>
                </w:rPr>
                <m:t xml:space="preserve">[a, b]</m:t>
              </m:r>
            </m:oMath>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“Distributed as”</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m:oMath>
              <m:r>
                <m:t>β</m:t>
              </m:r>
              <m:r>
                <w:rPr>
                  <w:rFonts w:ascii="Times New Roman" w:cs="Times New Roman" w:eastAsia="Times New Roman" w:hAnsi="Times New Roman"/>
                  <w:sz w:val="24"/>
                  <w:szCs w:val="24"/>
                </w:rPr>
                <m:t xml:space="preserve">, </m:t>
              </m:r>
              <m:r>
                <w:rPr>
                  <w:rFonts w:ascii="Times New Roman" w:cs="Times New Roman" w:eastAsia="Times New Roman" w:hAnsi="Times New Roman"/>
                  <w:sz w:val="24"/>
                  <w:szCs w:val="24"/>
                </w:rPr>
                <m:t>γ</m:t>
              </m:r>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Coefficient parameters</w:t>
            </w:r>
          </w:p>
        </w:tc>
      </w:tr>
      <w:tr>
        <w:trPr>
          <w:cantSplit w:val="0"/>
          <w:tblHeader w:val="0"/>
        </w:trPr>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m:t>α</m:t>
                  </m:r>
                </m:e>
                <m:sup>
                  <m:r>
                    <w:rPr>
                      <w:rFonts w:ascii="Times New Roman" w:cs="Times New Roman" w:eastAsia="Times New Roman" w:hAnsi="Times New Roman"/>
                      <w:sz w:val="24"/>
                      <w:szCs w:val="24"/>
                    </w:rPr>
                    <m:t xml:space="preserve">occ</m:t>
                  </m:r>
                </m:sup>
              </m:sSup>
              <m:r>
                <w:rPr>
                  <w:rFonts w:ascii="Times New Roman" w:cs="Times New Roman" w:eastAsia="Times New Roman" w:hAnsi="Times New Roman"/>
                  <w:sz w:val="24"/>
                  <w:szCs w:val="24"/>
                </w:rPr>
                <m:t xml:space="preserve">,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α</m:t>
                  </m:r>
                </m:e>
                <m:sup>
                  <m:r>
                    <w:rPr>
                      <w:rFonts w:ascii="Times New Roman" w:cs="Times New Roman" w:eastAsia="Times New Roman" w:hAnsi="Times New Roman"/>
                      <w:sz w:val="24"/>
                      <w:szCs w:val="24"/>
                    </w:rPr>
                    <m:t xml:space="preserve">sev</m:t>
                  </m:r>
                </m:sup>
              </m:sSup>
            </m:oMath>
            <w:r w:rsidDel="00000000" w:rsidR="00000000" w:rsidRPr="00000000">
              <w:rPr>
                <w:rtl w:val="0"/>
              </w:rPr>
            </w:r>
          </w:p>
        </w:tc>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Intercepts for occurrence and severity models</w:t>
            </w:r>
          </w:p>
        </w:tc>
      </w:tr>
    </w:tbl>
    <w:p w:rsidR="00000000" w:rsidDel="00000000" w:rsidP="00000000" w:rsidRDefault="00000000" w:rsidRPr="00000000" w14:paraId="00000297">
      <w:pPr>
        <w:ind w:left="0" w:firstLine="0"/>
        <w:jc w:val="both"/>
        <w:rPr>
          <w:rFonts w:ascii="Times New Roman" w:cs="Times New Roman" w:eastAsia="Times New Roman" w:hAnsi="Times New Roman"/>
          <w:sz w:val="24"/>
          <w:szCs w:val="24"/>
        </w:rPr>
      </w:pP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8">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99">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Asian Development Bank. (2025). </w:t>
      </w:r>
      <w:r w:rsidDel="00000000" w:rsidR="00000000" w:rsidRPr="00000000">
        <w:rPr>
          <w:rFonts w:ascii="Times New Roman" w:cs="Times New Roman" w:eastAsia="Times New Roman" w:hAnsi="Times New Roman"/>
          <w:i w:val="1"/>
          <w:iCs w:val="1"/>
          <w:sz w:val="20"/>
          <w:szCs w:val="20"/>
          <w:rtl w:val="0"/>
        </w:rPr>
        <w:t xml:space="preserve">Disaster resilience improvement program: Evaluation report</w:t>
      </w:r>
      <w:r w:rsidDel="00000000" w:rsidR="00000000" w:rsidRPr="00000000">
        <w:rPr>
          <w:rFonts w:ascii="Times New Roman" w:cs="Times New Roman" w:eastAsia="Times New Roman" w:hAnsi="Times New Roman"/>
          <w:sz w:val="20"/>
          <w:szCs w:val="20"/>
          <w:rtl w:val="0"/>
        </w:rPr>
        <w:t xml:space="preserve">. Manila: Asian Development Bank. </w:t>
      </w:r>
    </w:p>
  </w:footnote>
  <w:footnote w:id="1">
    <w:p w:rsidR="00000000" w:rsidDel="00000000" w:rsidP="00000000" w:rsidRDefault="00000000" w:rsidRPr="00000000" w14:paraId="0000029A">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Lu, Zheng, et al. “Cascading Failures in Urban Infrastructure Systems: A Comprehensive Review of Disaster Chain Mechanisms.” </w:t>
      </w:r>
      <w:r w:rsidDel="00000000" w:rsidR="00000000" w:rsidRPr="00000000">
        <w:rPr>
          <w:rFonts w:ascii="Times New Roman" w:cs="Times New Roman" w:eastAsia="Times New Roman" w:hAnsi="Times New Roman"/>
          <w:i w:val="1"/>
          <w:iCs w:val="1"/>
          <w:sz w:val="20"/>
          <w:szCs w:val="20"/>
          <w:rtl w:val="0"/>
        </w:rPr>
        <w:t xml:space="preserve">Journal of Infrastructure Intelligence and Resilience</w:t>
      </w:r>
      <w:r w:rsidDel="00000000" w:rsidR="00000000" w:rsidRPr="00000000">
        <w:rPr>
          <w:rFonts w:ascii="Times New Roman" w:cs="Times New Roman" w:eastAsia="Times New Roman" w:hAnsi="Times New Roman"/>
          <w:sz w:val="20"/>
          <w:szCs w:val="20"/>
          <w:rtl w:val="0"/>
        </w:rPr>
        <w:t xml:space="preserve">, vol. 4, no. 3, 2025, article 100157.</w:t>
      </w:r>
      <w:hyperlink r:id="rId1">
        <w:r w:rsidDel="00000000" w:rsidR="00000000" w:rsidRPr="00000000">
          <w:rPr>
            <w:rFonts w:ascii="Times New Roman" w:cs="Times New Roman" w:eastAsia="Times New Roman" w:hAnsi="Times New Roman"/>
            <w:sz w:val="20"/>
            <w:szCs w:val="20"/>
            <w:rtl w:val="0"/>
          </w:rPr>
          <w:t xml:space="preserve"> </w:t>
        </w:r>
      </w:hyperlink>
      <w:hyperlink r:id="rId2">
        <w:r w:rsidDel="00000000" w:rsidR="00000000" w:rsidRPr="00000000">
          <w:rPr>
            <w:rFonts w:ascii="Times New Roman" w:cs="Times New Roman" w:eastAsia="Times New Roman" w:hAnsi="Times New Roman"/>
            <w:color w:val="1155cc"/>
            <w:sz w:val="20"/>
            <w:szCs w:val="20"/>
            <w:u w:val="single"/>
            <w:rtl w:val="0"/>
          </w:rPr>
          <w:t xml:space="preserve">https://doi.org/10.1016/j.iintel.2025.100157</w:t>
        </w:r>
      </w:hyperlink>
      <w:r w:rsidDel="00000000" w:rsidR="00000000" w:rsidRPr="00000000">
        <w:rPr>
          <w:rFonts w:ascii="Times New Roman" w:cs="Times New Roman" w:eastAsia="Times New Roman" w:hAnsi="Times New Roman"/>
          <w:sz w:val="20"/>
          <w:szCs w:val="20"/>
          <w:rtl w:val="0"/>
        </w:rPr>
        <w:t xml:space="preserve"> </w:t>
      </w:r>
    </w:p>
  </w:footnote>
  <w:footnote w:id="2">
    <w:p w:rsidR="00000000" w:rsidDel="00000000" w:rsidP="00000000" w:rsidRDefault="00000000" w:rsidRPr="00000000" w14:paraId="0000029B">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rtl w:val="0"/>
        </w:rPr>
        <w:t xml:space="preserve">Pearl, J. (2009). </w:t>
      </w:r>
      <w:r w:rsidDel="00000000" w:rsidR="00000000" w:rsidRPr="00000000">
        <w:rPr>
          <w:rFonts w:ascii="Times New Roman" w:cs="Times New Roman" w:eastAsia="Times New Roman" w:hAnsi="Times New Roman"/>
          <w:i w:val="1"/>
          <w:iCs w:val="1"/>
          <w:rtl w:val="0"/>
        </w:rPr>
        <w:t xml:space="preserve">Causality: Models, reasoning, and inference</w:t>
      </w:r>
      <w:r w:rsidDel="00000000" w:rsidR="00000000" w:rsidRPr="00000000">
        <w:rPr>
          <w:rFonts w:ascii="Times New Roman" w:cs="Times New Roman" w:eastAsia="Times New Roman" w:hAnsi="Times New Roman"/>
          <w:rtl w:val="0"/>
        </w:rPr>
        <w:t xml:space="preserve"> (2nd ed.). Cambridge University Press. </w:t>
      </w:r>
      <w:hyperlink r:id="rId3">
        <w:r w:rsidDel="00000000" w:rsidR="00000000" w:rsidRPr="00000000">
          <w:rPr>
            <w:rFonts w:ascii="Times New Roman" w:cs="Times New Roman" w:eastAsia="Times New Roman" w:hAnsi="Times New Roman"/>
            <w:color w:val="1155cc"/>
            <w:u w:val="single"/>
            <w:rtl w:val="0"/>
          </w:rPr>
          <w:t xml:space="preserve">https://doi.org/10.1017/cbo9780511803161</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rtl w:val="0"/>
        </w:rPr>
        <w:t xml:space="preserve"> </w:t>
      </w:r>
    </w:p>
  </w:footnote>
  <w:footnote w:id="3">
    <w:p w:rsidR="00000000" w:rsidDel="00000000" w:rsidP="00000000" w:rsidRDefault="00000000" w:rsidRPr="00000000" w14:paraId="0000029C">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rtl w:val="0"/>
        </w:rPr>
        <w:t xml:space="preserve">Kaplan, E. L., &amp; Meier, P. (1958). Nonparametric estimation from incomplete observations. </w:t>
      </w:r>
      <w:r w:rsidDel="00000000" w:rsidR="00000000" w:rsidRPr="00000000">
        <w:rPr>
          <w:rFonts w:ascii="Times New Roman" w:cs="Times New Roman" w:eastAsia="Times New Roman" w:hAnsi="Times New Roman"/>
          <w:i w:val="1"/>
          <w:iCs w:val="1"/>
          <w:rtl w:val="0"/>
        </w:rPr>
        <w:t xml:space="preserve">Journal of the American Statistical Association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53</w:t>
      </w:r>
      <w:r w:rsidDel="00000000" w:rsidR="00000000" w:rsidRPr="00000000">
        <w:rPr>
          <w:rFonts w:ascii="Times New Roman" w:cs="Times New Roman" w:eastAsia="Times New Roman" w:hAnsi="Times New Roman"/>
          <w:rtl w:val="0"/>
        </w:rPr>
        <w:t xml:space="preserve">(282), 457–481. </w:t>
      </w:r>
      <w:hyperlink r:id="rId4">
        <w:r w:rsidDel="00000000" w:rsidR="00000000" w:rsidRPr="00000000">
          <w:rPr>
            <w:rFonts w:ascii="Times New Roman" w:cs="Times New Roman" w:eastAsia="Times New Roman" w:hAnsi="Times New Roman"/>
            <w:color w:val="1155cc"/>
            <w:u w:val="single"/>
            <w:rtl w:val="0"/>
          </w:rPr>
          <w:t xml:space="preserve">http://dx.doi.org/10.1080/01621459.1958.10501452</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footnote>
  <w:footnote w:id="4">
    <w:p w:rsidR="00000000" w:rsidDel="00000000" w:rsidP="00000000" w:rsidRDefault="00000000" w:rsidRPr="00000000" w14:paraId="0000029D">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rtl w:val="0"/>
        </w:rPr>
        <w:t xml:space="preserve">Atkinson, G. D., &amp; Holliday, C. R. (1977). Tropical cyclone minimum sea level pressure-maximum sustained wind speed relationship. </w:t>
      </w:r>
      <w:r w:rsidDel="00000000" w:rsidR="00000000" w:rsidRPr="00000000">
        <w:rPr>
          <w:rFonts w:ascii="Times New Roman" w:cs="Times New Roman" w:eastAsia="Times New Roman" w:hAnsi="Times New Roman"/>
          <w:i w:val="1"/>
          <w:iCs w:val="1"/>
          <w:rtl w:val="0"/>
        </w:rPr>
        <w:t xml:space="preserve">Monthly Weather Review</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105</w:t>
      </w:r>
      <w:r w:rsidDel="00000000" w:rsidR="00000000" w:rsidRPr="00000000">
        <w:rPr>
          <w:rFonts w:ascii="Times New Roman" w:cs="Times New Roman" w:eastAsia="Times New Roman" w:hAnsi="Times New Roman"/>
          <w:rtl w:val="0"/>
        </w:rPr>
        <w:t xml:space="preserve">(4), 421–427. </w:t>
      </w:r>
      <w:hyperlink r:id="rId5">
        <w:r w:rsidDel="00000000" w:rsidR="00000000" w:rsidRPr="00000000">
          <w:rPr>
            <w:rFonts w:ascii="Times New Roman" w:cs="Times New Roman" w:eastAsia="Times New Roman" w:hAnsi="Times New Roman"/>
            <w:color w:val="1155cc"/>
            <w:rtl w:val="0"/>
          </w:rPr>
          <w:t xml:space="preserve">https://doi.org/10.1175/1520-0493(1977)105</w:t>
        </w:r>
      </w:hyperlink>
      <w:r w:rsidDel="00000000" w:rsidR="00000000" w:rsidRPr="00000000">
        <w:rPr>
          <w:rFonts w:ascii="Times New Roman" w:cs="Times New Roman" w:eastAsia="Times New Roman" w:hAnsi="Times New Roman"/>
          <w:sz w:val="20"/>
          <w:szCs w:val="20"/>
          <w:rtl w:val="0"/>
        </w:rPr>
        <w:t xml:space="preserve"> </w:t>
      </w:r>
    </w:p>
  </w:footnote>
  <w:footnote w:id="5">
    <w:p w:rsidR="00000000" w:rsidDel="00000000" w:rsidP="00000000" w:rsidRDefault="00000000" w:rsidRPr="00000000" w14:paraId="0000029E">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Annemarie, Neeltje, et al. “Reformative Recovery for Resilience in Disaster Risk Management: A Scoping Review and Analytical Framework.” </w:t>
      </w:r>
      <w:r w:rsidDel="00000000" w:rsidR="00000000" w:rsidRPr="00000000">
        <w:rPr>
          <w:rFonts w:ascii="Times New Roman" w:cs="Times New Roman" w:eastAsia="Times New Roman" w:hAnsi="Times New Roman"/>
          <w:i w:val="1"/>
          <w:iCs w:val="1"/>
          <w:sz w:val="20"/>
          <w:szCs w:val="20"/>
          <w:rtl w:val="0"/>
        </w:rPr>
        <w:t xml:space="preserve">International Journal of Disaster Risk Reduction</w:t>
      </w:r>
      <w:r w:rsidDel="00000000" w:rsidR="00000000" w:rsidRPr="00000000">
        <w:rPr>
          <w:rFonts w:ascii="Times New Roman" w:cs="Times New Roman" w:eastAsia="Times New Roman" w:hAnsi="Times New Roman"/>
          <w:sz w:val="20"/>
          <w:szCs w:val="20"/>
          <w:rtl w:val="0"/>
        </w:rPr>
        <w:t xml:space="preserve">, 2026, article 106152.</w:t>
      </w:r>
      <w:hyperlink r:id="rId6">
        <w:r w:rsidDel="00000000" w:rsidR="00000000" w:rsidRPr="00000000">
          <w:rPr>
            <w:rFonts w:ascii="Times New Roman" w:cs="Times New Roman" w:eastAsia="Times New Roman" w:hAnsi="Times New Roman"/>
            <w:sz w:val="20"/>
            <w:szCs w:val="20"/>
            <w:rtl w:val="0"/>
          </w:rPr>
          <w:t xml:space="preserve"> </w:t>
        </w:r>
      </w:hyperlink>
      <w:hyperlink r:id="rId7">
        <w:r w:rsidDel="00000000" w:rsidR="00000000" w:rsidRPr="00000000">
          <w:rPr>
            <w:rFonts w:ascii="Times New Roman" w:cs="Times New Roman" w:eastAsia="Times New Roman" w:hAnsi="Times New Roman"/>
            <w:color w:val="1155cc"/>
            <w:sz w:val="20"/>
            <w:szCs w:val="20"/>
            <w:u w:val="single"/>
            <w:rtl w:val="0"/>
          </w:rPr>
          <w:t xml:space="preserve">https://doi.org/10.1016/j.ijdrr.2026.106152</w:t>
        </w:r>
      </w:hyperlink>
      <w:r w:rsidDel="00000000" w:rsidR="00000000" w:rsidRPr="00000000">
        <w:rPr>
          <w:rFonts w:ascii="Times New Roman" w:cs="Times New Roman" w:eastAsia="Times New Roman" w:hAnsi="Times New Roman"/>
          <w:sz w:val="20"/>
          <w:szCs w:val="20"/>
          <w:rtl w:val="0"/>
        </w:rPr>
        <w:t xml:space="preserve"> </w:t>
      </w:r>
    </w:p>
  </w:footnote>
  <w:footnote w:id="6">
    <w:p w:rsidR="00000000" w:rsidDel="00000000" w:rsidP="00000000" w:rsidRDefault="00000000" w:rsidRPr="00000000" w14:paraId="0000029F">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Meerow, Sara, Pani Pajouhesh, and Thaddeus R. Miller. “Social Equity in Urban Resilience Planning.” </w:t>
      </w:r>
      <w:r w:rsidDel="00000000" w:rsidR="00000000" w:rsidRPr="00000000">
        <w:rPr>
          <w:rFonts w:ascii="Times New Roman" w:cs="Times New Roman" w:eastAsia="Times New Roman" w:hAnsi="Times New Roman"/>
          <w:i w:val="1"/>
          <w:iCs w:val="1"/>
          <w:sz w:val="20"/>
          <w:szCs w:val="20"/>
          <w:rtl w:val="0"/>
        </w:rPr>
        <w:t xml:space="preserve">Local Environment</w:t>
      </w:r>
      <w:r w:rsidDel="00000000" w:rsidR="00000000" w:rsidRPr="00000000">
        <w:rPr>
          <w:rFonts w:ascii="Times New Roman" w:cs="Times New Roman" w:eastAsia="Times New Roman" w:hAnsi="Times New Roman"/>
          <w:sz w:val="20"/>
          <w:szCs w:val="20"/>
          <w:rtl w:val="0"/>
        </w:rPr>
        <w:t xml:space="preserve">, vol. 24, no. 9, 2019, pp. 793–808.</w:t>
      </w:r>
      <w:hyperlink r:id="rId8">
        <w:r w:rsidDel="00000000" w:rsidR="00000000" w:rsidRPr="00000000">
          <w:rPr>
            <w:rFonts w:ascii="Times New Roman" w:cs="Times New Roman" w:eastAsia="Times New Roman" w:hAnsi="Times New Roman"/>
            <w:sz w:val="20"/>
            <w:szCs w:val="20"/>
            <w:rtl w:val="0"/>
          </w:rPr>
          <w:t xml:space="preserve"> </w:t>
        </w:r>
      </w:hyperlink>
      <w:hyperlink r:id="rId9">
        <w:r w:rsidDel="00000000" w:rsidR="00000000" w:rsidRPr="00000000">
          <w:rPr>
            <w:rFonts w:ascii="Times New Roman" w:cs="Times New Roman" w:eastAsia="Times New Roman" w:hAnsi="Times New Roman"/>
            <w:color w:val="1155cc"/>
            <w:sz w:val="20"/>
            <w:szCs w:val="20"/>
            <w:u w:val="single"/>
            <w:rtl w:val="0"/>
          </w:rPr>
          <w:t xml:space="preserve">https://doi.org/10.1080/13549839.2019.1645103</w:t>
        </w:r>
      </w:hyperlink>
      <w:r w:rsidDel="00000000" w:rsidR="00000000" w:rsidRPr="00000000">
        <w:rPr>
          <w:rFonts w:ascii="Times New Roman" w:cs="Times New Roman" w:eastAsia="Times New Roman" w:hAnsi="Times New Roman"/>
          <w:sz w:val="20"/>
          <w:szCs w:val="20"/>
          <w:rtl w:val="0"/>
        </w:rPr>
        <w:t xml:space="preserve">  </w:t>
      </w:r>
    </w:p>
  </w:footnote>
  <w:footnote w:id="8">
    <w:p w:rsidR="00000000" w:rsidDel="00000000" w:rsidP="00000000" w:rsidRDefault="00000000" w:rsidRPr="00000000" w14:paraId="000002A1">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Pregnolato, Maria, Alistair Ford, Sean M. Wilkinson, and Richard J. Dawson. “The Impact of Flooding on Road Transport: A Depth-Disruption Function.” </w:t>
      </w:r>
      <w:r w:rsidDel="00000000" w:rsidR="00000000" w:rsidRPr="00000000">
        <w:rPr>
          <w:rFonts w:ascii="Times New Roman" w:cs="Times New Roman" w:eastAsia="Times New Roman" w:hAnsi="Times New Roman"/>
          <w:i w:val="1"/>
          <w:iCs w:val="1"/>
          <w:sz w:val="20"/>
          <w:szCs w:val="20"/>
          <w:rtl w:val="0"/>
        </w:rPr>
        <w:t xml:space="preserve">Transportation Research Part D: Transport and Environment</w:t>
      </w:r>
      <w:r w:rsidDel="00000000" w:rsidR="00000000" w:rsidRPr="00000000">
        <w:rPr>
          <w:rFonts w:ascii="Times New Roman" w:cs="Times New Roman" w:eastAsia="Times New Roman" w:hAnsi="Times New Roman"/>
          <w:sz w:val="20"/>
          <w:szCs w:val="20"/>
          <w:rtl w:val="0"/>
        </w:rPr>
        <w:t xml:space="preserve">, vol. 55, 2017, pp. 67–81.</w:t>
      </w:r>
      <w:hyperlink r:id="rId10">
        <w:r w:rsidDel="00000000" w:rsidR="00000000" w:rsidRPr="00000000">
          <w:rPr>
            <w:rFonts w:ascii="Times New Roman" w:cs="Times New Roman" w:eastAsia="Times New Roman" w:hAnsi="Times New Roman"/>
            <w:sz w:val="20"/>
            <w:szCs w:val="20"/>
            <w:rtl w:val="0"/>
          </w:rPr>
          <w:t xml:space="preserve"> </w:t>
        </w:r>
      </w:hyperlink>
      <w:hyperlink r:id="rId11">
        <w:r w:rsidDel="00000000" w:rsidR="00000000" w:rsidRPr="00000000">
          <w:rPr>
            <w:rFonts w:ascii="Times New Roman" w:cs="Times New Roman" w:eastAsia="Times New Roman" w:hAnsi="Times New Roman"/>
            <w:color w:val="1155cc"/>
            <w:sz w:val="20"/>
            <w:szCs w:val="20"/>
            <w:u w:val="single"/>
            <w:rtl w:val="0"/>
          </w:rPr>
          <w:t xml:space="preserve">https://doi.org/10.1016/j.trd.2017.06.020</w:t>
        </w:r>
      </w:hyperlink>
      <w:r w:rsidDel="00000000" w:rsidR="00000000" w:rsidRPr="00000000">
        <w:rPr>
          <w:rFonts w:ascii="Times New Roman" w:cs="Times New Roman" w:eastAsia="Times New Roman" w:hAnsi="Times New Roman"/>
          <w:sz w:val="20"/>
          <w:szCs w:val="20"/>
          <w:rtl w:val="0"/>
        </w:rPr>
        <w:t xml:space="preserve"> </w:t>
      </w:r>
    </w:p>
  </w:footnote>
  <w:footnote w:id="9">
    <w:p w:rsidR="00000000" w:rsidDel="00000000" w:rsidP="00000000" w:rsidRDefault="00000000" w:rsidRPr="00000000" w14:paraId="000002A2">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Manila Electric Company (Meralco). </w:t>
      </w:r>
      <w:r w:rsidDel="00000000" w:rsidR="00000000" w:rsidRPr="00000000">
        <w:rPr>
          <w:rFonts w:ascii="Times New Roman" w:cs="Times New Roman" w:eastAsia="Times New Roman" w:hAnsi="Times New Roman"/>
          <w:i w:val="1"/>
          <w:iCs w:val="1"/>
          <w:sz w:val="20"/>
          <w:szCs w:val="20"/>
          <w:rtl w:val="0"/>
        </w:rPr>
        <w:t xml:space="preserve">One Meralco 2025 Integrated Report</w:t>
      </w:r>
      <w:r w:rsidDel="00000000" w:rsidR="00000000" w:rsidRPr="00000000">
        <w:rPr>
          <w:rFonts w:ascii="Times New Roman" w:cs="Times New Roman" w:eastAsia="Times New Roman" w:hAnsi="Times New Roman"/>
          <w:sz w:val="20"/>
          <w:szCs w:val="20"/>
          <w:rtl w:val="0"/>
        </w:rPr>
        <w:t xml:space="preserve">. 2026,</w:t>
      </w:r>
      <w:hyperlink r:id="rId12">
        <w:r w:rsidDel="00000000" w:rsidR="00000000" w:rsidRPr="00000000">
          <w:rPr>
            <w:rFonts w:ascii="Times New Roman" w:cs="Times New Roman" w:eastAsia="Times New Roman" w:hAnsi="Times New Roman"/>
            <w:sz w:val="20"/>
            <w:szCs w:val="20"/>
            <w:rtl w:val="0"/>
          </w:rPr>
          <w:t xml:space="preserve"> </w:t>
        </w:r>
      </w:hyperlink>
      <w:hyperlink r:id="rId13">
        <w:r w:rsidDel="00000000" w:rsidR="00000000" w:rsidRPr="00000000">
          <w:rPr>
            <w:rFonts w:ascii="Times New Roman" w:cs="Times New Roman" w:eastAsia="Times New Roman" w:hAnsi="Times New Roman"/>
            <w:color w:val="1155cc"/>
            <w:sz w:val="20"/>
            <w:szCs w:val="20"/>
            <w:u w:val="single"/>
            <w:rtl w:val="0"/>
          </w:rPr>
          <w:t xml:space="preserve">https://company.meralco.com.ph/node/14963</w:t>
        </w:r>
      </w:hyperlink>
      <w:r w:rsidDel="00000000" w:rsidR="00000000" w:rsidRPr="00000000">
        <w:rPr>
          <w:rFonts w:ascii="Times New Roman" w:cs="Times New Roman" w:eastAsia="Times New Roman" w:hAnsi="Times New Roman"/>
          <w:sz w:val="20"/>
          <w:szCs w:val="20"/>
          <w:rtl w:val="0"/>
        </w:rPr>
        <w:t xml:space="preserve"> </w:t>
      </w:r>
    </w:p>
  </w:footnote>
  <w:footnote w:id="7">
    <w:p w:rsidR="00000000" w:rsidDel="00000000" w:rsidP="00000000" w:rsidRDefault="00000000" w:rsidRPr="00000000" w14:paraId="000002A3">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PAGASA. “About Tropical Cyclone.” </w:t>
      </w:r>
      <w:r w:rsidDel="00000000" w:rsidR="00000000" w:rsidRPr="00000000">
        <w:rPr>
          <w:rFonts w:ascii="Times New Roman" w:cs="Times New Roman" w:eastAsia="Times New Roman" w:hAnsi="Times New Roman"/>
          <w:i w:val="1"/>
          <w:iCs w:val="1"/>
          <w:sz w:val="20"/>
          <w:szCs w:val="20"/>
          <w:rtl w:val="0"/>
        </w:rPr>
        <w:t xml:space="preserve">Philippine Atmospheric, Geophysical and Astronomical Services Administration</w:t>
      </w:r>
      <w:r w:rsidDel="00000000" w:rsidR="00000000" w:rsidRPr="00000000">
        <w:rPr>
          <w:rFonts w:ascii="Times New Roman" w:cs="Times New Roman" w:eastAsia="Times New Roman" w:hAnsi="Times New Roman"/>
          <w:sz w:val="20"/>
          <w:szCs w:val="20"/>
          <w:rtl w:val="0"/>
        </w:rPr>
        <w:t xml:space="preserve">, Department of Science and Technology,</w:t>
      </w:r>
      <w:hyperlink r:id="rId14">
        <w:r w:rsidDel="00000000" w:rsidR="00000000" w:rsidRPr="00000000">
          <w:rPr>
            <w:rFonts w:ascii="Times New Roman" w:cs="Times New Roman" w:eastAsia="Times New Roman" w:hAnsi="Times New Roman"/>
            <w:sz w:val="20"/>
            <w:szCs w:val="20"/>
            <w:rtl w:val="0"/>
          </w:rPr>
          <w:t xml:space="preserve"> </w:t>
        </w:r>
      </w:hyperlink>
      <w:hyperlink r:id="rId15">
        <w:r w:rsidDel="00000000" w:rsidR="00000000" w:rsidRPr="00000000">
          <w:rPr>
            <w:rFonts w:ascii="Times New Roman" w:cs="Times New Roman" w:eastAsia="Times New Roman" w:hAnsi="Times New Roman"/>
            <w:color w:val="1155cc"/>
            <w:sz w:val="20"/>
            <w:szCs w:val="20"/>
            <w:u w:val="single"/>
            <w:rtl w:val="0"/>
          </w:rPr>
          <w:t xml:space="preserve">https://www.pagasa.dost.gov.ph/information/about-tropical-cyclone</w:t>
        </w:r>
      </w:hyperlink>
      <w:r w:rsidDel="00000000" w:rsidR="00000000" w:rsidRPr="00000000">
        <w:rPr>
          <w:rFonts w:ascii="Times New Roman" w:cs="Times New Roman" w:eastAsia="Times New Roman" w:hAnsi="Times New Roman"/>
          <w:sz w:val="20"/>
          <w:szCs w:val="20"/>
          <w:rtl w:val="0"/>
        </w:rPr>
        <w:t xml:space="preserve">. Accessed 16 Aug. 2026.</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0">
    <w:pPr>
      <w:rPr>
        <w:rFonts w:ascii="Times New Roman" w:cs="Times New Roman" w:eastAsia="Times New Roman" w:hAnsi="Times New Roman"/>
        <w:color w:val="666666"/>
      </w:rPr>
    </w:pPr>
    <w:r w:rsidDel="00000000" w:rsidR="00000000" w:rsidRPr="00000000">
      <w:rPr>
        <w:rFonts w:ascii="Times New Roman" w:cs="Times New Roman" w:eastAsia="Times New Roman" w:hAnsi="Times New Roman"/>
        <w:color w:val="666666"/>
        <w:rtl w:val="0"/>
      </w:rPr>
      <w:t xml:space="preserve">Model Research and Specifications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askia.khryss@gmail.com"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footnotes.xml.rels><?xml version="1.0" encoding="UTF-8" standalone="yes"?><Relationships xmlns="http://schemas.openxmlformats.org/package/2006/relationships"><Relationship Id="rId11" Type="http://schemas.openxmlformats.org/officeDocument/2006/relationships/hyperlink" Target="https://doi.org/10.1016/j.trd.2017.06.020" TargetMode="External"/><Relationship Id="rId10" Type="http://schemas.openxmlformats.org/officeDocument/2006/relationships/hyperlink" Target="https://doi.org/10.1016/j.trd.2017.06.020" TargetMode="External"/><Relationship Id="rId13" Type="http://schemas.openxmlformats.org/officeDocument/2006/relationships/hyperlink" Target="https://company.meralco.com.ph/node/14963?utm_source=chatgpt.com" TargetMode="External"/><Relationship Id="rId12" Type="http://schemas.openxmlformats.org/officeDocument/2006/relationships/hyperlink" Target="https://company.meralco.com.ph/node/14963?utm_source=chatgpt.com" TargetMode="External"/><Relationship Id="rId1" Type="http://schemas.openxmlformats.org/officeDocument/2006/relationships/hyperlink" Target="https://doi.org/10.1016/j.iintel.2025.100157" TargetMode="External"/><Relationship Id="rId2" Type="http://schemas.openxmlformats.org/officeDocument/2006/relationships/hyperlink" Target="https://doi.org/10.1016/j.iintel.2025.100157" TargetMode="External"/><Relationship Id="rId3" Type="http://schemas.openxmlformats.org/officeDocument/2006/relationships/hyperlink" Target="https://doi.org/10.1017/cbo9780511803161" TargetMode="External"/><Relationship Id="rId4" Type="http://schemas.openxmlformats.org/officeDocument/2006/relationships/hyperlink" Target="http://dx.doi.org/10.1080/01621459.1958.10501452" TargetMode="External"/><Relationship Id="rId9" Type="http://schemas.openxmlformats.org/officeDocument/2006/relationships/hyperlink" Target="https://doi.org/10.1080/13549839.2019.1645103" TargetMode="External"/><Relationship Id="rId15" Type="http://schemas.openxmlformats.org/officeDocument/2006/relationships/hyperlink" Target="https://www.pagasa.dost.gov.ph/information/about-tropical-cyclone" TargetMode="External"/><Relationship Id="rId14" Type="http://schemas.openxmlformats.org/officeDocument/2006/relationships/hyperlink" Target="https://www.pagasa.dost.gov.ph/information/about-tropical-cyclone" TargetMode="External"/><Relationship Id="rId5" Type="http://schemas.openxmlformats.org/officeDocument/2006/relationships/hyperlink" Target="https://doi.org/10.1175/1520-0493(1977)105" TargetMode="External"/><Relationship Id="rId6" Type="http://schemas.openxmlformats.org/officeDocument/2006/relationships/hyperlink" Target="https://doi.org/10.1016/j.ijdrr.2026.106152" TargetMode="External"/><Relationship Id="rId7" Type="http://schemas.openxmlformats.org/officeDocument/2006/relationships/hyperlink" Target="https://doi.org/10.1016/j.ijdrr.2026.106152" TargetMode="External"/><Relationship Id="rId8" Type="http://schemas.openxmlformats.org/officeDocument/2006/relationships/hyperlink" Target="https://doi.org/10.1080/13549839.2019.16451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