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after="240"/>
      </w:pPr>
      <w:r>
        <w:rPr>
          <w:rFonts w:ascii="Calibri" w:hAnsi="Calibri"/>
          <w:b/>
          <w:i w:val="0"/>
          <w:color w:val="2E74B5"/>
          <w:sz w:val="36"/>
        </w:rPr>
        <w:t>Highlights</w:t>
      </w:r>
    </w:p>
    <w:p>
      <w:pPr>
        <w:spacing w:after="320"/>
      </w:pPr>
      <w:r>
        <w:rPr>
          <w:rFonts w:ascii="Calibri" w:hAnsi="Calibri"/>
          <w:b w:val="0"/>
          <w:i/>
          <w:color w:val="666666"/>
          <w:sz w:val="22"/>
        </w:rPr>
        <w:t>Beyond Average Latency</w:t>
      </w:r>
    </w:p>
    <w:p>
      <w:pPr>
        <w:pStyle w:val="ListBullet"/>
      </w:pPr>
      <w:r>
        <w:rPr>
          <w:rFonts w:ascii="Calibri" w:hAnsi="Calibri"/>
          <w:b w:val="0"/>
          <w:i w:val="0"/>
          <w:color w:val="000000"/>
          <w:sz w:val="22"/>
        </w:rPr>
        <w:t>A hash-linked Android protocol compares 12 LiteRT variants in 72 settings.</w:t>
      </w:r>
    </w:p>
    <w:p>
      <w:pPr>
        <w:pStyle w:val="ListBullet"/>
      </w:pPr>
      <w:r>
        <w:rPr>
          <w:rFonts w:ascii="Calibri" w:hAnsi="Calibri"/>
          <w:b w:val="0"/>
          <w:i w:val="0"/>
          <w:color w:val="000000"/>
          <w:sz w:val="22"/>
        </w:rPr>
        <w:t>Complete trials retain median, p95, rank stability, memory, and failures.</w:t>
      </w:r>
    </w:p>
    <w:p>
      <w:pPr>
        <w:pStyle w:val="ListBullet"/>
      </w:pPr>
      <w:r>
        <w:rPr>
          <w:rFonts w:ascii="Calibri" w:hAnsi="Calibri"/>
          <w:b w:val="0"/>
          <w:i w:val="0"/>
          <w:color w:val="000000"/>
          <w:sz w:val="22"/>
        </w:rPr>
        <w:t>Size and latency orders differed in 18 of 18 contexts.</w:t>
      </w:r>
    </w:p>
    <w:p>
      <w:pPr>
        <w:pStyle w:val="ListBullet"/>
      </w:pPr>
      <w:r>
        <w:rPr>
          <w:rFonts w:ascii="Calibri" w:hAnsi="Calibri"/>
          <w:b w:val="0"/>
          <w:i w:val="0"/>
          <w:color w:val="000000"/>
          <w:sz w:val="22"/>
        </w:rPr>
        <w:t>Runtime changed quantization rank in 7 of 9 contexts.</w:t>
      </w:r>
    </w:p>
    <w:p>
      <w:pPr>
        <w:pStyle w:val="ListBullet"/>
      </w:pPr>
      <w:r>
        <w:rPr>
          <w:rFonts w:ascii="Calibri" w:hAnsi="Calibri"/>
          <w:b w:val="0"/>
          <w:i w:val="0"/>
          <w:color w:val="000000"/>
          <w:sz w:val="22"/>
        </w:rPr>
        <w:t>Median and p95 Pareto fronts shared 3 configurations.</w:t>
      </w:r>
    </w:p>
    <w:sectPr w:rsidR="00FC693F" w:rsidRPr="0006063C" w:rsidSect="00034616">
      <w:pgSz w:w="12240" w:h="15840"/>
      <w:pgMar w:top="1224" w:right="1440" w:bottom="1224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59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60" w:line="269" w:lineRule="auto"/>
      <w:ind w:left="648" w:hanging="317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Highlights — Beyond Average Latency</dc:title>
  <dc:subject>Research highlights for journal submission</dc:subject>
  <dc:creator>Akhtar Saleem</dc:creator>
  <cp:keywords/>
  <dc:description>generated by python-docx</dc:description>
  <cp:lastModifiedBy>Akhtar Saleem</cp:lastModifiedBy>
  <cp:revision>1</cp:revision>
  <dcterms:created xsi:type="dcterms:W3CDTF">2013-12-23T23:15:00Z</dcterms:created>
  <dcterms:modified xsi:type="dcterms:W3CDTF">2013-12-23T23:15:00Z</dcterms:modified>
  <cp:category/>
</cp:coreProperties>
</file>