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40"/>
      </w:pPr>
      <w:r>
        <w:rPr>
          <w:rFonts w:ascii="Calibri" w:hAnsi="Calibri"/>
          <w:b/>
          <w:i w:val="0"/>
          <w:color w:val="2E74B5"/>
          <w:sz w:val="36"/>
        </w:rPr>
        <w:t>Highlights</w:t>
      </w:r>
    </w:p>
    <w:p>
      <w:pPr>
        <w:spacing w:after="320"/>
      </w:pPr>
      <w:r>
        <w:rPr>
          <w:rFonts w:ascii="Calibri" w:hAnsi="Calibri"/>
          <w:b w:val="0"/>
          <w:i/>
          <w:color w:val="666666"/>
          <w:sz w:val="22"/>
        </w:rPr>
        <w:t>Beyond Average Latency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The Android protocol compares 12 model variants across 72 deployment settings.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Complete trials retain typical and tail latency, memory, and failures.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Model size and device latency rankings differed in all 18 contexts.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Runtime choice changed quantization rankings in 7 of 9 comparisons.</w:t>
      </w:r>
    </w:p>
    <w:p>
      <w:pPr>
        <w:pStyle w:val="ListBullet"/>
      </w:pPr>
      <w:r>
        <w:rPr>
          <w:rFonts w:ascii="Calibri" w:hAnsi="Calibri"/>
          <w:b w:val="0"/>
          <w:i w:val="0"/>
          <w:color w:val="000000"/>
          <w:sz w:val="22"/>
        </w:rPr>
        <w:t>Typical- and tail-latency Pareto fronts shared only 3 configurations.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69" w:lineRule="auto"/>
      <w:ind w:left="648" w:hanging="317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 — Beyond Average Latency</dc:title>
  <dc:subject>Research highlights for journal submission</dc:subject>
  <dc:creator>Akhtar Saleem</dc:creator>
  <cp:keywords/>
  <dc:description>generated by python-docx</dc:description>
  <cp:lastModifiedBy>Akhtar Saleem</cp:lastModifiedBy>
  <cp:revision>1</cp:revision>
  <dcterms:created xsi:type="dcterms:W3CDTF">2013-12-23T23:15:00Z</dcterms:created>
  <dcterms:modified xsi:type="dcterms:W3CDTF">2013-12-23T23:15:00Z</dcterms:modified>
  <cp:category/>
</cp:coreProperties>
</file>