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8AC8" w14:textId="563C47E8" w:rsidR="007954FE" w:rsidRPr="000F5E8A" w:rsidRDefault="007954FE" w:rsidP="007954FE">
      <w:pPr>
        <w:jc w:val="center"/>
        <w:rPr>
          <w:b/>
          <w:bCs/>
          <w:sz w:val="52"/>
          <w:szCs w:val="52"/>
        </w:rPr>
      </w:pPr>
      <w:r w:rsidRPr="000F5E8A">
        <w:rPr>
          <w:b/>
          <w:bCs/>
          <w:sz w:val="52"/>
          <w:szCs w:val="52"/>
        </w:rPr>
        <w:t>Cartesi</w:t>
      </w:r>
    </w:p>
    <w:p w14:paraId="619F7C9A" w14:textId="3E7BFA4F" w:rsidR="007954FE" w:rsidRDefault="007954FE" w:rsidP="007954FE">
      <w:pPr>
        <w:jc w:val="center"/>
        <w:rPr>
          <w:sz w:val="52"/>
          <w:szCs w:val="52"/>
        </w:rPr>
      </w:pPr>
    </w:p>
    <w:p w14:paraId="353E84C9" w14:textId="4924419F" w:rsidR="007954FE" w:rsidRDefault="007954FE" w:rsidP="007954F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FDFFDF4" wp14:editId="3C55F852">
            <wp:extent cx="5727700" cy="1307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6D1" w14:textId="1B6D528A" w:rsidR="007954FE" w:rsidRDefault="007954FE" w:rsidP="007954FE">
      <w:pPr>
        <w:jc w:val="center"/>
        <w:rPr>
          <w:sz w:val="52"/>
          <w:szCs w:val="52"/>
        </w:rPr>
      </w:pPr>
    </w:p>
    <w:p w14:paraId="4C043DF7" w14:textId="2D714379" w:rsidR="007954FE" w:rsidRPr="007954FE" w:rsidRDefault="007954FE" w:rsidP="007954FE">
      <w:pPr>
        <w:jc w:val="center"/>
        <w:rPr>
          <w:sz w:val="36"/>
          <w:szCs w:val="36"/>
        </w:rPr>
      </w:pPr>
      <w:r w:rsidRPr="007954FE">
        <w:rPr>
          <w:sz w:val="36"/>
          <w:szCs w:val="36"/>
        </w:rPr>
        <w:t>Rollup to Backend</w:t>
      </w:r>
    </w:p>
    <w:p w14:paraId="7C650CEA" w14:textId="77777777" w:rsidR="007954FE" w:rsidRPr="007954FE" w:rsidRDefault="007954FE" w:rsidP="007954F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954FE">
        <w:rPr>
          <w:b/>
          <w:bCs/>
          <w:sz w:val="20"/>
          <w:szCs w:val="20"/>
        </w:rPr>
        <w:t>Two type of Inputs:</w:t>
      </w:r>
    </w:p>
    <w:p w14:paraId="4BAD5D7A" w14:textId="0C07A41B" w:rsidR="007954FE" w:rsidRPr="007954FE" w:rsidRDefault="007954FE" w:rsidP="007954F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954FE">
        <w:rPr>
          <w:b/>
          <w:bCs/>
          <w:sz w:val="20"/>
          <w:szCs w:val="20"/>
        </w:rPr>
        <w:t>Advance</w:t>
      </w:r>
      <w:r w:rsidR="00237E79">
        <w:rPr>
          <w:b/>
          <w:bCs/>
          <w:sz w:val="20"/>
          <w:szCs w:val="20"/>
        </w:rPr>
        <w:t xml:space="preserve"> </w:t>
      </w:r>
      <w:r w:rsidRPr="007954FE">
        <w:rPr>
          <w:b/>
          <w:bCs/>
          <w:sz w:val="20"/>
          <w:szCs w:val="20"/>
        </w:rPr>
        <w:t>State:</w:t>
      </w:r>
      <w:r w:rsidRPr="007954FE">
        <w:rPr>
          <w:sz w:val="20"/>
          <w:szCs w:val="20"/>
        </w:rPr>
        <w:t xml:space="preserve"> Advances the state of machine</w:t>
      </w:r>
    </w:p>
    <w:p w14:paraId="54E7DD85" w14:textId="747646D7" w:rsidR="007954FE" w:rsidRPr="007954FE" w:rsidRDefault="007954FE" w:rsidP="007954F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954FE">
        <w:rPr>
          <w:b/>
          <w:bCs/>
          <w:sz w:val="20"/>
          <w:szCs w:val="20"/>
        </w:rPr>
        <w:t>Inspect</w:t>
      </w:r>
      <w:r w:rsidR="00237E79">
        <w:rPr>
          <w:b/>
          <w:bCs/>
          <w:sz w:val="20"/>
          <w:szCs w:val="20"/>
        </w:rPr>
        <w:t xml:space="preserve"> </w:t>
      </w:r>
      <w:r w:rsidRPr="007954FE">
        <w:rPr>
          <w:b/>
          <w:bCs/>
          <w:sz w:val="20"/>
          <w:szCs w:val="20"/>
        </w:rPr>
        <w:t>State:</w:t>
      </w:r>
      <w:r w:rsidRPr="007954FE">
        <w:rPr>
          <w:sz w:val="20"/>
          <w:szCs w:val="20"/>
        </w:rPr>
        <w:t xml:space="preserve"> Inspect state of machine in Read Only Mode</w:t>
      </w:r>
      <w:r w:rsidR="0026058F">
        <w:rPr>
          <w:sz w:val="20"/>
          <w:szCs w:val="20"/>
        </w:rPr>
        <w:t xml:space="preserve"> (Function always revert bac</w:t>
      </w:r>
      <w:r w:rsidR="00237E79">
        <w:rPr>
          <w:sz w:val="20"/>
          <w:szCs w:val="20"/>
        </w:rPr>
        <w:t xml:space="preserve">k </w:t>
      </w:r>
      <w:r w:rsidR="0026058F">
        <w:rPr>
          <w:sz w:val="20"/>
          <w:szCs w:val="20"/>
        </w:rPr>
        <w:t>computation to initial state)</w:t>
      </w:r>
    </w:p>
    <w:p w14:paraId="5E2A2D1A" w14:textId="77777777" w:rsidR="007954FE" w:rsidRPr="007954FE" w:rsidRDefault="007954FE" w:rsidP="007954FE">
      <w:pPr>
        <w:rPr>
          <w:sz w:val="20"/>
          <w:szCs w:val="20"/>
        </w:rPr>
      </w:pPr>
    </w:p>
    <w:p w14:paraId="13112CF8" w14:textId="02EBC0C8" w:rsidR="007954FE" w:rsidRPr="007954FE" w:rsidRDefault="007954FE" w:rsidP="007954F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954FE">
        <w:rPr>
          <w:b/>
          <w:bCs/>
          <w:sz w:val="20"/>
          <w:szCs w:val="20"/>
        </w:rPr>
        <w:t>Three types of outputs:</w:t>
      </w:r>
    </w:p>
    <w:p w14:paraId="14F6D680" w14:textId="42EFFE9D" w:rsidR="007954FE" w:rsidRPr="007954FE" w:rsidRDefault="007954FE" w:rsidP="007954F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954FE">
        <w:rPr>
          <w:b/>
          <w:bCs/>
          <w:sz w:val="20"/>
          <w:szCs w:val="20"/>
        </w:rPr>
        <w:t>Add</w:t>
      </w:r>
      <w:r w:rsidR="00FB6605">
        <w:rPr>
          <w:b/>
          <w:bCs/>
          <w:sz w:val="20"/>
          <w:szCs w:val="20"/>
        </w:rPr>
        <w:t xml:space="preserve"> </w:t>
      </w:r>
      <w:r w:rsidRPr="007954FE">
        <w:rPr>
          <w:b/>
          <w:bCs/>
          <w:sz w:val="20"/>
          <w:szCs w:val="20"/>
        </w:rPr>
        <w:t>Voucher:</w:t>
      </w:r>
      <w:r w:rsidRPr="007954FE">
        <w:rPr>
          <w:sz w:val="20"/>
          <w:szCs w:val="20"/>
        </w:rPr>
        <w:t xml:space="preserve"> A way to send transactions </w:t>
      </w:r>
      <w:r w:rsidR="0026058F">
        <w:rPr>
          <w:sz w:val="20"/>
          <w:szCs w:val="20"/>
        </w:rPr>
        <w:t>to Ethereum</w:t>
      </w:r>
      <w:r w:rsidR="00237E79">
        <w:rPr>
          <w:sz w:val="20"/>
          <w:szCs w:val="20"/>
        </w:rPr>
        <w:t xml:space="preserve"> for withdrawing assets or similar operations</w:t>
      </w:r>
      <w:r w:rsidR="0026058F">
        <w:rPr>
          <w:sz w:val="20"/>
          <w:szCs w:val="20"/>
        </w:rPr>
        <w:t xml:space="preserve"> (Claimable after 7 days)</w:t>
      </w:r>
    </w:p>
    <w:p w14:paraId="5C8FAD03" w14:textId="3E08BEAC" w:rsidR="007954FE" w:rsidRPr="007954FE" w:rsidRDefault="007954FE" w:rsidP="007954F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954FE">
        <w:rPr>
          <w:b/>
          <w:bCs/>
          <w:sz w:val="20"/>
          <w:szCs w:val="20"/>
        </w:rPr>
        <w:t>Add</w:t>
      </w:r>
      <w:r w:rsidR="00FB6605">
        <w:rPr>
          <w:b/>
          <w:bCs/>
          <w:sz w:val="20"/>
          <w:szCs w:val="20"/>
        </w:rPr>
        <w:t xml:space="preserve"> </w:t>
      </w:r>
      <w:r w:rsidRPr="007954FE">
        <w:rPr>
          <w:b/>
          <w:bCs/>
          <w:sz w:val="20"/>
          <w:szCs w:val="20"/>
        </w:rPr>
        <w:t>Notice:</w:t>
      </w:r>
      <w:r w:rsidRPr="007954FE">
        <w:rPr>
          <w:sz w:val="20"/>
          <w:szCs w:val="20"/>
        </w:rPr>
        <w:t xml:space="preserve"> Equivalent to Ethereum events</w:t>
      </w:r>
      <w:r w:rsidR="0026058F">
        <w:rPr>
          <w:sz w:val="20"/>
          <w:szCs w:val="20"/>
        </w:rPr>
        <w:t xml:space="preserve"> but with proof attached</w:t>
      </w:r>
      <w:r w:rsidR="00FB6605">
        <w:rPr>
          <w:sz w:val="20"/>
          <w:szCs w:val="20"/>
        </w:rPr>
        <w:t xml:space="preserve"> i.e. advances the state</w:t>
      </w:r>
    </w:p>
    <w:p w14:paraId="38144D92" w14:textId="5B9F777C" w:rsidR="007954FE" w:rsidRDefault="007954FE" w:rsidP="007954FE">
      <w:pPr>
        <w:pStyle w:val="ListParagraph"/>
        <w:numPr>
          <w:ilvl w:val="1"/>
          <w:numId w:val="2"/>
        </w:numPr>
      </w:pPr>
      <w:r w:rsidRPr="007954FE">
        <w:rPr>
          <w:b/>
          <w:bCs/>
          <w:sz w:val="20"/>
          <w:szCs w:val="20"/>
        </w:rPr>
        <w:t>Add</w:t>
      </w:r>
      <w:r w:rsidR="00FB6605">
        <w:rPr>
          <w:b/>
          <w:bCs/>
          <w:sz w:val="20"/>
          <w:szCs w:val="20"/>
        </w:rPr>
        <w:t xml:space="preserve"> </w:t>
      </w:r>
      <w:r w:rsidRPr="007954FE">
        <w:rPr>
          <w:b/>
          <w:bCs/>
          <w:sz w:val="20"/>
          <w:szCs w:val="20"/>
        </w:rPr>
        <w:t>Report:</w:t>
      </w:r>
      <w:r w:rsidRPr="007954FE">
        <w:rPr>
          <w:sz w:val="20"/>
          <w:szCs w:val="20"/>
        </w:rPr>
        <w:t xml:space="preserve"> Equivalent to </w:t>
      </w:r>
      <w:r w:rsidR="0026058F">
        <w:rPr>
          <w:sz w:val="20"/>
          <w:szCs w:val="20"/>
        </w:rPr>
        <w:t>Logs i.e. has no proof attached</w:t>
      </w:r>
      <w:r w:rsidR="00FB6605">
        <w:rPr>
          <w:sz w:val="20"/>
          <w:szCs w:val="20"/>
        </w:rPr>
        <w:t xml:space="preserve"> i.e. the state isn’t advanced</w:t>
      </w:r>
    </w:p>
    <w:p w14:paraId="20424003" w14:textId="223B5B4D" w:rsidR="007954FE" w:rsidRDefault="007954FE" w:rsidP="007954FE"/>
    <w:p w14:paraId="27306202" w14:textId="70762D79" w:rsidR="007954FE" w:rsidRDefault="007954FE" w:rsidP="007954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Frontend to </w:t>
      </w:r>
      <w:r w:rsidRPr="007954FE">
        <w:rPr>
          <w:sz w:val="36"/>
          <w:szCs w:val="36"/>
        </w:rPr>
        <w:t>Rollup</w:t>
      </w:r>
    </w:p>
    <w:p w14:paraId="00BB72C6" w14:textId="322EB421" w:rsidR="007954FE" w:rsidRDefault="007954FE" w:rsidP="007954FE">
      <w:pPr>
        <w:jc w:val="center"/>
        <w:rPr>
          <w:sz w:val="36"/>
          <w:szCs w:val="36"/>
        </w:rPr>
      </w:pPr>
    </w:p>
    <w:p w14:paraId="7725BFDD" w14:textId="4562E867" w:rsidR="0026058F" w:rsidRPr="00FB6605" w:rsidRDefault="0026058F" w:rsidP="00FB660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B6605">
        <w:rPr>
          <w:b/>
          <w:bCs/>
          <w:sz w:val="20"/>
          <w:szCs w:val="20"/>
        </w:rPr>
        <w:t>Add</w:t>
      </w:r>
      <w:r w:rsidR="00FB6605">
        <w:rPr>
          <w:b/>
          <w:bCs/>
          <w:sz w:val="20"/>
          <w:szCs w:val="20"/>
        </w:rPr>
        <w:t xml:space="preserve"> </w:t>
      </w:r>
      <w:r w:rsidRPr="00FB6605">
        <w:rPr>
          <w:b/>
          <w:bCs/>
          <w:sz w:val="20"/>
          <w:szCs w:val="20"/>
        </w:rPr>
        <w:t>Input:</w:t>
      </w:r>
      <w:r w:rsidRPr="00FB6605">
        <w:rPr>
          <w:sz w:val="20"/>
          <w:szCs w:val="20"/>
        </w:rPr>
        <w:t xml:space="preserve"> </w:t>
      </w:r>
      <w:r w:rsidR="00FB6605">
        <w:rPr>
          <w:sz w:val="20"/>
          <w:szCs w:val="20"/>
        </w:rPr>
        <w:t xml:space="preserve">All the </w:t>
      </w:r>
      <w:r w:rsidR="00FB6605" w:rsidRPr="00FB6605">
        <w:rPr>
          <w:color w:val="7F7F7F" w:themeColor="text1" w:themeTint="80"/>
          <w:sz w:val="20"/>
          <w:szCs w:val="20"/>
        </w:rPr>
        <w:t xml:space="preserve">advance state </w:t>
      </w:r>
      <w:r w:rsidR="00FB6605">
        <w:rPr>
          <w:sz w:val="20"/>
          <w:szCs w:val="20"/>
        </w:rPr>
        <w:t xml:space="preserve">requests go through the rollup contract on L1 chain. You need to call </w:t>
      </w:r>
      <w:r w:rsidR="00FB6605" w:rsidRPr="00FB6605">
        <w:rPr>
          <w:i/>
          <w:iCs/>
          <w:sz w:val="20"/>
          <w:szCs w:val="20"/>
        </w:rPr>
        <w:t>addInput</w:t>
      </w:r>
      <w:r w:rsidR="00FB6605">
        <w:rPr>
          <w:sz w:val="20"/>
          <w:szCs w:val="20"/>
        </w:rPr>
        <w:t xml:space="preserve"> method on </w:t>
      </w:r>
      <w:r w:rsidR="00FB6605" w:rsidRPr="00FB6605">
        <w:rPr>
          <w:i/>
          <w:iCs/>
          <w:sz w:val="20"/>
          <w:szCs w:val="20"/>
        </w:rPr>
        <w:t>inputBox</w:t>
      </w:r>
      <w:r w:rsidR="00FB6605">
        <w:rPr>
          <w:i/>
          <w:iCs/>
          <w:sz w:val="20"/>
          <w:szCs w:val="20"/>
        </w:rPr>
        <w:t xml:space="preserve"> </w:t>
      </w:r>
      <w:r w:rsidR="00FB6605" w:rsidRPr="00FB6605">
        <w:rPr>
          <w:sz w:val="20"/>
          <w:szCs w:val="20"/>
        </w:rPr>
        <w:t>contract</w:t>
      </w:r>
      <w:r w:rsidR="00FB6605">
        <w:rPr>
          <w:sz w:val="20"/>
          <w:szCs w:val="20"/>
        </w:rPr>
        <w:t xml:space="preserve">  with address of the Dapp and Hex encoded request data.</w:t>
      </w:r>
      <w:r w:rsidR="00EF0267" w:rsidRPr="00FB6605">
        <w:rPr>
          <w:sz w:val="20"/>
          <w:szCs w:val="20"/>
        </w:rPr>
        <w:br/>
      </w:r>
      <w:r w:rsidR="00EF0267" w:rsidRPr="00FB6605">
        <w:rPr>
          <w:rFonts w:ascii="Courier New" w:hAnsi="Courier New" w:cs="Courier New"/>
          <w:color w:val="393A34"/>
          <w:sz w:val="20"/>
          <w:szCs w:val="20"/>
        </w:rPr>
        <w:t xml:space="preserve">cast send </w:t>
      </w:r>
      <w:r w:rsidR="00FB6605">
        <w:rPr>
          <w:rFonts w:ascii="Courier New" w:hAnsi="Courier New" w:cs="Courier New"/>
          <w:color w:val="393A34"/>
          <w:sz w:val="20"/>
          <w:szCs w:val="20"/>
        </w:rPr>
        <w:t>0xinput_box</w:t>
      </w:r>
      <w:r w:rsidR="00EF0267" w:rsidRPr="00FB6605">
        <w:rPr>
          <w:rFonts w:ascii="Courier New" w:hAnsi="Courier New" w:cs="Courier New"/>
          <w:color w:val="393A34"/>
          <w:sz w:val="20"/>
          <w:szCs w:val="20"/>
        </w:rPr>
        <w:t xml:space="preserve"> </w:t>
      </w:r>
      <w:r w:rsidR="00EF0267" w:rsidRPr="00FB6605">
        <w:rPr>
          <w:rFonts w:ascii="Courier New" w:hAnsi="Courier New" w:cs="Courier New"/>
          <w:color w:val="E3116C"/>
          <w:sz w:val="20"/>
          <w:szCs w:val="20"/>
        </w:rPr>
        <w:t>"addInput(</w:t>
      </w:r>
      <w:r w:rsidR="00FB6605">
        <w:rPr>
          <w:rFonts w:ascii="Courier New" w:hAnsi="Courier New" w:cs="Courier New"/>
          <w:color w:val="E3116C"/>
          <w:sz w:val="20"/>
          <w:szCs w:val="20"/>
        </w:rPr>
        <w:t>dapp_address</w:t>
      </w:r>
      <w:r w:rsidR="00EF0267" w:rsidRPr="00FB6605">
        <w:rPr>
          <w:rFonts w:ascii="Courier New" w:hAnsi="Courier New" w:cs="Courier New"/>
          <w:color w:val="E3116C"/>
          <w:sz w:val="20"/>
          <w:szCs w:val="20"/>
        </w:rPr>
        <w:t>,</w:t>
      </w:r>
      <w:r w:rsidR="00FB6605">
        <w:rPr>
          <w:rFonts w:ascii="Courier New" w:hAnsi="Courier New" w:cs="Courier New"/>
          <w:color w:val="E3116C"/>
          <w:sz w:val="20"/>
          <w:szCs w:val="20"/>
        </w:rPr>
        <w:t xml:space="preserve"> hex_encoded_payload</w:t>
      </w:r>
      <w:r w:rsidR="00EF0267" w:rsidRPr="00FB6605">
        <w:rPr>
          <w:rFonts w:ascii="Courier New" w:hAnsi="Courier New" w:cs="Courier New"/>
          <w:color w:val="E3116C"/>
          <w:sz w:val="20"/>
          <w:szCs w:val="20"/>
        </w:rPr>
        <w:t>)"</w:t>
      </w:r>
    </w:p>
    <w:p w14:paraId="00C090E3" w14:textId="4DA3C955" w:rsidR="00EF0267" w:rsidRPr="00FB6605" w:rsidRDefault="0026058F" w:rsidP="00EF02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6605">
        <w:rPr>
          <w:b/>
          <w:bCs/>
          <w:sz w:val="20"/>
          <w:szCs w:val="20"/>
        </w:rPr>
        <w:t>Query</w:t>
      </w:r>
      <w:r w:rsidR="00FB6605">
        <w:rPr>
          <w:b/>
          <w:bCs/>
          <w:sz w:val="20"/>
          <w:szCs w:val="20"/>
        </w:rPr>
        <w:t xml:space="preserve"> </w:t>
      </w:r>
      <w:r w:rsidRPr="00FB6605">
        <w:rPr>
          <w:b/>
          <w:bCs/>
          <w:sz w:val="20"/>
          <w:szCs w:val="20"/>
        </w:rPr>
        <w:t>Outputs:</w:t>
      </w:r>
      <w:r w:rsidRPr="00FB6605">
        <w:rPr>
          <w:sz w:val="20"/>
          <w:szCs w:val="20"/>
        </w:rPr>
        <w:t xml:space="preserve"> </w:t>
      </w:r>
      <w:r w:rsidR="00744C8D" w:rsidRPr="00FB6605">
        <w:rPr>
          <w:sz w:val="20"/>
          <w:szCs w:val="20"/>
        </w:rPr>
        <w:t>Query current state like Vouchers, Notices and Reports</w:t>
      </w:r>
      <w:r w:rsidR="00FB6605">
        <w:rPr>
          <w:sz w:val="20"/>
          <w:szCs w:val="20"/>
        </w:rPr>
        <w:t xml:space="preserve"> are done through </w:t>
      </w:r>
      <w:proofErr w:type="spellStart"/>
      <w:r w:rsidR="00FB6605">
        <w:rPr>
          <w:sz w:val="20"/>
          <w:szCs w:val="20"/>
        </w:rPr>
        <w:t>GraphQL</w:t>
      </w:r>
      <w:proofErr w:type="spellEnd"/>
      <w:r w:rsidR="00FB6605">
        <w:rPr>
          <w:sz w:val="20"/>
          <w:szCs w:val="20"/>
        </w:rPr>
        <w:t xml:space="preserve"> API</w:t>
      </w:r>
    </w:p>
    <w:p w14:paraId="6FFA3044" w14:textId="3290E131" w:rsidR="0026058F" w:rsidRPr="00FB6605" w:rsidRDefault="0026058F" w:rsidP="00EF02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6605">
        <w:rPr>
          <w:b/>
          <w:bCs/>
          <w:sz w:val="20"/>
          <w:szCs w:val="20"/>
        </w:rPr>
        <w:t>Inspect</w:t>
      </w:r>
      <w:r w:rsidR="00FB6605">
        <w:rPr>
          <w:b/>
          <w:bCs/>
          <w:sz w:val="20"/>
          <w:szCs w:val="20"/>
        </w:rPr>
        <w:t xml:space="preserve"> </w:t>
      </w:r>
      <w:r w:rsidRPr="00FB6605">
        <w:rPr>
          <w:b/>
          <w:bCs/>
          <w:sz w:val="20"/>
          <w:szCs w:val="20"/>
        </w:rPr>
        <w:t>State:</w:t>
      </w:r>
      <w:r w:rsidRPr="00FB6605">
        <w:rPr>
          <w:sz w:val="20"/>
          <w:szCs w:val="20"/>
        </w:rPr>
        <w:t xml:space="preserve"> </w:t>
      </w:r>
      <w:r w:rsidR="00744C8D" w:rsidRPr="00FB6605">
        <w:rPr>
          <w:sz w:val="20"/>
          <w:szCs w:val="20"/>
        </w:rPr>
        <w:t xml:space="preserve">To send </w:t>
      </w:r>
      <w:r w:rsidR="00744C8D" w:rsidRPr="00237E79">
        <w:rPr>
          <w:color w:val="7F7F7F" w:themeColor="text1" w:themeTint="80"/>
          <w:sz w:val="20"/>
          <w:szCs w:val="20"/>
        </w:rPr>
        <w:t>inspect</w:t>
      </w:r>
      <w:r w:rsidR="00237E79" w:rsidRPr="00237E79">
        <w:rPr>
          <w:color w:val="7F7F7F" w:themeColor="text1" w:themeTint="80"/>
          <w:sz w:val="20"/>
          <w:szCs w:val="20"/>
        </w:rPr>
        <w:t xml:space="preserve"> state</w:t>
      </w:r>
      <w:r w:rsidR="00FB6605" w:rsidRPr="00237E79">
        <w:rPr>
          <w:color w:val="7F7F7F" w:themeColor="text1" w:themeTint="80"/>
          <w:sz w:val="20"/>
          <w:szCs w:val="20"/>
        </w:rPr>
        <w:t xml:space="preserve"> </w:t>
      </w:r>
      <w:r w:rsidR="00744C8D" w:rsidRPr="00FB6605">
        <w:rPr>
          <w:sz w:val="20"/>
          <w:szCs w:val="20"/>
        </w:rPr>
        <w:t>request directly</w:t>
      </w:r>
      <w:r w:rsidR="00EF0267" w:rsidRPr="00FB6605">
        <w:rPr>
          <w:sz w:val="20"/>
          <w:szCs w:val="20"/>
        </w:rPr>
        <w:t xml:space="preserve"> to </w:t>
      </w:r>
      <w:r w:rsidR="00FB6605" w:rsidRPr="00FB6605">
        <w:rPr>
          <w:color w:val="000000" w:themeColor="text1"/>
          <w:sz w:val="20"/>
          <w:szCs w:val="20"/>
        </w:rPr>
        <w:t xml:space="preserve">the rollup. The </w:t>
      </w:r>
      <w:r w:rsidR="00FB6605" w:rsidRPr="00FB6605">
        <w:rPr>
          <w:i/>
          <w:iCs/>
          <w:color w:val="000000" w:themeColor="text1"/>
          <w:sz w:val="20"/>
          <w:szCs w:val="20"/>
        </w:rPr>
        <w:t>“</w:t>
      </w:r>
      <w:proofErr w:type="spellStart"/>
      <w:r w:rsidR="00FB6605" w:rsidRPr="00FB6605">
        <w:rPr>
          <w:i/>
          <w:iCs/>
          <w:color w:val="000000" w:themeColor="text1"/>
          <w:sz w:val="20"/>
          <w:szCs w:val="20"/>
        </w:rPr>
        <w:t>mypath</w:t>
      </w:r>
      <w:proofErr w:type="spellEnd"/>
      <w:r w:rsidR="00FB6605" w:rsidRPr="00FB6605">
        <w:rPr>
          <w:i/>
          <w:iCs/>
          <w:color w:val="000000" w:themeColor="text1"/>
          <w:sz w:val="20"/>
          <w:szCs w:val="20"/>
        </w:rPr>
        <w:t>”</w:t>
      </w:r>
      <w:r w:rsidR="00FB6605" w:rsidRPr="00FB6605">
        <w:rPr>
          <w:color w:val="000000" w:themeColor="text1"/>
          <w:sz w:val="20"/>
          <w:szCs w:val="20"/>
        </w:rPr>
        <w:t xml:space="preserve"> is the </w:t>
      </w:r>
      <w:proofErr w:type="spellStart"/>
      <w:r w:rsidR="00FB6605" w:rsidRPr="00FB6605">
        <w:rPr>
          <w:color w:val="000000" w:themeColor="text1"/>
          <w:sz w:val="20"/>
          <w:szCs w:val="20"/>
        </w:rPr>
        <w:t>url</w:t>
      </w:r>
      <w:proofErr w:type="spellEnd"/>
      <w:r w:rsidR="00FB6605" w:rsidRPr="00FB6605">
        <w:rPr>
          <w:color w:val="000000" w:themeColor="text1"/>
          <w:sz w:val="20"/>
          <w:szCs w:val="20"/>
        </w:rPr>
        <w:t xml:space="preserve"> encoded string request da</w:t>
      </w:r>
      <w:r w:rsidR="00FB6605">
        <w:rPr>
          <w:color w:val="000000" w:themeColor="text1"/>
          <w:sz w:val="20"/>
          <w:szCs w:val="20"/>
        </w:rPr>
        <w:t>ta i.e. you take the request string data (stringify it if its JSON) and then URL encode it.</w:t>
      </w:r>
      <w:r w:rsidR="00EF0267" w:rsidRPr="00FB6605">
        <w:rPr>
          <w:rStyle w:val="token"/>
          <w:rFonts w:ascii="Arial" w:hAnsi="Arial" w:cs="Arial"/>
          <w:i/>
          <w:iCs/>
          <w:color w:val="D73A49"/>
        </w:rPr>
        <w:br/>
      </w:r>
      <w:r w:rsidR="00EF0267" w:rsidRPr="00FB6605">
        <w:rPr>
          <w:rStyle w:val="token"/>
          <w:rFonts w:ascii="Courier New" w:hAnsi="Courier New" w:cs="Courier New"/>
          <w:i/>
          <w:iCs/>
          <w:color w:val="D73A49"/>
          <w:sz w:val="20"/>
          <w:szCs w:val="20"/>
        </w:rPr>
        <w:t>curl</w:t>
      </w:r>
      <w:r w:rsidR="00EF0267" w:rsidRPr="00FB6605">
        <w:rPr>
          <w:rStyle w:val="token"/>
          <w:rFonts w:ascii="Courier New" w:hAnsi="Courier New" w:cs="Courier New"/>
          <w:i/>
          <w:iCs/>
          <w:color w:val="393A34"/>
          <w:sz w:val="20"/>
          <w:szCs w:val="20"/>
        </w:rPr>
        <w:t xml:space="preserve"> http://localhost:5005/inspect/mypath</w:t>
      </w:r>
    </w:p>
    <w:p w14:paraId="6C1AA5D9" w14:textId="6DF88B53" w:rsidR="0026058F" w:rsidRPr="00FB6605" w:rsidRDefault="0026058F" w:rsidP="00EF02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6605">
        <w:rPr>
          <w:b/>
          <w:bCs/>
          <w:sz w:val="20"/>
          <w:szCs w:val="20"/>
        </w:rPr>
        <w:t>Execute</w:t>
      </w:r>
      <w:r w:rsidR="00FB6605">
        <w:rPr>
          <w:b/>
          <w:bCs/>
          <w:sz w:val="20"/>
          <w:szCs w:val="20"/>
        </w:rPr>
        <w:t xml:space="preserve"> </w:t>
      </w:r>
      <w:r w:rsidRPr="00FB6605">
        <w:rPr>
          <w:b/>
          <w:bCs/>
          <w:sz w:val="20"/>
          <w:szCs w:val="20"/>
        </w:rPr>
        <w:t>Voucher:</w:t>
      </w:r>
      <w:r w:rsidRPr="00FB6605">
        <w:rPr>
          <w:sz w:val="20"/>
          <w:szCs w:val="20"/>
        </w:rPr>
        <w:t xml:space="preserve"> Execut</w:t>
      </w:r>
      <w:r w:rsidR="00FB6605">
        <w:rPr>
          <w:sz w:val="20"/>
          <w:szCs w:val="20"/>
        </w:rPr>
        <w:t>ion of</w:t>
      </w:r>
      <w:r w:rsidRPr="00FB6605">
        <w:rPr>
          <w:sz w:val="20"/>
          <w:szCs w:val="20"/>
        </w:rPr>
        <w:t xml:space="preserve"> voucher</w:t>
      </w:r>
      <w:r w:rsidR="00FB6605">
        <w:rPr>
          <w:sz w:val="20"/>
          <w:szCs w:val="20"/>
        </w:rPr>
        <w:t>s is done by sending request to rollup contract on L1 chain using a</w:t>
      </w:r>
      <w:r w:rsidRPr="00FB6605">
        <w:rPr>
          <w:sz w:val="20"/>
          <w:szCs w:val="20"/>
        </w:rPr>
        <w:t xml:space="preserve"> transaction after</w:t>
      </w:r>
      <w:r w:rsidR="00FB6605">
        <w:rPr>
          <w:sz w:val="20"/>
          <w:szCs w:val="20"/>
        </w:rPr>
        <w:t xml:space="preserve"> the</w:t>
      </w:r>
      <w:r w:rsidRPr="00FB6605">
        <w:rPr>
          <w:sz w:val="20"/>
          <w:szCs w:val="20"/>
        </w:rPr>
        <w:t xml:space="preserve"> wait </w:t>
      </w:r>
      <w:r w:rsidR="00FB6605">
        <w:rPr>
          <w:sz w:val="20"/>
          <w:szCs w:val="20"/>
        </w:rPr>
        <w:t>period</w:t>
      </w:r>
      <w:r w:rsidRPr="00FB6605">
        <w:rPr>
          <w:sz w:val="20"/>
          <w:szCs w:val="20"/>
        </w:rPr>
        <w:t xml:space="preserve"> is over</w:t>
      </w:r>
      <w:r w:rsidR="00FB6605">
        <w:rPr>
          <w:sz w:val="20"/>
          <w:szCs w:val="20"/>
        </w:rPr>
        <w:t>.</w:t>
      </w:r>
    </w:p>
    <w:p w14:paraId="44C1112F" w14:textId="3DBD0A15" w:rsidR="007954FE" w:rsidRPr="00FB6605" w:rsidRDefault="007954FE" w:rsidP="007954FE">
      <w:pPr>
        <w:jc w:val="center"/>
        <w:rPr>
          <w:sz w:val="20"/>
          <w:szCs w:val="20"/>
        </w:rPr>
      </w:pPr>
    </w:p>
    <w:p w14:paraId="1838AD3C" w14:textId="515A95F6" w:rsidR="007954FE" w:rsidRDefault="007954FE" w:rsidP="007954FE">
      <w:pPr>
        <w:jc w:val="center"/>
        <w:rPr>
          <w:sz w:val="36"/>
          <w:szCs w:val="36"/>
        </w:rPr>
      </w:pPr>
    </w:p>
    <w:p w14:paraId="75650CD6" w14:textId="26850F25" w:rsidR="00EF0267" w:rsidRDefault="00EF0267" w:rsidP="00EF0267">
      <w:pPr>
        <w:jc w:val="center"/>
        <w:rPr>
          <w:sz w:val="36"/>
          <w:szCs w:val="36"/>
        </w:rPr>
      </w:pPr>
      <w:r>
        <w:rPr>
          <w:sz w:val="36"/>
          <w:szCs w:val="36"/>
        </w:rPr>
        <w:t>Handling ERC20 &amp; ERC721</w:t>
      </w:r>
    </w:p>
    <w:p w14:paraId="1B37DCEE" w14:textId="21D3BA24" w:rsidR="007954FE" w:rsidRDefault="007954FE" w:rsidP="007954FE">
      <w:pPr>
        <w:jc w:val="center"/>
        <w:rPr>
          <w:sz w:val="36"/>
          <w:szCs w:val="36"/>
        </w:rPr>
      </w:pPr>
    </w:p>
    <w:p w14:paraId="69EC68D3" w14:textId="77777777" w:rsidR="00EF0267" w:rsidRPr="00EF0267" w:rsidRDefault="00EF0267" w:rsidP="00EF0267">
      <w:pPr>
        <w:rPr>
          <w:sz w:val="21"/>
          <w:szCs w:val="21"/>
        </w:rPr>
      </w:pPr>
      <w:r w:rsidRPr="00EF0267">
        <w:rPr>
          <w:sz w:val="21"/>
          <w:szCs w:val="21"/>
        </w:rPr>
        <w:t xml:space="preserve">Now that we know how to handle generic payloads in our </w:t>
      </w:r>
      <w:proofErr w:type="spellStart"/>
      <w:r w:rsidRPr="00EF0267">
        <w:rPr>
          <w:sz w:val="21"/>
          <w:szCs w:val="21"/>
        </w:rPr>
        <w:t>DApp</w:t>
      </w:r>
      <w:proofErr w:type="spellEnd"/>
      <w:r w:rsidRPr="00EF0267">
        <w:rPr>
          <w:sz w:val="21"/>
          <w:szCs w:val="21"/>
        </w:rPr>
        <w:t xml:space="preserve">, it is important to mention the concept of handling standardized Solidity interfaces, specifically ERC20 and ERC721 assets. To receive this special kind of </w:t>
      </w:r>
      <w:r w:rsidRPr="00EF0267">
        <w:rPr>
          <w:i/>
          <w:iCs/>
          <w:sz w:val="21"/>
          <w:szCs w:val="21"/>
        </w:rPr>
        <w:t>input data</w:t>
      </w:r>
      <w:r w:rsidRPr="00EF0267">
        <w:rPr>
          <w:sz w:val="21"/>
          <w:szCs w:val="21"/>
        </w:rPr>
        <w:t xml:space="preserve">, the </w:t>
      </w:r>
      <w:proofErr w:type="spellStart"/>
      <w:r w:rsidRPr="00EF0267">
        <w:rPr>
          <w:sz w:val="21"/>
          <w:szCs w:val="21"/>
        </w:rPr>
        <w:t>Cartesi</w:t>
      </w:r>
      <w:proofErr w:type="spellEnd"/>
      <w:r w:rsidRPr="00EF0267">
        <w:rPr>
          <w:sz w:val="21"/>
          <w:szCs w:val="21"/>
        </w:rPr>
        <w:t xml:space="preserve"> Rollup Framework provides a set of contracts called the </w:t>
      </w:r>
      <w:hyperlink r:id="rId6" w:anchor="portals" w:history="1">
        <w:r w:rsidRPr="00EF0267">
          <w:rPr>
            <w:color w:val="0000FF"/>
            <w:sz w:val="21"/>
            <w:szCs w:val="21"/>
            <w:u w:val="single"/>
          </w:rPr>
          <w:t>Portals</w:t>
        </w:r>
      </w:hyperlink>
      <w:r w:rsidRPr="00EF0267">
        <w:rPr>
          <w:sz w:val="21"/>
          <w:szCs w:val="21"/>
        </w:rPr>
        <w:t xml:space="preserve">, which are specifically designed to </w:t>
      </w:r>
      <w:hyperlink r:id="rId7" w:history="1">
        <w:r w:rsidRPr="00EF0267">
          <w:rPr>
            <w:color w:val="0000FF"/>
            <w:sz w:val="21"/>
            <w:szCs w:val="21"/>
            <w:u w:val="single"/>
          </w:rPr>
          <w:t>handle assets</w:t>
        </w:r>
      </w:hyperlink>
      <w:r w:rsidRPr="00EF0267">
        <w:rPr>
          <w:sz w:val="21"/>
          <w:szCs w:val="21"/>
        </w:rPr>
        <w:t xml:space="preserve"> on behalf of your </w:t>
      </w:r>
      <w:proofErr w:type="spellStart"/>
      <w:r w:rsidRPr="00EF0267">
        <w:rPr>
          <w:sz w:val="21"/>
          <w:szCs w:val="21"/>
        </w:rPr>
        <w:t>DApp</w:t>
      </w:r>
      <w:proofErr w:type="spellEnd"/>
      <w:r w:rsidRPr="00EF0267">
        <w:rPr>
          <w:sz w:val="21"/>
          <w:szCs w:val="21"/>
        </w:rPr>
        <w:t>.</w:t>
      </w:r>
    </w:p>
    <w:p w14:paraId="5298BFFC" w14:textId="4909F645" w:rsidR="00EF0267" w:rsidRDefault="00EF0267" w:rsidP="007954FE">
      <w:pPr>
        <w:jc w:val="center"/>
        <w:rPr>
          <w:sz w:val="36"/>
          <w:szCs w:val="36"/>
        </w:rPr>
      </w:pPr>
    </w:p>
    <w:p w14:paraId="74884B79" w14:textId="77777777" w:rsidR="00EF0267" w:rsidRPr="00EF0267" w:rsidRDefault="00EF0267" w:rsidP="00EF0267">
      <w:pPr>
        <w:pStyle w:val="NormalWeb"/>
        <w:rPr>
          <w:sz w:val="21"/>
          <w:szCs w:val="21"/>
        </w:rPr>
      </w:pPr>
      <w:r w:rsidRPr="00EF0267">
        <w:rPr>
          <w:sz w:val="21"/>
          <w:szCs w:val="21"/>
        </w:rPr>
        <w:t xml:space="preserve">Asset handling in </w:t>
      </w:r>
      <w:proofErr w:type="spellStart"/>
      <w:r w:rsidRPr="00EF0267">
        <w:rPr>
          <w:sz w:val="21"/>
          <w:szCs w:val="21"/>
        </w:rPr>
        <w:t>Cartesi</w:t>
      </w:r>
      <w:proofErr w:type="spellEnd"/>
      <w:r w:rsidRPr="00EF0267">
        <w:rPr>
          <w:sz w:val="21"/>
          <w:szCs w:val="21"/>
        </w:rPr>
        <w:t xml:space="preserve"> </w:t>
      </w:r>
      <w:proofErr w:type="spellStart"/>
      <w:r w:rsidRPr="00EF0267">
        <w:rPr>
          <w:sz w:val="21"/>
          <w:szCs w:val="21"/>
        </w:rPr>
        <w:t>DApps</w:t>
      </w:r>
      <w:proofErr w:type="spellEnd"/>
      <w:r w:rsidRPr="00EF0267">
        <w:rPr>
          <w:sz w:val="21"/>
          <w:szCs w:val="21"/>
        </w:rPr>
        <w:t xml:space="preserve"> involves the following procedures:</w:t>
      </w:r>
    </w:p>
    <w:p w14:paraId="2BC4510D" w14:textId="77777777" w:rsidR="00EF0267" w:rsidRPr="00EF0267" w:rsidRDefault="00EF0267" w:rsidP="00EF0267">
      <w:pPr>
        <w:numPr>
          <w:ilvl w:val="0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F0267">
        <w:rPr>
          <w:sz w:val="21"/>
          <w:szCs w:val="21"/>
        </w:rPr>
        <w:lastRenderedPageBreak/>
        <w:t xml:space="preserve">Locking assets on the base layer by calling deposit methods on special contracts called </w:t>
      </w:r>
      <w:hyperlink r:id="rId8" w:anchor="portals" w:history="1">
        <w:r w:rsidRPr="00EF0267">
          <w:rPr>
            <w:rStyle w:val="Hyperlink"/>
            <w:sz w:val="21"/>
            <w:szCs w:val="21"/>
          </w:rPr>
          <w:t>Portals</w:t>
        </w:r>
      </w:hyperlink>
      <w:r w:rsidRPr="00EF0267">
        <w:rPr>
          <w:sz w:val="21"/>
          <w:szCs w:val="21"/>
        </w:rPr>
        <w:t xml:space="preserve">, which will effectively transfer asset ownership to the target </w:t>
      </w:r>
      <w:proofErr w:type="spellStart"/>
      <w:r w:rsidRPr="00EF0267">
        <w:rPr>
          <w:sz w:val="21"/>
          <w:szCs w:val="21"/>
        </w:rPr>
        <w:t>DApp</w:t>
      </w:r>
      <w:proofErr w:type="spellEnd"/>
      <w:r w:rsidRPr="00EF0267">
        <w:rPr>
          <w:sz w:val="21"/>
          <w:szCs w:val="21"/>
        </w:rPr>
        <w:t xml:space="preserve"> contract. There are specific portals for each kind of asset (Ether, ERC-20, ERC-721, ERC-1155).</w:t>
      </w:r>
    </w:p>
    <w:p w14:paraId="25662F60" w14:textId="77777777" w:rsidR="00EF0267" w:rsidRPr="00EF0267" w:rsidRDefault="00EF0267" w:rsidP="00EF0267">
      <w:pPr>
        <w:numPr>
          <w:ilvl w:val="0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F0267">
        <w:rPr>
          <w:sz w:val="21"/>
          <w:szCs w:val="21"/>
        </w:rPr>
        <w:t xml:space="preserve">The </w:t>
      </w:r>
      <w:proofErr w:type="spellStart"/>
      <w:r w:rsidRPr="00EF0267">
        <w:rPr>
          <w:sz w:val="21"/>
          <w:szCs w:val="21"/>
        </w:rPr>
        <w:t>Cartesi</w:t>
      </w:r>
      <w:proofErr w:type="spellEnd"/>
      <w:r w:rsidRPr="00EF0267">
        <w:rPr>
          <w:sz w:val="21"/>
          <w:szCs w:val="21"/>
        </w:rPr>
        <w:t xml:space="preserve"> Rollups framework notifies the </w:t>
      </w:r>
      <w:proofErr w:type="spellStart"/>
      <w:r w:rsidRPr="00EF0267">
        <w:rPr>
          <w:sz w:val="21"/>
          <w:szCs w:val="21"/>
        </w:rPr>
        <w:t>DApp</w:t>
      </w:r>
      <w:proofErr w:type="spellEnd"/>
      <w:r w:rsidRPr="00EF0267">
        <w:rPr>
          <w:sz w:val="21"/>
          <w:szCs w:val="21"/>
        </w:rPr>
        <w:t xml:space="preserve"> back-end of the deposit by sending it a special input.</w:t>
      </w:r>
    </w:p>
    <w:p w14:paraId="5C342C92" w14:textId="77777777" w:rsidR="00EF0267" w:rsidRPr="00EF0267" w:rsidRDefault="00EF0267" w:rsidP="00EF0267">
      <w:pPr>
        <w:numPr>
          <w:ilvl w:val="0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F0267">
        <w:rPr>
          <w:sz w:val="21"/>
          <w:szCs w:val="21"/>
        </w:rPr>
        <w:t xml:space="preserve">The </w:t>
      </w:r>
      <w:proofErr w:type="spellStart"/>
      <w:r w:rsidRPr="00EF0267">
        <w:rPr>
          <w:sz w:val="21"/>
          <w:szCs w:val="21"/>
        </w:rPr>
        <w:t>DApp's</w:t>
      </w:r>
      <w:proofErr w:type="spellEnd"/>
      <w:r w:rsidRPr="00EF0267">
        <w:rPr>
          <w:sz w:val="21"/>
          <w:szCs w:val="21"/>
        </w:rPr>
        <w:t xml:space="preserve"> back-end code needs to recognize and handle the special input, in order to process the deposit according to its own logic (e.g., by storing each user's balance in a hash table or database).</w:t>
      </w:r>
    </w:p>
    <w:p w14:paraId="589ECDCE" w14:textId="77777777" w:rsidR="00EF0267" w:rsidRPr="00EF0267" w:rsidRDefault="00EF0267" w:rsidP="00EF0267">
      <w:pPr>
        <w:numPr>
          <w:ilvl w:val="0"/>
          <w:numId w:val="5"/>
        </w:numPr>
        <w:spacing w:before="100" w:beforeAutospacing="1" w:after="100" w:afterAutospacing="1"/>
        <w:rPr>
          <w:sz w:val="21"/>
          <w:szCs w:val="21"/>
        </w:rPr>
      </w:pPr>
      <w:r w:rsidRPr="00EF0267">
        <w:rPr>
          <w:sz w:val="21"/>
          <w:szCs w:val="21"/>
        </w:rPr>
        <w:t xml:space="preserve">When appropriate (e.g., when a game ends and the winner wishes to withdraw their funds), the back-end generates a </w:t>
      </w:r>
      <w:hyperlink r:id="rId9" w:anchor="vouchers" w:history="1">
        <w:r w:rsidRPr="00EF0267">
          <w:rPr>
            <w:rStyle w:val="Hyperlink"/>
            <w:sz w:val="21"/>
            <w:szCs w:val="21"/>
          </w:rPr>
          <w:t>voucher</w:t>
        </w:r>
      </w:hyperlink>
      <w:r w:rsidRPr="00EF0267">
        <w:rPr>
          <w:sz w:val="21"/>
          <w:szCs w:val="21"/>
        </w:rPr>
        <w:t xml:space="preserve"> that encodes a transfer of assets on the base layer, from the </w:t>
      </w:r>
      <w:proofErr w:type="spellStart"/>
      <w:r w:rsidRPr="00EF0267">
        <w:rPr>
          <w:sz w:val="21"/>
          <w:szCs w:val="21"/>
        </w:rPr>
        <w:t>DApp</w:t>
      </w:r>
      <w:proofErr w:type="spellEnd"/>
      <w:r w:rsidRPr="00EF0267">
        <w:rPr>
          <w:sz w:val="21"/>
          <w:szCs w:val="21"/>
        </w:rPr>
        <w:t xml:space="preserve"> to the target user. The actual withdrawal will take effect on the base layer when the voucher is executed. This is a secure process because it can only be done when the voucher has an associated validity proof ensuring that the validator nodes have reached consensus about its contents.</w:t>
      </w:r>
    </w:p>
    <w:p w14:paraId="1E399919" w14:textId="22B31A5E" w:rsidR="00EF0267" w:rsidRDefault="00EF0267" w:rsidP="007954FE">
      <w:pPr>
        <w:jc w:val="center"/>
        <w:rPr>
          <w:sz w:val="36"/>
          <w:szCs w:val="36"/>
        </w:rPr>
      </w:pPr>
    </w:p>
    <w:p w14:paraId="4C582188" w14:textId="7265484E" w:rsidR="00057075" w:rsidRPr="007954FE" w:rsidRDefault="00057075" w:rsidP="00BD4535"/>
    <w:sectPr w:rsidR="00057075" w:rsidRPr="007954FE" w:rsidSect="00936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39E"/>
    <w:multiLevelType w:val="hybridMultilevel"/>
    <w:tmpl w:val="899A7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3004A"/>
    <w:multiLevelType w:val="hybridMultilevel"/>
    <w:tmpl w:val="89E47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993"/>
    <w:multiLevelType w:val="hybridMultilevel"/>
    <w:tmpl w:val="94A8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771C0"/>
    <w:multiLevelType w:val="multilevel"/>
    <w:tmpl w:val="5F06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A65CC"/>
    <w:multiLevelType w:val="hybridMultilevel"/>
    <w:tmpl w:val="6B86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40584">
    <w:abstractNumId w:val="1"/>
  </w:num>
  <w:num w:numId="2" w16cid:durableId="1350641856">
    <w:abstractNumId w:val="4"/>
  </w:num>
  <w:num w:numId="3" w16cid:durableId="1129289">
    <w:abstractNumId w:val="0"/>
  </w:num>
  <w:num w:numId="4" w16cid:durableId="1111321054">
    <w:abstractNumId w:val="2"/>
  </w:num>
  <w:num w:numId="5" w16cid:durableId="1375345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FE"/>
    <w:rsid w:val="00057075"/>
    <w:rsid w:val="000F5E8A"/>
    <w:rsid w:val="00237E79"/>
    <w:rsid w:val="0026058F"/>
    <w:rsid w:val="002B7843"/>
    <w:rsid w:val="00406A46"/>
    <w:rsid w:val="00416B51"/>
    <w:rsid w:val="006368B8"/>
    <w:rsid w:val="007035B9"/>
    <w:rsid w:val="00744C8D"/>
    <w:rsid w:val="007954FE"/>
    <w:rsid w:val="009363CB"/>
    <w:rsid w:val="00964EF2"/>
    <w:rsid w:val="00BD4535"/>
    <w:rsid w:val="00D93CE7"/>
    <w:rsid w:val="00EF0267"/>
    <w:rsid w:val="00F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4834"/>
  <w15:chartTrackingRefBased/>
  <w15:docId w15:val="{9D427233-80AF-7646-800C-01BF23E4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6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2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EF0267"/>
  </w:style>
  <w:style w:type="character" w:styleId="Emphasis">
    <w:name w:val="Emphasis"/>
    <w:basedOn w:val="DefaultParagraphFont"/>
    <w:uiPriority w:val="20"/>
    <w:qFormat/>
    <w:rsid w:val="00EF026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02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02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artesi.io/cartesi-rollups/compon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artesi.io/cartesi-rollups/assets-hand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artesi.io/cartesi-rollups/componen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cartesi.io/cartesi-rollups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, Akhtar</dc:creator>
  <cp:keywords/>
  <dc:description/>
  <cp:lastModifiedBy>Shahnawaz , Akhtar</cp:lastModifiedBy>
  <cp:revision>17</cp:revision>
  <dcterms:created xsi:type="dcterms:W3CDTF">2023-07-20T22:20:00Z</dcterms:created>
  <dcterms:modified xsi:type="dcterms:W3CDTF">2025-05-30T02:18:00Z</dcterms:modified>
</cp:coreProperties>
</file>