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 CHẾ LÀM VIỆC NỘI BỘ CÔNG TY</w:t>
      </w:r>
    </w:p>
    <w:p>
      <w:r>
        <w:rPr>
          <w:b/>
        </w:rPr>
        <w:t>Phần I - NGUYÊN TẮC CHUNG</w:t>
      </w:r>
    </w:p>
    <w:p>
      <w:r>
        <w:rPr>
          <w:b w:val="0"/>
        </w:rPr>
        <w:t>Quy tắc 1. Mọi nhân viên có trách nhiệm chấp hành giờ làm việc đã đăng ký.</w:t>
      </w:r>
    </w:p>
    <w:p>
      <w:r>
        <w:rPr>
          <w:b w:val="0"/>
        </w:rPr>
        <w:t>Quy tắc 2. Nhân viên được nghỉ bù tối đa 3 ngày liên tục sau đợt công tác dài ngày, phải báo trước trưởng bộ phận.</w:t>
      </w:r>
    </w:p>
    <w:p>
      <w:r>
        <w:rPr>
          <w:b/>
        </w:rPr>
        <w:t>Phần II - THANH TOÁN CHI PHÍ</w:t>
      </w:r>
    </w:p>
    <w:p>
      <w:r>
        <w:rPr>
          <w:b w:val="0"/>
        </w:rPr>
        <w:t>Quy tắc 3. Chứng từ công tác phí phải nộp trong vòng 10 ngày kể từ ngày kết thúc chuyến đi.</w:t>
      </w:r>
    </w:p>
    <w:p>
      <w:r>
        <w:rPr>
          <w:b w:val="0"/>
        </w:rPr>
        <w:t>Mục 3.1 Chứng từ hợp lệ gồm hóa đơn, vé và giấy đề nghị thanh toán.</w:t>
      </w:r>
    </w:p>
    <w:p>
      <w:r>
        <w:rPr>
          <w:b w:val="0"/>
        </w:rPr>
        <w:t>Mục 3.2 Chứng từ thiếu chữ ký bị trả lại, không được tính vào kỳ lương.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