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NGHỊ QUYẾT</w:t>
      </w:r>
    </w:p>
    <w:p>
      <w:pPr>
        <w:jc w:val="center"/>
      </w:pPr>
      <w:r>
        <w:rPr>
          <w:b/>
        </w:rPr>
        <w:t>Về nhiệm vụ phát triển kinh tế - xã hội năm 2027</w:t>
      </w:r>
    </w:p>
    <w:p>
      <w:r>
        <w:rPr>
          <w:b/>
        </w:rPr>
        <w:t>I. ĐÁNH GIÁ TÌNH HÌNH</w:t>
      </w:r>
    </w:p>
    <w:p>
      <w:r>
        <w:rPr>
          <w:b w:val="0"/>
        </w:rPr>
        <w:t>Năm 2026 kinh tế tăng trưởng ổn định, thu ngân sách đạt dự toán.</w:t>
      </w:r>
    </w:p>
    <w:p>
      <w:r>
        <w:rPr>
          <w:b/>
        </w:rPr>
        <w:t>II. NHIỆM VỤ TRỌNG TÂM</w:t>
      </w:r>
    </w:p>
    <w:p>
      <w:r>
        <w:rPr>
          <w:b w:val="0"/>
        </w:rPr>
        <w:t>1. Về giảm nghèo:</w:t>
      </w:r>
    </w:p>
    <w:p>
      <w:r>
        <w:rPr>
          <w:b w:val="0"/>
        </w:rPr>
        <w:t>a) Phấn đấu giảm tỷ lệ hộ nghèo đa chiều xuống dưới 2,5% vào cuối năm 2027;</w:t>
      </w:r>
    </w:p>
    <w:p>
      <w:r>
        <w:rPr>
          <w:b w:val="0"/>
        </w:rPr>
        <w:t>b) Hỗ trợ nhà ở cho hộ nghèo chưa có nhà ở ổn định.</w:t>
      </w:r>
    </w:p>
    <w:p>
      <w:r>
        <w:rPr>
          <w:b w:val="0"/>
        </w:rPr>
        <w:t>2. Về đầu tư công: giải ngân đạt tối thiểu 95% kế hoạch vốn được giao.</w:t>
      </w:r>
    </w:p>
    <w:p>
      <w:r>
        <w:rPr>
          <w:b/>
        </w:rPr>
        <w:t>III. TỔ CHỨC THỰC HIỆN</w:t>
      </w:r>
    </w:p>
    <w:p>
      <w:r>
        <w:rPr>
          <w:b w:val="0"/>
        </w:rPr>
        <w:t>Ủy ban nhân dân tỉnh chịu trách nhiệm triển khai Nghị quyết này.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