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 xml:space="preserve">Project Development Phase</w:t>
      </w:r>
    </w:p>
    <w:p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 xml:space="preserve">Model Performance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25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Maximum Marks]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9A0A0" w:sz="4"/>
              <w:left w:val="single" w:color="D9A0A0" w:sz="4"/>
              <w:bottom w:val="single" w:color="D9A0A0" w:sz="4"/>
              <w:right w:val="single" w:color="D9A0A0" w:sz="4"/>
            </w:tcBorders>
            <w:shd w:fill="FB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B2E2E"/>
                <w:sz w:val="20"/>
                <w:szCs w:val="20"/>
              </w:rPr>
              <w:t xml:space="preserve">NOT APPLICABLE TO THIS PROJECT</w:t>
            </w:r>
          </w:p>
          <w:p>
            <w:r>
              <w:rPr>
                <w:color w:val="222222"/>
                <w:sz w:val="20"/>
                <w:szCs w:val="20"/>
              </w:rPr>
              <w:t xml:space="preserve">This project is built entirely on ServiceNow Flow Designer, a no-code workflow automation platform. It does not train, fine-tune, or evaluate any AI/ML model, so model performance metrics do not apply.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Model Performance Testing: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Project team shall fill the following information in the model performance testing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308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Screenshot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Model Summary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 — no AI/ML model is used; the solution is rule-based workflow automation (trigger → approval → task → notify).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 — no predictive model is trained or evaluated.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Fine Tuning Result (if Done)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2026-09-25T07:08:06.040Z</dcterms:created>
  <dcterms:modified xsi:type="dcterms:W3CDTF">2026-09-25T07:08:06.044Z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