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666666"/>
          <w:sz w:val="26"/>
          <w:szCs w:val="26"/>
        </w:rPr>
        <w:t xml:space="preserve">Project Development Phase</w:t>
      </w:r>
    </w:p>
    <w:p>
      <w:pPr>
        <w:spacing w:after="240"/>
        <w:jc w:val="center"/>
      </w:pPr>
      <w:r>
        <w:rPr>
          <w:b/>
          <w:bCs/>
          <w:color w:val="1F4E79"/>
          <w:sz w:val="30"/>
          <w:szCs w:val="30"/>
        </w:rPr>
        <w:t xml:space="preserve">Model Performance 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25 September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Team ID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[Enter Team ID]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F4E79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222222"/>
                <w:sz w:val="21"/>
                <w:szCs w:val="21"/>
              </w:rPr>
              <w:t xml:space="preserve">[Enter Maximum Marks]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D9A0A0" w:sz="4"/>
              <w:left w:val="single" w:color="D9A0A0" w:sz="4"/>
              <w:bottom w:val="single" w:color="D9A0A0" w:sz="4"/>
              <w:right w:val="single" w:color="D9A0A0" w:sz="4"/>
            </w:tcBorders>
            <w:shd w:fill="FBEDED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8B2E2E"/>
                <w:sz w:val="20"/>
                <w:szCs w:val="20"/>
              </w:rPr>
              <w:t xml:space="preserve">NOT APPLICABLE TO THIS PROJECT</w:t>
            </w:r>
          </w:p>
          <w:p>
            <w:r>
              <w:rPr>
                <w:color w:val="222222"/>
                <w:sz w:val="20"/>
                <w:szCs w:val="20"/>
              </w:rPr>
              <w:t xml:space="preserve">This project does not include a machine learning model. ServiceNow Flow Designer automation is rule-based (trigger → condition → action), so regression/classification metrics do not apply.</w:t>
            </w:r>
          </w:p>
        </w:tc>
      </w:tr>
    </w:tbl>
    <w:p>
      <w:pPr>
        <w:spacing w:after="120"/>
      </w:pPr>
      <w:r>
        <w:rPr>
          <w:color w:val="222222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color w:val="222222"/>
          <w:sz w:val="21"/>
          <w:szCs w:val="21"/>
        </w:rPr>
        <w:t xml:space="preserve">Model Performance Testing: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Project team shall fill the following information in the model performance testing template.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308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S.No.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Values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Screenshot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Metrics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 — no regression model (MAE/MSE/RMSE/R2) or classification model (Confusion Matrix/Accuracy/Classification Report) is part of this solution.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Tune the Model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N/A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2026-09-25T07:08:06.080Z</dcterms:created>
  <dcterms:modified xsi:type="dcterms:W3CDTF">2026-09-25T07:08:06.080Z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