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27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[SWTID-2026-9584]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[Enter Maximum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0a0" w:space="0" w:sz="4" w:val="single"/>
              <w:left w:color="d9a0a0" w:space="0" w:sz="4" w:val="single"/>
              <w:bottom w:color="d9a0a0" w:space="0" w:sz="4" w:val="single"/>
              <w:right w:color="d9a0a0" w:space="0" w:sz="4" w:val="single"/>
            </w:tcBorders>
            <w:shd w:fill="fbeded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b2e2e"/>
                <w:sz w:val="20"/>
                <w:szCs w:val="20"/>
                <w:rtl w:val="0"/>
              </w:rPr>
              <w:t xml:space="preserve">NOT APPLICABLE TO THIS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This project does not use Tableau. Request status and reporting are handled through native ServiceNow list views and reports — see the Technology Stack document for the actual reporting approach.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Project team shall fill the following information in the model performance testing template.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800"/>
        <w:gridCol w:w="6680"/>
        <w:tblGridChange w:id="0">
          <w:tblGrid>
            <w:gridCol w:w="600"/>
            <w:gridCol w:w="2800"/>
            <w:gridCol w:w="6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Data 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Utilization of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Calculation fields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