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r>
        <w:t xml:space="preserve"/>
      </w:r>
    </w:p>
    <w:p>
      <w:pPr>
        <w:spacing w:before="0" w:after="60"/>
        <w:jc w:val="center"/>
      </w:pPr>
      <w:r>
        <w:rPr>
          <w:rFonts w:ascii="Arial" w:cs="Arial" w:eastAsia="Arial" w:hAnsi="Arial"/>
          <w:b/>
          <w:bCs/>
          <w:color w:val="2E4057"/>
          <w:sz w:val="48"/>
          <w:szCs w:val="48"/>
        </w:rPr>
        <w:t xml:space="preserve">BUSINESS REPORT</w:t>
      </w:r>
    </w:p>
    <w:p>
      <w:pPr>
        <w:pBdr>
          <w:bottom w:val="single" w:color="1A6B3C" w:sz="8" w:space="4"/>
        </w:pBdr>
        <w:spacing w:before="0" w:after="200"/>
        <w:jc w:val="center"/>
      </w:pPr>
      <w:r>
        <w:rPr>
          <w:rFonts w:ascii="Arial" w:cs="Arial" w:eastAsia="Arial" w:hAnsi="Arial"/>
          <w:i/>
          <w:iCs/>
          <w:color w:val="555555"/>
          <w:sz w:val="32"/>
          <w:szCs w:val="32"/>
        </w:rPr>
        <w:t xml:space="preserve">Reducing Yarn Wastage in Weaving Section</w:t>
      </w:r>
    </w:p>
    <w:p>
      <w:pPr>
        <w:spacing w:before="0" w:after="80"/>
      </w:pPr>
      <w:r>
        <w:t xml:space="preserve"/>
      </w:r>
    </w:p>
    <w:p>
      <w:pPr>
        <w:jc w:val="center"/>
      </w:pPr>
      <w:r>
        <w:rPr>
          <w:rFonts w:ascii="Arial" w:cs="Arial" w:eastAsia="Arial" w:hAnsi="Arial"/>
          <w:b/>
          <w:bCs/>
          <w:color w:val="2E4057"/>
          <w:sz w:val="22"/>
          <w:szCs w:val="22"/>
        </w:rPr>
        <w:t xml:space="preserve">Submitted To:</w:t>
      </w:r>
    </w:p>
    <w:p>
      <w:pPr>
        <w:jc w:val="center"/>
      </w:pPr>
      <w:r>
        <w:rPr>
          <w:rFonts w:ascii="Arial" w:cs="Arial" w:eastAsia="Arial" w:hAnsi="Arial"/>
          <w:color w:val="444444"/>
          <w:sz w:val="22"/>
          <w:szCs w:val="22"/>
        </w:rPr>
        <w:t xml:space="preserve">Mr. Kamal Hossain</w:t>
      </w:r>
    </w:p>
    <w:p>
      <w:pPr>
        <w:spacing w:after="120"/>
        <w:jc w:val="center"/>
      </w:pPr>
      <w:r>
        <w:rPr>
          <w:rFonts w:ascii="Arial" w:cs="Arial" w:eastAsia="Arial" w:hAnsi="Arial"/>
          <w:color w:val="444444"/>
          <w:sz w:val="22"/>
          <w:szCs w:val="22"/>
        </w:rPr>
        <w:t xml:space="preserve">Production Manager, Delta Fabrics Ltd.</w:t>
      </w:r>
    </w:p>
    <w:p>
      <w:pPr>
        <w:spacing w:before="0" w:after="80"/>
      </w:pPr>
      <w:r>
        <w:t xml:space="preserve"/>
      </w:r>
    </w:p>
    <w:p>
      <w:pPr>
        <w:jc w:val="center"/>
      </w:pPr>
      <w:r>
        <w:rPr>
          <w:rFonts w:ascii="Arial" w:cs="Arial" w:eastAsia="Arial" w:hAnsi="Arial"/>
          <w:b/>
          <w:bCs/>
          <w:color w:val="2E4057"/>
          <w:sz w:val="22"/>
          <w:szCs w:val="22"/>
        </w:rPr>
        <w:t xml:space="preserve">Submitted By:</w:t>
      </w:r>
    </w:p>
    <w:p>
      <w:pPr>
        <w:jc w:val="center"/>
      </w:pPr>
      <w:r>
        <w:rPr>
          <w:rFonts w:ascii="Arial" w:cs="Arial" w:eastAsia="Arial" w:hAnsi="Arial"/>
          <w:color w:val="444444"/>
          <w:sz w:val="22"/>
          <w:szCs w:val="22"/>
        </w:rPr>
        <w:t xml:space="preserve">Quality Control &amp; Production Team</w:t>
      </w:r>
    </w:p>
    <w:p>
      <w:pPr>
        <w:spacing w:after="120"/>
        <w:jc w:val="center"/>
      </w:pPr>
      <w:r>
        <w:rPr>
          <w:rFonts w:ascii="Arial" w:cs="Arial" w:eastAsia="Arial" w:hAnsi="Arial"/>
          <w:color w:val="444444"/>
          <w:sz w:val="22"/>
          <w:szCs w:val="22"/>
        </w:rPr>
        <w:t xml:space="preserve">Weaving Division, Delta Fabrics Ltd.</w:t>
      </w:r>
    </w:p>
    <w:p>
      <w:pPr>
        <w:spacing w:before="0" w:after="80"/>
      </w:pPr>
      <w:r>
        <w:t xml:space="preserve"/>
      </w:r>
    </w:p>
    <w:p>
      <w:pPr>
        <w:jc w:val="center"/>
      </w:pPr>
      <w:r>
        <w:rPr>
          <w:rFonts w:ascii="Arial" w:cs="Arial" w:eastAsia="Arial" w:hAnsi="Arial"/>
          <w:color w:val="444444"/>
          <w:sz w:val="22"/>
          <w:szCs w:val="22"/>
        </w:rPr>
        <w:t xml:space="preserve">Date: March 01, 2026</w:t>
      </w:r>
    </w:p>
    <w:p>
      <w:pPr>
        <w:jc w:val="center"/>
      </w:pPr>
      <w:r>
        <w:rPr>
          <w:rFonts w:ascii="Arial" w:cs="Arial" w:eastAsia="Arial" w:hAnsi="Arial"/>
          <w:color w:val="444444"/>
          <w:sz w:val="22"/>
          <w:szCs w:val="22"/>
        </w:rPr>
        <w:t xml:space="preserve">Reference No: DFL/WD/2026/03</w:t>
      </w:r>
    </w:p>
    <w:p>
      <w:r>
        <w:br w:type="page"/>
      </w:r>
    </w:p>
    <w:p>
      <w:pPr>
        <w:pStyle w:val="Heading1"/>
        <w:pBdr>
          <w:bottom w:val="single" w:color="2E4057" w:sz="6" w:space="1"/>
        </w:pBdr>
        <w:spacing w:before="280" w:after="120"/>
      </w:pPr>
      <w:r>
        <w:rPr>
          <w:rFonts w:ascii="Arial" w:cs="Arial" w:eastAsia="Arial" w:hAnsi="Arial"/>
          <w:b/>
          <w:bCs/>
          <w:color w:val="2E4057"/>
          <w:sz w:val="32"/>
          <w:szCs w:val="32"/>
        </w:rPr>
        <w:t xml:space="preserve">1. Executive Summary</w:t>
      </w:r>
    </w:p>
    <w:p>
      <w:pPr>
        <w:spacing w:before="60" w:after="100"/>
        <w:jc w:val="both"/>
      </w:pPr>
      <w:r>
        <w:rPr>
          <w:rFonts w:ascii="Arial" w:cs="Arial" w:eastAsia="Arial" w:hAnsi="Arial"/>
          <w:b w:val="false"/>
          <w:bCs w:val="false"/>
          <w:i w:val="false"/>
          <w:iCs w:val="false"/>
          <w:color w:val="333333"/>
          <w:sz w:val="22"/>
          <w:szCs w:val="22"/>
        </w:rPr>
        <w:t xml:space="preserve">This report investigates the problem of excessive yarn wastage in the Weaving Section of Delta Fabrics Ltd. during January–February 2026. The average wastage rate recorded was 8.4%, significantly above the industry benchmark of 4–5%. The report identifies the primary causes of wastage, analyzes their impact on production costs, and recommends corrective measures. If implemented, the proposed recommendations are projected to reduce wastage by approximately 50% within three months, saving an estimated BDT 3.2 lakh per month.</w:t>
      </w:r>
    </w:p>
    <w:p>
      <w:pPr>
        <w:spacing w:before="0" w:after="80"/>
      </w:pPr>
      <w:r>
        <w:t xml:space="preserve"/>
      </w:r>
    </w:p>
    <w:p>
      <w:pPr>
        <w:pStyle w:val="Heading1"/>
        <w:pBdr>
          <w:bottom w:val="single" w:color="2E4057" w:sz="6" w:space="1"/>
        </w:pBdr>
        <w:spacing w:before="280" w:after="120"/>
      </w:pPr>
      <w:r>
        <w:rPr>
          <w:rFonts w:ascii="Arial" w:cs="Arial" w:eastAsia="Arial" w:hAnsi="Arial"/>
          <w:b/>
          <w:bCs/>
          <w:color w:val="2E4057"/>
          <w:sz w:val="32"/>
          <w:szCs w:val="32"/>
        </w:rPr>
        <w:t xml:space="preserve">2. Introduction</w:t>
      </w:r>
    </w:p>
    <w:p>
      <w:pPr>
        <w:pStyle w:val="Heading2"/>
        <w:spacing w:before="200" w:after="80"/>
      </w:pPr>
      <w:r>
        <w:rPr>
          <w:rFonts w:ascii="Arial" w:cs="Arial" w:eastAsia="Arial" w:hAnsi="Arial"/>
          <w:b/>
          <w:bCs/>
          <w:color w:val="1A6B3C"/>
          <w:sz w:val="26"/>
          <w:szCs w:val="26"/>
        </w:rPr>
        <w:t xml:space="preserve">2.1 Background</w:t>
      </w:r>
    </w:p>
    <w:p>
      <w:pPr>
        <w:spacing w:before="60" w:after="100"/>
        <w:jc w:val="both"/>
      </w:pPr>
      <w:r>
        <w:rPr>
          <w:rFonts w:ascii="Arial" w:cs="Arial" w:eastAsia="Arial" w:hAnsi="Arial"/>
          <w:b w:val="false"/>
          <w:bCs w:val="false"/>
          <w:i w:val="false"/>
          <w:iCs w:val="false"/>
          <w:color w:val="333333"/>
          <w:sz w:val="22"/>
          <w:szCs w:val="22"/>
        </w:rPr>
        <w:t xml:space="preserve">Delta Fabrics Ltd. is a medium-scale textile manufacturing unit located in Gazipur, Bangladesh. The Weaving Division operates 48 power looms producing cotton and polyester-cotton blend fabrics for both domestic and export markets. Yarn is the single largest raw material cost, accounting for approximately 62% of total production expenses.</w:t>
      </w:r>
    </w:p>
    <w:p>
      <w:pPr>
        <w:pStyle w:val="Heading2"/>
        <w:spacing w:before="200" w:after="80"/>
      </w:pPr>
      <w:r>
        <w:rPr>
          <w:rFonts w:ascii="Arial" w:cs="Arial" w:eastAsia="Arial" w:hAnsi="Arial"/>
          <w:b/>
          <w:bCs/>
          <w:color w:val="1A6B3C"/>
          <w:sz w:val="26"/>
          <w:szCs w:val="26"/>
        </w:rPr>
        <w:t xml:space="preserve">2.2 Purpose of the Report</w:t>
      </w:r>
    </w:p>
    <w:p>
      <w:pPr>
        <w:spacing w:before="60" w:after="100"/>
        <w:jc w:val="both"/>
      </w:pPr>
      <w:r>
        <w:rPr>
          <w:rFonts w:ascii="Arial" w:cs="Arial" w:eastAsia="Arial" w:hAnsi="Arial"/>
          <w:b w:val="false"/>
          <w:bCs w:val="false"/>
          <w:i w:val="false"/>
          <w:iCs w:val="false"/>
          <w:color w:val="333333"/>
          <w:sz w:val="22"/>
          <w:szCs w:val="22"/>
        </w:rPr>
        <w:t xml:space="preserve">The purpose of this report is to:</w:t>
      </w:r>
    </w:p>
    <w:p>
      <w:pPr>
        <w:pStyle w:val="ListParagraph"/>
        <w:numPr>
          <w:ilvl w:val="0"/>
          <w:numId w:val="2"/>
        </w:numPr>
        <w:spacing w:before="40" w:after="40"/>
      </w:pPr>
      <w:r>
        <w:rPr>
          <w:rFonts w:ascii="Arial" w:cs="Arial" w:eastAsia="Arial" w:hAnsi="Arial"/>
          <w:color w:val="333333"/>
          <w:sz w:val="22"/>
          <w:szCs w:val="22"/>
        </w:rPr>
        <w:t xml:space="preserve">Identify the causes of abnormally high yarn wastage in the Weaving Section.</w:t>
      </w:r>
    </w:p>
    <w:p>
      <w:pPr>
        <w:pStyle w:val="ListParagraph"/>
        <w:numPr>
          <w:ilvl w:val="0"/>
          <w:numId w:val="2"/>
        </w:numPr>
        <w:spacing w:before="40" w:after="40"/>
      </w:pPr>
      <w:r>
        <w:rPr>
          <w:rFonts w:ascii="Arial" w:cs="Arial" w:eastAsia="Arial" w:hAnsi="Arial"/>
          <w:color w:val="333333"/>
          <w:sz w:val="22"/>
          <w:szCs w:val="22"/>
        </w:rPr>
        <w:t xml:space="preserve">Quantify the financial impact of the wastage on the company.</w:t>
      </w:r>
    </w:p>
    <w:p>
      <w:pPr>
        <w:pStyle w:val="ListParagraph"/>
        <w:numPr>
          <w:ilvl w:val="0"/>
          <w:numId w:val="2"/>
        </w:numPr>
        <w:spacing w:before="40" w:after="40"/>
      </w:pPr>
      <w:r>
        <w:rPr>
          <w:rFonts w:ascii="Arial" w:cs="Arial" w:eastAsia="Arial" w:hAnsi="Arial"/>
          <w:color w:val="333333"/>
          <w:sz w:val="22"/>
          <w:szCs w:val="22"/>
        </w:rPr>
        <w:t xml:space="preserve">Recommend practical steps to bring wastage within acceptable limits.</w:t>
      </w:r>
    </w:p>
    <w:p>
      <w:pPr>
        <w:pStyle w:val="Heading2"/>
        <w:spacing w:before="200" w:after="80"/>
      </w:pPr>
      <w:r>
        <w:rPr>
          <w:rFonts w:ascii="Arial" w:cs="Arial" w:eastAsia="Arial" w:hAnsi="Arial"/>
          <w:b/>
          <w:bCs/>
          <w:color w:val="1A6B3C"/>
          <w:sz w:val="26"/>
          <w:szCs w:val="26"/>
        </w:rPr>
        <w:t xml:space="preserve">2.3 Scope</w:t>
      </w:r>
    </w:p>
    <w:p>
      <w:pPr>
        <w:spacing w:before="60" w:after="100"/>
        <w:jc w:val="both"/>
      </w:pPr>
      <w:r>
        <w:rPr>
          <w:rFonts w:ascii="Arial" w:cs="Arial" w:eastAsia="Arial" w:hAnsi="Arial"/>
          <w:b w:val="false"/>
          <w:bCs w:val="false"/>
          <w:i w:val="false"/>
          <w:iCs w:val="false"/>
          <w:color w:val="333333"/>
          <w:sz w:val="22"/>
          <w:szCs w:val="22"/>
        </w:rPr>
        <w:t xml:space="preserve">This report covers the period from January 1 to February 28, 2026, and focuses exclusively on the Weaving Section. Data from other departments such as dyeing and finishing are outside the scope of this report.</w:t>
      </w:r>
    </w:p>
    <w:p>
      <w:pPr>
        <w:pStyle w:val="Heading2"/>
        <w:spacing w:before="200" w:after="80"/>
      </w:pPr>
      <w:r>
        <w:rPr>
          <w:rFonts w:ascii="Arial" w:cs="Arial" w:eastAsia="Arial" w:hAnsi="Arial"/>
          <w:b/>
          <w:bCs/>
          <w:color w:val="1A6B3C"/>
          <w:sz w:val="26"/>
          <w:szCs w:val="26"/>
        </w:rPr>
        <w:t xml:space="preserve">2.4 Limitations</w:t>
      </w:r>
    </w:p>
    <w:p>
      <w:pPr>
        <w:spacing w:before="60" w:after="100"/>
        <w:jc w:val="both"/>
      </w:pPr>
      <w:r>
        <w:rPr>
          <w:rFonts w:ascii="Arial" w:cs="Arial" w:eastAsia="Arial" w:hAnsi="Arial"/>
          <w:b w:val="false"/>
          <w:bCs w:val="false"/>
          <w:i w:val="false"/>
          <w:iCs w:val="false"/>
          <w:color w:val="333333"/>
          <w:sz w:val="22"/>
          <w:szCs w:val="22"/>
        </w:rPr>
        <w:t xml:space="preserve">Data collection was limited to shift supervisors' daily logs and machine maintenance records. A formal time-motion study could not be conducted within the reporting period due to ongoing production schedules.</w:t>
      </w:r>
    </w:p>
    <w:p>
      <w:pPr>
        <w:spacing w:before="0" w:after="80"/>
      </w:pPr>
      <w:r>
        <w:t xml:space="preserve"/>
      </w:r>
    </w:p>
    <w:p>
      <w:pPr>
        <w:pStyle w:val="Heading1"/>
        <w:pBdr>
          <w:bottom w:val="single" w:color="2E4057" w:sz="6" w:space="1"/>
        </w:pBdr>
        <w:spacing w:before="280" w:after="120"/>
      </w:pPr>
      <w:r>
        <w:rPr>
          <w:rFonts w:ascii="Arial" w:cs="Arial" w:eastAsia="Arial" w:hAnsi="Arial"/>
          <w:b/>
          <w:bCs/>
          <w:color w:val="2E4057"/>
          <w:sz w:val="32"/>
          <w:szCs w:val="32"/>
        </w:rPr>
        <w:t xml:space="preserve">3. Methodology</w:t>
      </w:r>
    </w:p>
    <w:p>
      <w:pPr>
        <w:spacing w:before="60" w:after="100"/>
        <w:jc w:val="both"/>
      </w:pPr>
      <w:r>
        <w:rPr>
          <w:rFonts w:ascii="Arial" w:cs="Arial" w:eastAsia="Arial" w:hAnsi="Arial"/>
          <w:b w:val="false"/>
          <w:bCs w:val="false"/>
          <w:i w:val="false"/>
          <w:iCs w:val="false"/>
          <w:color w:val="333333"/>
          <w:sz w:val="22"/>
          <w:szCs w:val="22"/>
        </w:rPr>
        <w:t xml:space="preserve">The following data collection methods were used in preparing this report:</w:t>
      </w:r>
    </w:p>
    <w:p>
      <w:pPr>
        <w:pStyle w:val="ListParagraph"/>
        <w:numPr>
          <w:ilvl w:val="0"/>
          <w:numId w:val="2"/>
        </w:numPr>
        <w:spacing w:before="40" w:after="40"/>
      </w:pPr>
      <w:r>
        <w:rPr>
          <w:rFonts w:ascii="Arial" w:cs="Arial" w:eastAsia="Arial" w:hAnsi="Arial"/>
          <w:color w:val="333333"/>
          <w:sz w:val="22"/>
          <w:szCs w:val="22"/>
        </w:rPr>
        <w:t xml:space="preserve">Review of daily production logs and shift reports (January–February 2026).</w:t>
      </w:r>
    </w:p>
    <w:p>
      <w:pPr>
        <w:pStyle w:val="ListParagraph"/>
        <w:numPr>
          <w:ilvl w:val="0"/>
          <w:numId w:val="2"/>
        </w:numPr>
        <w:spacing w:before="40" w:after="40"/>
      </w:pPr>
      <w:r>
        <w:rPr>
          <w:rFonts w:ascii="Arial" w:cs="Arial" w:eastAsia="Arial" w:hAnsi="Arial"/>
          <w:color w:val="333333"/>
          <w:sz w:val="22"/>
          <w:szCs w:val="22"/>
        </w:rPr>
        <w:t xml:space="preserve">Physical measurement of yarn input vs. fabric output using weighing records.</w:t>
      </w:r>
    </w:p>
    <w:p>
      <w:pPr>
        <w:pStyle w:val="ListParagraph"/>
        <w:numPr>
          <w:ilvl w:val="0"/>
          <w:numId w:val="2"/>
        </w:numPr>
        <w:spacing w:before="40" w:after="40"/>
      </w:pPr>
      <w:r>
        <w:rPr>
          <w:rFonts w:ascii="Arial" w:cs="Arial" w:eastAsia="Arial" w:hAnsi="Arial"/>
          <w:color w:val="333333"/>
          <w:sz w:val="22"/>
          <w:szCs w:val="22"/>
        </w:rPr>
        <w:t xml:space="preserve">Interviews with 12 loom operators, 3 shift supervisors, and the maintenance technician.</w:t>
      </w:r>
    </w:p>
    <w:p>
      <w:pPr>
        <w:pStyle w:val="ListParagraph"/>
        <w:numPr>
          <w:ilvl w:val="0"/>
          <w:numId w:val="2"/>
        </w:numPr>
        <w:spacing w:before="40" w:after="40"/>
      </w:pPr>
      <w:r>
        <w:rPr>
          <w:rFonts w:ascii="Arial" w:cs="Arial" w:eastAsia="Arial" w:hAnsi="Arial"/>
          <w:color w:val="333333"/>
          <w:sz w:val="22"/>
          <w:szCs w:val="22"/>
        </w:rPr>
        <w:t xml:space="preserve">Comparison of wastage data against industry standard benchmarks (BTMA guidelines).</w:t>
      </w:r>
    </w:p>
    <w:p>
      <w:pPr>
        <w:pStyle w:val="ListParagraph"/>
        <w:numPr>
          <w:ilvl w:val="0"/>
          <w:numId w:val="2"/>
        </w:numPr>
        <w:spacing w:before="40" w:after="40"/>
      </w:pPr>
      <w:r>
        <w:rPr>
          <w:rFonts w:ascii="Arial" w:cs="Arial" w:eastAsia="Arial" w:hAnsi="Arial"/>
          <w:color w:val="333333"/>
          <w:sz w:val="22"/>
          <w:szCs w:val="22"/>
        </w:rPr>
        <w:t xml:space="preserve">Analysis of machine maintenance and breakdown records.</w:t>
      </w:r>
    </w:p>
    <w:p>
      <w:pPr>
        <w:spacing w:before="0" w:after="80"/>
      </w:pPr>
      <w:r>
        <w:t xml:space="preserve"/>
      </w:r>
    </w:p>
    <w:p>
      <w:pPr>
        <w:pStyle w:val="Heading1"/>
        <w:pBdr>
          <w:bottom w:val="single" w:color="2E4057" w:sz="6" w:space="1"/>
        </w:pBdr>
        <w:spacing w:before="280" w:after="120"/>
      </w:pPr>
      <w:r>
        <w:rPr>
          <w:rFonts w:ascii="Arial" w:cs="Arial" w:eastAsia="Arial" w:hAnsi="Arial"/>
          <w:b/>
          <w:bCs/>
          <w:color w:val="2E4057"/>
          <w:sz w:val="32"/>
          <w:szCs w:val="32"/>
        </w:rPr>
        <w:t xml:space="preserve">4. Findings</w:t>
      </w:r>
    </w:p>
    <w:p>
      <w:pPr>
        <w:pStyle w:val="Heading2"/>
        <w:spacing w:before="200" w:after="80"/>
      </w:pPr>
      <w:r>
        <w:rPr>
          <w:rFonts w:ascii="Arial" w:cs="Arial" w:eastAsia="Arial" w:hAnsi="Arial"/>
          <w:b/>
          <w:bCs/>
          <w:color w:val="1A6B3C"/>
          <w:sz w:val="26"/>
          <w:szCs w:val="26"/>
        </w:rPr>
        <w:t xml:space="preserve">4.1 Wastage Rate Data</w:t>
      </w:r>
    </w:p>
    <w:p>
      <w:pPr>
        <w:spacing w:before="60" w:after="100"/>
        <w:jc w:val="both"/>
      </w:pPr>
      <w:r>
        <w:rPr>
          <w:rFonts w:ascii="Arial" w:cs="Arial" w:eastAsia="Arial" w:hAnsi="Arial"/>
          <w:b w:val="false"/>
          <w:bCs w:val="false"/>
          <w:i w:val="false"/>
          <w:iCs w:val="false"/>
          <w:color w:val="333333"/>
          <w:sz w:val="22"/>
          <w:szCs w:val="22"/>
        </w:rPr>
        <w:t xml:space="preserve">The following table shows the monthly yarn wastage recorded in the Weaving Section:</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Month</w:t>
            </w:r>
          </w:p>
        </w:tc>
        <w:tc>
          <w:tcPr>
            <w:tcW w:type="dxa" w:w="2256"/>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Yarn Input (kg)</w:t>
            </w:r>
          </w:p>
        </w:tc>
        <w:tc>
          <w:tcPr>
            <w:tcW w:type="dxa" w:w="2257"/>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Fabric Output (kg)</w:t>
            </w:r>
          </w:p>
        </w:tc>
        <w:tc>
          <w:tcPr>
            <w:tcW w:type="dxa" w:w="2257"/>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Wastage Rate (%)</w:t>
            </w:r>
          </w:p>
        </w:tc>
      </w:tr>
      <w:tr>
        <w:tc>
          <w:tcPr>
            <w:tcW w:type="dxa" w:w="2256"/>
            <w:tcBorders>
              <w:top w:val="single" w:color="AAAAAA" w:sz="1"/>
              <w:left w:val="single" w:color="AAAAAA" w:sz="1"/>
              <w:bottom w:val="single" w:color="AAAAAA" w:sz="1"/>
              <w:right w:val="single" w:color="AAAAAA" w:sz="1"/>
            </w:tcBorders>
            <w:shd w:fill="F5F5F5" w:val="clear"/>
            <w:tcMar>
              <w:top w:type="dxa" w:w="100"/>
              <w:left w:type="dxa" w:w="120"/>
              <w:bottom w:type="dxa" w:w="100"/>
              <w:right w:type="dxa" w:w="120"/>
            </w:tcMar>
          </w:tcPr>
          <w:p>
            <w:pPr>
              <w:jc w:val="left"/>
            </w:pPr>
            <w:r>
              <w:rPr>
                <w:rFonts w:ascii="Arial" w:cs="Arial" w:eastAsia="Arial" w:hAnsi="Arial"/>
                <w:b w:val="false"/>
                <w:bCs w:val="false"/>
                <w:color w:val="222222"/>
                <w:sz w:val="20"/>
                <w:szCs w:val="20"/>
              </w:rPr>
              <w:t xml:space="preserve">January 2026</w:t>
            </w:r>
          </w:p>
        </w:tc>
        <w:tc>
          <w:tcPr>
            <w:tcW w:type="dxa" w:w="2256"/>
            <w:tcBorders>
              <w:top w:val="single" w:color="AAAAAA" w:sz="1"/>
              <w:left w:val="single" w:color="AAAAAA" w:sz="1"/>
              <w:bottom w:val="single" w:color="AAAAAA" w:sz="1"/>
              <w:right w:val="single" w:color="AAAAAA" w:sz="1"/>
            </w:tcBorders>
            <w:shd w:fill="F5F5F5" w:val="clear"/>
            <w:tcMar>
              <w:top w:type="dxa" w:w="100"/>
              <w:left w:type="dxa" w:w="120"/>
              <w:bottom w:type="dxa" w:w="100"/>
              <w:right w:type="dxa" w:w="120"/>
            </w:tcMar>
          </w:tcPr>
          <w:p>
            <w:pPr>
              <w:jc w:val="left"/>
            </w:pPr>
            <w:r>
              <w:rPr>
                <w:rFonts w:ascii="Arial" w:cs="Arial" w:eastAsia="Arial" w:hAnsi="Arial"/>
                <w:b w:val="false"/>
                <w:bCs w:val="false"/>
                <w:color w:val="222222"/>
                <w:sz w:val="20"/>
                <w:szCs w:val="20"/>
              </w:rPr>
              <w:t xml:space="preserve">18,450</w:t>
            </w:r>
          </w:p>
        </w:tc>
        <w:tc>
          <w:tcPr>
            <w:tcW w:type="dxa" w:w="2257"/>
            <w:tcBorders>
              <w:top w:val="single" w:color="AAAAAA" w:sz="1"/>
              <w:left w:val="single" w:color="AAAAAA" w:sz="1"/>
              <w:bottom w:val="single" w:color="AAAAAA" w:sz="1"/>
              <w:right w:val="single" w:color="AAAAAA" w:sz="1"/>
            </w:tcBorders>
            <w:shd w:fill="F5F5F5" w:val="clear"/>
            <w:tcMar>
              <w:top w:type="dxa" w:w="100"/>
              <w:left w:type="dxa" w:w="120"/>
              <w:bottom w:type="dxa" w:w="100"/>
              <w:right w:type="dxa" w:w="120"/>
            </w:tcMar>
          </w:tcPr>
          <w:p>
            <w:pPr>
              <w:jc w:val="left"/>
            </w:pPr>
            <w:r>
              <w:rPr>
                <w:rFonts w:ascii="Arial" w:cs="Arial" w:eastAsia="Arial" w:hAnsi="Arial"/>
                <w:b w:val="false"/>
                <w:bCs w:val="false"/>
                <w:color w:val="222222"/>
                <w:sz w:val="20"/>
                <w:szCs w:val="20"/>
              </w:rPr>
              <w:t xml:space="preserve">16,720</w:t>
            </w:r>
          </w:p>
        </w:tc>
        <w:tc>
          <w:tcPr>
            <w:tcW w:type="dxa" w:w="2257"/>
            <w:tcBorders>
              <w:top w:val="single" w:color="AAAAAA" w:sz="1"/>
              <w:left w:val="single" w:color="AAAAAA" w:sz="1"/>
              <w:bottom w:val="single" w:color="AAAAAA" w:sz="1"/>
              <w:right w:val="single" w:color="AAAAAA" w:sz="1"/>
            </w:tcBorders>
            <w:shd w:fill="F5F5F5" w:val="clear"/>
            <w:tcMar>
              <w:top w:type="dxa" w:w="100"/>
              <w:left w:type="dxa" w:w="120"/>
              <w:bottom w:type="dxa" w:w="100"/>
              <w:right w:type="dxa" w:w="120"/>
            </w:tcMar>
          </w:tcPr>
          <w:p>
            <w:pPr>
              <w:jc w:val="left"/>
            </w:pPr>
            <w:r>
              <w:rPr>
                <w:rFonts w:ascii="Arial" w:cs="Arial" w:eastAsia="Arial" w:hAnsi="Arial"/>
                <w:b w:val="false"/>
                <w:bCs w:val="false"/>
                <w:color w:val="222222"/>
                <w:sz w:val="20"/>
                <w:szCs w:val="20"/>
              </w:rPr>
              <w:t xml:space="preserve">9.4%</w:t>
            </w:r>
          </w:p>
        </w:tc>
      </w:tr>
      <w:tr>
        <w:tc>
          <w:tcPr>
            <w:tcW w:type="dxa" w:w="2256"/>
            <w:tcBorders>
              <w:top w:val="single" w:color="AAAAAA" w:sz="1"/>
              <w:left w:val="single" w:color="AAAAAA" w:sz="1"/>
              <w:bottom w:val="single" w:color="AAAAAA" w:sz="1"/>
              <w:right w:val="single" w:color="AAAAAA" w:sz="1"/>
            </w:tcBorders>
            <w:shd w:fill="F5F5F5" w:val="clear"/>
            <w:tcMar>
              <w:top w:type="dxa" w:w="100"/>
              <w:left w:type="dxa" w:w="120"/>
              <w:bottom w:type="dxa" w:w="100"/>
              <w:right w:type="dxa" w:w="120"/>
            </w:tcMar>
          </w:tcPr>
          <w:p>
            <w:pPr>
              <w:jc w:val="left"/>
            </w:pPr>
            <w:r>
              <w:rPr>
                <w:rFonts w:ascii="Arial" w:cs="Arial" w:eastAsia="Arial" w:hAnsi="Arial"/>
                <w:b w:val="false"/>
                <w:bCs w:val="false"/>
                <w:color w:val="222222"/>
                <w:sz w:val="20"/>
                <w:szCs w:val="20"/>
              </w:rPr>
              <w:t xml:space="preserve">February 2026</w:t>
            </w:r>
          </w:p>
        </w:tc>
        <w:tc>
          <w:tcPr>
            <w:tcW w:type="dxa" w:w="2256"/>
            <w:tcBorders>
              <w:top w:val="single" w:color="AAAAAA" w:sz="1"/>
              <w:left w:val="single" w:color="AAAAAA" w:sz="1"/>
              <w:bottom w:val="single" w:color="AAAAAA" w:sz="1"/>
              <w:right w:val="single" w:color="AAAAAA" w:sz="1"/>
            </w:tcBorders>
            <w:shd w:fill="F5F5F5" w:val="clear"/>
            <w:tcMar>
              <w:top w:type="dxa" w:w="100"/>
              <w:left w:type="dxa" w:w="120"/>
              <w:bottom w:type="dxa" w:w="100"/>
              <w:right w:type="dxa" w:w="120"/>
            </w:tcMar>
          </w:tcPr>
          <w:p>
            <w:pPr>
              <w:jc w:val="left"/>
            </w:pPr>
            <w:r>
              <w:rPr>
                <w:rFonts w:ascii="Arial" w:cs="Arial" w:eastAsia="Arial" w:hAnsi="Arial"/>
                <w:b w:val="false"/>
                <w:bCs w:val="false"/>
                <w:color w:val="222222"/>
                <w:sz w:val="20"/>
                <w:szCs w:val="20"/>
              </w:rPr>
              <w:t xml:space="preserve">17,800</w:t>
            </w:r>
          </w:p>
        </w:tc>
        <w:tc>
          <w:tcPr>
            <w:tcW w:type="dxa" w:w="2257"/>
            <w:tcBorders>
              <w:top w:val="single" w:color="AAAAAA" w:sz="1"/>
              <w:left w:val="single" w:color="AAAAAA" w:sz="1"/>
              <w:bottom w:val="single" w:color="AAAAAA" w:sz="1"/>
              <w:right w:val="single" w:color="AAAAAA" w:sz="1"/>
            </w:tcBorders>
            <w:shd w:fill="F5F5F5" w:val="clear"/>
            <w:tcMar>
              <w:top w:type="dxa" w:w="100"/>
              <w:left w:type="dxa" w:w="120"/>
              <w:bottom w:type="dxa" w:w="100"/>
              <w:right w:type="dxa" w:w="120"/>
            </w:tcMar>
          </w:tcPr>
          <w:p>
            <w:pPr>
              <w:jc w:val="left"/>
            </w:pPr>
            <w:r>
              <w:rPr>
                <w:rFonts w:ascii="Arial" w:cs="Arial" w:eastAsia="Arial" w:hAnsi="Arial"/>
                <w:b w:val="false"/>
                <w:bCs w:val="false"/>
                <w:color w:val="222222"/>
                <w:sz w:val="20"/>
                <w:szCs w:val="20"/>
              </w:rPr>
              <w:t xml:space="preserve">16,380</w:t>
            </w:r>
          </w:p>
        </w:tc>
        <w:tc>
          <w:tcPr>
            <w:tcW w:type="dxa" w:w="2257"/>
            <w:tcBorders>
              <w:top w:val="single" w:color="AAAAAA" w:sz="1"/>
              <w:left w:val="single" w:color="AAAAAA" w:sz="1"/>
              <w:bottom w:val="single" w:color="AAAAAA" w:sz="1"/>
              <w:right w:val="single" w:color="AAAAAA" w:sz="1"/>
            </w:tcBorders>
            <w:shd w:fill="F5F5F5" w:val="clear"/>
            <w:tcMar>
              <w:top w:type="dxa" w:w="100"/>
              <w:left w:type="dxa" w:w="120"/>
              <w:bottom w:type="dxa" w:w="100"/>
              <w:right w:type="dxa" w:w="120"/>
            </w:tcMar>
          </w:tcPr>
          <w:p>
            <w:pPr>
              <w:jc w:val="left"/>
            </w:pPr>
            <w:r>
              <w:rPr>
                <w:rFonts w:ascii="Arial" w:cs="Arial" w:eastAsia="Arial" w:hAnsi="Arial"/>
                <w:b w:val="false"/>
                <w:bCs w:val="false"/>
                <w:color w:val="222222"/>
                <w:sz w:val="20"/>
                <w:szCs w:val="20"/>
              </w:rPr>
              <w:t xml:space="preserve">7.9%</w:t>
            </w:r>
          </w:p>
        </w:tc>
      </w:tr>
      <w:tr>
        <w:tc>
          <w:tcPr>
            <w:tcW w:type="dxa" w:w="2256"/>
            <w:tcBorders>
              <w:top w:val="single" w:color="AAAAAA" w:sz="1"/>
              <w:left w:val="single" w:color="AAAAAA" w:sz="1"/>
              <w:bottom w:val="single" w:color="AAAAAA" w:sz="1"/>
              <w:right w:val="single" w:color="AAAAAA" w:sz="1"/>
            </w:tcBorders>
            <w:shd w:fill="F5F5F5" w:val="clear"/>
            <w:tcMar>
              <w:top w:type="dxa" w:w="100"/>
              <w:left w:type="dxa" w:w="120"/>
              <w:bottom w:type="dxa" w:w="100"/>
              <w:right w:type="dxa" w:w="120"/>
            </w:tcMar>
          </w:tcPr>
          <w:p>
            <w:pPr>
              <w:jc w:val="left"/>
            </w:pPr>
            <w:r>
              <w:rPr>
                <w:rFonts w:ascii="Arial" w:cs="Arial" w:eastAsia="Arial" w:hAnsi="Arial"/>
                <w:b w:val="false"/>
                <w:bCs w:val="false"/>
                <w:color w:val="222222"/>
                <w:sz w:val="20"/>
                <w:szCs w:val="20"/>
              </w:rPr>
              <w:t xml:space="preserve">Average (2 months)</w:t>
            </w:r>
          </w:p>
        </w:tc>
        <w:tc>
          <w:tcPr>
            <w:tcW w:type="dxa" w:w="2256"/>
            <w:tcBorders>
              <w:top w:val="single" w:color="AAAAAA" w:sz="1"/>
              <w:left w:val="single" w:color="AAAAAA" w:sz="1"/>
              <w:bottom w:val="single" w:color="AAAAAA" w:sz="1"/>
              <w:right w:val="single" w:color="AAAAAA" w:sz="1"/>
            </w:tcBorders>
            <w:shd w:fill="F5F5F5" w:val="clear"/>
            <w:tcMar>
              <w:top w:type="dxa" w:w="100"/>
              <w:left w:type="dxa" w:w="120"/>
              <w:bottom w:type="dxa" w:w="100"/>
              <w:right w:type="dxa" w:w="120"/>
            </w:tcMar>
          </w:tcPr>
          <w:p>
            <w:pPr>
              <w:jc w:val="left"/>
            </w:pPr>
            <w:r>
              <w:rPr>
                <w:rFonts w:ascii="Arial" w:cs="Arial" w:eastAsia="Arial" w:hAnsi="Arial"/>
                <w:b w:val="false"/>
                <w:bCs w:val="false"/>
                <w:color w:val="222222"/>
                <w:sz w:val="20"/>
                <w:szCs w:val="20"/>
              </w:rPr>
              <w:t xml:space="preserve">18,125</w:t>
            </w:r>
          </w:p>
        </w:tc>
        <w:tc>
          <w:tcPr>
            <w:tcW w:type="dxa" w:w="2257"/>
            <w:tcBorders>
              <w:top w:val="single" w:color="AAAAAA" w:sz="1"/>
              <w:left w:val="single" w:color="AAAAAA" w:sz="1"/>
              <w:bottom w:val="single" w:color="AAAAAA" w:sz="1"/>
              <w:right w:val="single" w:color="AAAAAA" w:sz="1"/>
            </w:tcBorders>
            <w:shd w:fill="F5F5F5" w:val="clear"/>
            <w:tcMar>
              <w:top w:type="dxa" w:w="100"/>
              <w:left w:type="dxa" w:w="120"/>
              <w:bottom w:type="dxa" w:w="100"/>
              <w:right w:type="dxa" w:w="120"/>
            </w:tcMar>
          </w:tcPr>
          <w:p>
            <w:pPr>
              <w:jc w:val="left"/>
            </w:pPr>
            <w:r>
              <w:rPr>
                <w:rFonts w:ascii="Arial" w:cs="Arial" w:eastAsia="Arial" w:hAnsi="Arial"/>
                <w:b w:val="false"/>
                <w:bCs w:val="false"/>
                <w:color w:val="222222"/>
                <w:sz w:val="20"/>
                <w:szCs w:val="20"/>
              </w:rPr>
              <w:t xml:space="preserve">16,550</w:t>
            </w:r>
          </w:p>
        </w:tc>
        <w:tc>
          <w:tcPr>
            <w:tcW w:type="dxa" w:w="2257"/>
            <w:tcBorders>
              <w:top w:val="single" w:color="AAAAAA" w:sz="1"/>
              <w:left w:val="single" w:color="AAAAAA" w:sz="1"/>
              <w:bottom w:val="single" w:color="AAAAAA" w:sz="1"/>
              <w:right w:val="single" w:color="AAAAAA" w:sz="1"/>
            </w:tcBorders>
            <w:shd w:fill="F5F5F5" w:val="clear"/>
            <w:tcMar>
              <w:top w:type="dxa" w:w="100"/>
              <w:left w:type="dxa" w:w="120"/>
              <w:bottom w:type="dxa" w:w="100"/>
              <w:right w:type="dxa" w:w="120"/>
            </w:tcMar>
          </w:tcPr>
          <w:p>
            <w:pPr>
              <w:jc w:val="left"/>
            </w:pPr>
            <w:r>
              <w:rPr>
                <w:rFonts w:ascii="Arial" w:cs="Arial" w:eastAsia="Arial" w:hAnsi="Arial"/>
                <w:b w:val="false"/>
                <w:bCs w:val="false"/>
                <w:color w:val="222222"/>
                <w:sz w:val="20"/>
                <w:szCs w:val="20"/>
              </w:rPr>
              <w:t xml:space="preserve">8.4%</w:t>
            </w:r>
          </w:p>
        </w:tc>
      </w:tr>
      <w:tr>
        <w:tc>
          <w:tcPr>
            <w:tcW w:type="dxa" w:w="2256"/>
            <w:tcBorders>
              <w:top w:val="single" w:color="AAAAAA" w:sz="1"/>
              <w:left w:val="single" w:color="AAAAAA" w:sz="1"/>
              <w:bottom w:val="single" w:color="AAAAAA" w:sz="1"/>
              <w:right w:val="single" w:color="AAAAAA" w:sz="1"/>
            </w:tcBorders>
            <w:shd w:fill="F5F5F5" w:val="clear"/>
            <w:tcMar>
              <w:top w:type="dxa" w:w="100"/>
              <w:left w:type="dxa" w:w="120"/>
              <w:bottom w:type="dxa" w:w="100"/>
              <w:right w:type="dxa" w:w="120"/>
            </w:tcMar>
          </w:tcPr>
          <w:p>
            <w:pPr>
              <w:jc w:val="left"/>
            </w:pPr>
            <w:r>
              <w:rPr>
                <w:rFonts w:ascii="Arial" w:cs="Arial" w:eastAsia="Arial" w:hAnsi="Arial"/>
                <w:b w:val="false"/>
                <w:bCs w:val="false"/>
                <w:color w:val="222222"/>
                <w:sz w:val="20"/>
                <w:szCs w:val="20"/>
              </w:rPr>
              <w:t xml:space="preserve">Industry Benchmark</w:t>
            </w:r>
          </w:p>
        </w:tc>
        <w:tc>
          <w:tcPr>
            <w:tcW w:type="dxa" w:w="2256"/>
            <w:tcBorders>
              <w:top w:val="single" w:color="AAAAAA" w:sz="1"/>
              <w:left w:val="single" w:color="AAAAAA" w:sz="1"/>
              <w:bottom w:val="single" w:color="AAAAAA" w:sz="1"/>
              <w:right w:val="single" w:color="AAAAAA" w:sz="1"/>
            </w:tcBorders>
            <w:shd w:fill="F5F5F5" w:val="clear"/>
            <w:tcMar>
              <w:top w:type="dxa" w:w="100"/>
              <w:left w:type="dxa" w:w="120"/>
              <w:bottom w:type="dxa" w:w="100"/>
              <w:right w:type="dxa" w:w="120"/>
            </w:tcMar>
          </w:tcPr>
          <w:p>
            <w:pPr>
              <w:jc w:val="left"/>
            </w:pPr>
            <w:r>
              <w:rPr>
                <w:rFonts w:ascii="Arial" w:cs="Arial" w:eastAsia="Arial" w:hAnsi="Arial"/>
                <w:b w:val="false"/>
                <w:bCs w:val="false"/>
                <w:color w:val="222222"/>
                <w:sz w:val="20"/>
                <w:szCs w:val="20"/>
              </w:rPr>
              <w:t xml:space="preserve">—</w:t>
            </w:r>
          </w:p>
        </w:tc>
        <w:tc>
          <w:tcPr>
            <w:tcW w:type="dxa" w:w="2257"/>
            <w:tcBorders>
              <w:top w:val="single" w:color="AAAAAA" w:sz="1"/>
              <w:left w:val="single" w:color="AAAAAA" w:sz="1"/>
              <w:bottom w:val="single" w:color="AAAAAA" w:sz="1"/>
              <w:right w:val="single" w:color="AAAAAA" w:sz="1"/>
            </w:tcBorders>
            <w:shd w:fill="F5F5F5" w:val="clear"/>
            <w:tcMar>
              <w:top w:type="dxa" w:w="100"/>
              <w:left w:type="dxa" w:w="120"/>
              <w:bottom w:type="dxa" w:w="100"/>
              <w:right w:type="dxa" w:w="120"/>
            </w:tcMar>
          </w:tcPr>
          <w:p>
            <w:pPr>
              <w:jc w:val="left"/>
            </w:pPr>
            <w:r>
              <w:rPr>
                <w:rFonts w:ascii="Arial" w:cs="Arial" w:eastAsia="Arial" w:hAnsi="Arial"/>
                <w:b w:val="false"/>
                <w:bCs w:val="false"/>
                <w:color w:val="222222"/>
                <w:sz w:val="20"/>
                <w:szCs w:val="20"/>
              </w:rPr>
              <w:t xml:space="preserve">—</w:t>
            </w:r>
          </w:p>
        </w:tc>
        <w:tc>
          <w:tcPr>
            <w:tcW w:type="dxa" w:w="2257"/>
            <w:tcBorders>
              <w:top w:val="single" w:color="AAAAAA" w:sz="1"/>
              <w:left w:val="single" w:color="AAAAAA" w:sz="1"/>
              <w:bottom w:val="single" w:color="AAAAAA" w:sz="1"/>
              <w:right w:val="single" w:color="AAAAAA" w:sz="1"/>
            </w:tcBorders>
            <w:shd w:fill="F5F5F5" w:val="clear"/>
            <w:tcMar>
              <w:top w:type="dxa" w:w="100"/>
              <w:left w:type="dxa" w:w="120"/>
              <w:bottom w:type="dxa" w:w="100"/>
              <w:right w:type="dxa" w:w="120"/>
            </w:tcMar>
          </w:tcPr>
          <w:p>
            <w:pPr>
              <w:jc w:val="left"/>
            </w:pPr>
            <w:r>
              <w:rPr>
                <w:rFonts w:ascii="Arial" w:cs="Arial" w:eastAsia="Arial" w:hAnsi="Arial"/>
                <w:b w:val="false"/>
                <w:bCs w:val="false"/>
                <w:color w:val="222222"/>
                <w:sz w:val="20"/>
                <w:szCs w:val="20"/>
              </w:rPr>
              <w:t xml:space="preserve">4–5%</w:t>
            </w:r>
          </w:p>
        </w:tc>
      </w:tr>
    </w:tbl>
    <w:p>
      <w:pPr>
        <w:spacing w:before="0" w:after="80"/>
      </w:pPr>
      <w:r>
        <w:t xml:space="preserve"/>
      </w:r>
    </w:p>
    <w:p>
      <w:pPr>
        <w:spacing w:before="60" w:after="100"/>
        <w:jc w:val="both"/>
      </w:pPr>
      <w:r>
        <w:rPr>
          <w:rFonts w:ascii="Arial" w:cs="Arial" w:eastAsia="Arial" w:hAnsi="Arial"/>
          <w:b w:val="false"/>
          <w:bCs w:val="false"/>
          <w:i/>
          <w:iCs/>
          <w:color w:val="777777"/>
          <w:sz w:val="20"/>
          <w:szCs w:val="20"/>
        </w:rPr>
        <w:t xml:space="preserve">Table 1: Yarn Wastage in the Weaving Section (Jan–Feb 2026)</w:t>
      </w:r>
    </w:p>
    <w:p>
      <w:pPr>
        <w:spacing w:before="0" w:after="80"/>
      </w:pPr>
      <w:r>
        <w:t xml:space="preserve"/>
      </w:r>
    </w:p>
    <w:p>
      <w:pPr>
        <w:pStyle w:val="Heading2"/>
        <w:spacing w:before="200" w:after="80"/>
      </w:pPr>
      <w:r>
        <w:rPr>
          <w:rFonts w:ascii="Arial" w:cs="Arial" w:eastAsia="Arial" w:hAnsi="Arial"/>
          <w:b/>
          <w:bCs/>
          <w:color w:val="1A6B3C"/>
          <w:sz w:val="26"/>
          <w:szCs w:val="26"/>
        </w:rPr>
        <w:t xml:space="preserve">4.2 Key Causes Identified</w:t>
      </w:r>
    </w:p>
    <w:p>
      <w:pPr>
        <w:spacing w:before="60" w:after="100"/>
        <w:jc w:val="both"/>
      </w:pPr>
      <w:r>
        <w:rPr>
          <w:rFonts w:ascii="Arial" w:cs="Arial" w:eastAsia="Arial" w:hAnsi="Arial"/>
          <w:b w:val="false"/>
          <w:bCs w:val="false"/>
          <w:i w:val="false"/>
          <w:iCs w:val="false"/>
          <w:color w:val="333333"/>
          <w:sz w:val="22"/>
          <w:szCs w:val="22"/>
        </w:rPr>
        <w:t xml:space="preserve">Based on investigation, the following causes were identified as the main contributors to yarn wastage:</w:t>
      </w:r>
    </w:p>
    <w:p>
      <w:pPr>
        <w:pStyle w:val="ListParagraph"/>
        <w:numPr>
          <w:ilvl w:val="0"/>
          <w:numId w:val="3"/>
        </w:numPr>
        <w:spacing w:before="60" w:after="40"/>
      </w:pPr>
      <w:r>
        <w:rPr>
          <w:rFonts w:ascii="Arial" w:cs="Arial" w:eastAsia="Arial" w:hAnsi="Arial"/>
          <w:color w:val="333333"/>
          <w:sz w:val="22"/>
          <w:szCs w:val="22"/>
        </w:rPr>
        <w:t xml:space="preserve">Machine Misalignment: 14 out of 48 looms showed tension irregularities, causing frequent yarn breakage and subsequent wastage during re-threading.</w:t>
      </w:r>
    </w:p>
    <w:p>
      <w:pPr>
        <w:pStyle w:val="ListParagraph"/>
        <w:numPr>
          <w:ilvl w:val="0"/>
          <w:numId w:val="3"/>
        </w:numPr>
        <w:spacing w:before="40" w:after="40"/>
      </w:pPr>
      <w:r>
        <w:rPr>
          <w:rFonts w:ascii="Arial" w:cs="Arial" w:eastAsia="Arial" w:hAnsi="Arial"/>
          <w:color w:val="333333"/>
          <w:sz w:val="22"/>
          <w:szCs w:val="22"/>
        </w:rPr>
        <w:t xml:space="preserve">Operator Error: Newly recruited operators (6 workers, hired in December 2025) showed a wastage rate 3.1% higher than experienced workers, indicating insufficient training.</w:t>
      </w:r>
    </w:p>
    <w:p>
      <w:pPr>
        <w:pStyle w:val="ListParagraph"/>
        <w:numPr>
          <w:ilvl w:val="0"/>
          <w:numId w:val="3"/>
        </w:numPr>
        <w:spacing w:before="40" w:after="40"/>
      </w:pPr>
      <w:r>
        <w:rPr>
          <w:rFonts w:ascii="Arial" w:cs="Arial" w:eastAsia="Arial" w:hAnsi="Arial"/>
          <w:color w:val="333333"/>
          <w:sz w:val="22"/>
          <w:szCs w:val="22"/>
        </w:rPr>
        <w:t xml:space="preserve">Substandard Yarn Lot: A consignment of 3,200 kg of yarn (Lot No. RW-2025-118) was found to have inconsistent twist per inch (TPI), leading to higher breakage rates.</w:t>
      </w:r>
    </w:p>
    <w:p>
      <w:pPr>
        <w:pStyle w:val="ListParagraph"/>
        <w:numPr>
          <w:ilvl w:val="0"/>
          <w:numId w:val="3"/>
        </w:numPr>
        <w:spacing w:before="40" w:after="40"/>
      </w:pPr>
      <w:r>
        <w:rPr>
          <w:rFonts w:ascii="Arial" w:cs="Arial" w:eastAsia="Arial" w:hAnsi="Arial"/>
          <w:color w:val="333333"/>
          <w:sz w:val="22"/>
          <w:szCs w:val="22"/>
        </w:rPr>
        <w:t xml:space="preserve">Lack of Wastage Monitoring: No formal real-time wastage tracking system was in place; wastage was calculated only at the end of each week.</w:t>
      </w:r>
    </w:p>
    <w:p>
      <w:pPr>
        <w:spacing w:before="0" w:after="80"/>
      </w:pPr>
      <w:r>
        <w:t xml:space="preserve"/>
      </w:r>
    </w:p>
    <w:p>
      <w:pPr>
        <w:pStyle w:val="Heading2"/>
        <w:spacing w:before="200" w:after="80"/>
      </w:pPr>
      <w:r>
        <w:rPr>
          <w:rFonts w:ascii="Arial" w:cs="Arial" w:eastAsia="Arial" w:hAnsi="Arial"/>
          <w:b/>
          <w:bCs/>
          <w:color w:val="1A6B3C"/>
          <w:sz w:val="26"/>
          <w:szCs w:val="26"/>
        </w:rPr>
        <w:t xml:space="preserve">4.3 Financial Impact</w:t>
      </w:r>
    </w:p>
    <w:p>
      <w:pPr>
        <w:spacing w:before="60" w:after="100"/>
        <w:jc w:val="both"/>
      </w:pPr>
      <w:r>
        <w:rPr>
          <w:rFonts w:ascii="Arial" w:cs="Arial" w:eastAsia="Arial" w:hAnsi="Arial"/>
          <w:b w:val="false"/>
          <w:bCs w:val="false"/>
          <w:i w:val="false"/>
          <w:iCs w:val="false"/>
          <w:color w:val="333333"/>
          <w:sz w:val="22"/>
          <w:szCs w:val="22"/>
        </w:rPr>
        <w:t xml:space="preserve">At the current average wastage rate of 8.4% versus the target of 4.5%, the company is losing approximately 693 kg of yarn per month. At an average yarn cost of BDT 480/kg, this represents a monthly financial loss of:</w:t>
      </w:r>
    </w:p>
    <w:p>
      <w:pPr>
        <w:spacing w:before="0" w:after="80"/>
      </w:pPr>
      <w:r>
        <w:t xml:space="preserve"/>
      </w:r>
    </w:p>
    <w:p>
      <w:pPr>
        <w:spacing w:before="100" w:after="100"/>
        <w:jc w:val="center"/>
      </w:pPr>
      <w:r>
        <w:rPr>
          <w:rFonts w:ascii="Arial" w:cs="Arial" w:eastAsia="Arial" w:hAnsi="Arial"/>
          <w:b/>
          <w:bCs/>
          <w:color w:val="2E4057"/>
          <w:sz w:val="24"/>
          <w:szCs w:val="24"/>
        </w:rPr>
        <w:t xml:space="preserve">693 kg × BDT 480 = BDT 3,32,640 per month</w:t>
      </w:r>
    </w:p>
    <w:p>
      <w:pPr>
        <w:spacing w:before="0" w:after="80"/>
      </w:pPr>
      <w:r>
        <w:t xml:space="preserve"/>
      </w:r>
    </w:p>
    <w:p>
      <w:pPr>
        <w:pStyle w:val="Heading1"/>
        <w:pBdr>
          <w:bottom w:val="single" w:color="2E4057" w:sz="6" w:space="1"/>
        </w:pBdr>
        <w:spacing w:before="280" w:after="120"/>
      </w:pPr>
      <w:r>
        <w:rPr>
          <w:rFonts w:ascii="Arial" w:cs="Arial" w:eastAsia="Arial" w:hAnsi="Arial"/>
          <w:b/>
          <w:bCs/>
          <w:color w:val="2E4057"/>
          <w:sz w:val="32"/>
          <w:szCs w:val="32"/>
        </w:rPr>
        <w:t xml:space="preserve">5. Conclusion</w:t>
      </w:r>
    </w:p>
    <w:p>
      <w:pPr>
        <w:spacing w:before="60" w:after="100"/>
        <w:jc w:val="both"/>
      </w:pPr>
      <w:r>
        <w:rPr>
          <w:rFonts w:ascii="Arial" w:cs="Arial" w:eastAsia="Arial" w:hAnsi="Arial"/>
          <w:b w:val="false"/>
          <w:bCs w:val="false"/>
          <w:i w:val="false"/>
          <w:iCs w:val="false"/>
          <w:color w:val="333333"/>
          <w:sz w:val="22"/>
          <w:szCs w:val="22"/>
        </w:rPr>
        <w:t xml:space="preserve">The investigation confirms that yarn wastage in the Weaving Section is significantly above the acceptable industry standard of 4–5%. The primary contributors are mechanical issues with looms, insufficient operator training, a specific substandard yarn consignment, and the absence of a real-time monitoring system. Collectively, these factors are costing the company over BDT 3.3 lakh per month in unnecessary raw material losses. Timely and targeted corrective action is essential.</w:t>
      </w:r>
    </w:p>
    <w:p>
      <w:pPr>
        <w:spacing w:before="0" w:after="80"/>
      </w:pPr>
      <w:r>
        <w:t xml:space="preserve"/>
      </w:r>
    </w:p>
    <w:p>
      <w:pPr>
        <w:pStyle w:val="Heading1"/>
        <w:pBdr>
          <w:bottom w:val="single" w:color="2E4057" w:sz="6" w:space="1"/>
        </w:pBdr>
        <w:spacing w:before="280" w:after="120"/>
      </w:pPr>
      <w:r>
        <w:rPr>
          <w:rFonts w:ascii="Arial" w:cs="Arial" w:eastAsia="Arial" w:hAnsi="Arial"/>
          <w:b/>
          <w:bCs/>
          <w:color w:val="2E4057"/>
          <w:sz w:val="32"/>
          <w:szCs w:val="32"/>
        </w:rPr>
        <w:t xml:space="preserve">6. Recommendations</w:t>
      </w:r>
    </w:p>
    <w:p>
      <w:pPr>
        <w:spacing w:before="60" w:after="100"/>
        <w:jc w:val="both"/>
      </w:pPr>
      <w:r>
        <w:rPr>
          <w:rFonts w:ascii="Arial" w:cs="Arial" w:eastAsia="Arial" w:hAnsi="Arial"/>
          <w:b w:val="false"/>
          <w:bCs w:val="false"/>
          <w:i w:val="false"/>
          <w:iCs w:val="false"/>
          <w:color w:val="333333"/>
          <w:sz w:val="22"/>
          <w:szCs w:val="22"/>
        </w:rPr>
        <w:t xml:space="preserve">Based on the findings, the following actions are recommended:</w:t>
      </w:r>
    </w:p>
    <w:p>
      <w:pPr>
        <w:pStyle w:val="ListParagraph"/>
        <w:numPr>
          <w:ilvl w:val="0"/>
          <w:numId w:val="2"/>
        </w:numPr>
        <w:spacing w:before="40" w:after="40"/>
      </w:pPr>
      <w:r>
        <w:rPr>
          <w:rFonts w:ascii="Arial" w:cs="Arial" w:eastAsia="Arial" w:hAnsi="Arial"/>
          <w:color w:val="333333"/>
          <w:sz w:val="22"/>
          <w:szCs w:val="22"/>
        </w:rPr>
        <w:t xml:space="preserve">Immediate Machine Maintenance: Schedule servicing and realignment of all 48 looms within the next two weeks. Priority should be given to the 14 identified looms with tension problems.</w:t>
      </w:r>
    </w:p>
    <w:p>
      <w:pPr>
        <w:pStyle w:val="ListParagraph"/>
        <w:numPr>
          <w:ilvl w:val="0"/>
          <w:numId w:val="2"/>
        </w:numPr>
        <w:spacing w:before="40" w:after="40"/>
      </w:pPr>
      <w:r>
        <w:rPr>
          <w:rFonts w:ascii="Arial" w:cs="Arial" w:eastAsia="Arial" w:hAnsi="Arial"/>
          <w:color w:val="333333"/>
          <w:sz w:val="22"/>
          <w:szCs w:val="22"/>
        </w:rPr>
        <w:t xml:space="preserve">Operator Training Programme: Conduct a 3-day structured training session for the 6 newly recruited operators, covering loom operation, yarn handling, and wastage reduction techniques.</w:t>
      </w:r>
    </w:p>
    <w:p>
      <w:pPr>
        <w:pStyle w:val="ListParagraph"/>
        <w:numPr>
          <w:ilvl w:val="0"/>
          <w:numId w:val="2"/>
        </w:numPr>
        <w:spacing w:before="40" w:after="40"/>
      </w:pPr>
      <w:r>
        <w:rPr>
          <w:rFonts w:ascii="Arial" w:cs="Arial" w:eastAsia="Arial" w:hAnsi="Arial"/>
          <w:color w:val="333333"/>
          <w:sz w:val="22"/>
          <w:szCs w:val="22"/>
        </w:rPr>
        <w:t xml:space="preserve">Quarantine Substandard Yarn Lot: Immediately isolate Lot No. RW-2025-118 and negotiate with the supplier for replacement or credit. Future procurement should include mandatory TPI testing before acceptance.</w:t>
      </w:r>
    </w:p>
    <w:p>
      <w:pPr>
        <w:pStyle w:val="ListParagraph"/>
        <w:numPr>
          <w:ilvl w:val="0"/>
          <w:numId w:val="2"/>
        </w:numPr>
        <w:spacing w:before="40" w:after="40"/>
      </w:pPr>
      <w:r>
        <w:rPr>
          <w:rFonts w:ascii="Arial" w:cs="Arial" w:eastAsia="Arial" w:hAnsi="Arial"/>
          <w:color w:val="333333"/>
          <w:sz w:val="22"/>
          <w:szCs w:val="22"/>
        </w:rPr>
        <w:t xml:space="preserve">Implement Daily Wastage Tracking: Introduce a shift-wise wastage log system where supervisors record yarn input and fabric output at the end of each shift. Weekly summary reports should be submitted to the Production Manager.</w:t>
      </w:r>
    </w:p>
    <w:p>
      <w:pPr>
        <w:pStyle w:val="ListParagraph"/>
        <w:numPr>
          <w:ilvl w:val="0"/>
          <w:numId w:val="2"/>
        </w:numPr>
        <w:spacing w:before="40" w:after="40"/>
      </w:pPr>
      <w:r>
        <w:rPr>
          <w:rFonts w:ascii="Arial" w:cs="Arial" w:eastAsia="Arial" w:hAnsi="Arial"/>
          <w:color w:val="333333"/>
          <w:sz w:val="22"/>
          <w:szCs w:val="22"/>
        </w:rPr>
        <w:t xml:space="preserve">Set Departmental Wastage Targets: Establish a monthly wastage reduction target of 1% per month over the next four months, aiming to reach the 4.5% benchmark by July 2026.</w:t>
      </w:r>
    </w:p>
    <w:p>
      <w:pPr>
        <w:spacing w:before="0" w:after="80"/>
      </w:pPr>
      <w:r>
        <w:t xml:space="preserve"/>
      </w:r>
    </w:p>
    <w:p>
      <w:pPr>
        <w:pStyle w:val="Heading1"/>
        <w:pBdr>
          <w:bottom w:val="single" w:color="2E4057" w:sz="6" w:space="1"/>
        </w:pBdr>
        <w:spacing w:before="280" w:after="120"/>
      </w:pPr>
      <w:r>
        <w:rPr>
          <w:rFonts w:ascii="Arial" w:cs="Arial" w:eastAsia="Arial" w:hAnsi="Arial"/>
          <w:b/>
          <w:bCs/>
          <w:color w:val="2E4057"/>
          <w:sz w:val="32"/>
          <w:szCs w:val="32"/>
        </w:rPr>
        <w:t xml:space="preserve">7. References</w:t>
      </w:r>
    </w:p>
    <w:p>
      <w:pPr>
        <w:pStyle w:val="ListParagraph"/>
        <w:numPr>
          <w:ilvl w:val="0"/>
          <w:numId w:val="2"/>
        </w:numPr>
        <w:spacing w:before="40" w:after="40"/>
      </w:pPr>
      <w:r>
        <w:rPr>
          <w:rFonts w:ascii="Arial" w:cs="Arial" w:eastAsia="Arial" w:hAnsi="Arial"/>
          <w:color w:val="333333"/>
          <w:sz w:val="22"/>
          <w:szCs w:val="22"/>
        </w:rPr>
        <w:t xml:space="preserve">Bangladesh Textile Mills Association (BTMA) — Production Efficiency Guidelines, 2024 Edition.</w:t>
      </w:r>
    </w:p>
    <w:p>
      <w:pPr>
        <w:pStyle w:val="ListParagraph"/>
        <w:numPr>
          <w:ilvl w:val="0"/>
          <w:numId w:val="2"/>
        </w:numPr>
        <w:spacing w:before="40" w:after="40"/>
      </w:pPr>
      <w:r>
        <w:rPr>
          <w:rFonts w:ascii="Arial" w:cs="Arial" w:eastAsia="Arial" w:hAnsi="Arial"/>
          <w:color w:val="333333"/>
          <w:sz w:val="22"/>
          <w:szCs w:val="22"/>
        </w:rPr>
        <w:t xml:space="preserve">Delta Fabrics Ltd. — Daily Production Logs, January–February 2026.</w:t>
      </w:r>
    </w:p>
    <w:p>
      <w:pPr>
        <w:pStyle w:val="ListParagraph"/>
        <w:numPr>
          <w:ilvl w:val="0"/>
          <w:numId w:val="2"/>
        </w:numPr>
        <w:spacing w:before="40" w:after="40"/>
      </w:pPr>
      <w:r>
        <w:rPr>
          <w:rFonts w:ascii="Arial" w:cs="Arial" w:eastAsia="Arial" w:hAnsi="Arial"/>
          <w:color w:val="333333"/>
          <w:sz w:val="22"/>
          <w:szCs w:val="22"/>
        </w:rPr>
        <w:t xml:space="preserve">Delta Fabrics Ltd. — Machine Maintenance Records, Q4 2025 – Q1 2026.</w:t>
      </w:r>
    </w:p>
    <w:p>
      <w:pPr>
        <w:pStyle w:val="ListParagraph"/>
        <w:numPr>
          <w:ilvl w:val="0"/>
          <w:numId w:val="2"/>
        </w:numPr>
        <w:spacing w:before="40" w:after="40"/>
      </w:pPr>
      <w:r>
        <w:rPr>
          <w:rFonts w:ascii="Arial" w:cs="Arial" w:eastAsia="Arial" w:hAnsi="Arial"/>
          <w:color w:val="333333"/>
          <w:sz w:val="22"/>
          <w:szCs w:val="22"/>
        </w:rPr>
        <w:t xml:space="preserve">Interview records with shift supervisors and loom operators, February 2026.</w:t>
      </w:r>
    </w:p>
    <w:p>
      <w:pPr>
        <w:spacing w:before="0" w:after="80"/>
      </w:pPr>
      <w:r>
        <w:t xml:space="preserve"/>
      </w:r>
    </w:p>
    <w:p>
      <w:pPr>
        <w:pBdr>
          <w:bottom w:val="single" w:color="CCCCCC" w:sz="4" w:space="1"/>
        </w:pBdr>
        <w:spacing w:before="80" w:after="80"/>
      </w:pPr>
      <w:r>
        <w:t xml:space="preserve"/>
      </w:r>
    </w:p>
    <w:p>
      <w:pPr>
        <w:spacing w:before="0" w:after="80"/>
      </w:pPr>
      <w:r>
        <w:t xml:space="preserve"/>
      </w:r>
    </w:p>
    <w:p>
      <w:pPr>
        <w:jc w:val="center"/>
      </w:pPr>
      <w:r>
        <w:rPr>
          <w:rFonts w:ascii="Arial" w:cs="Arial" w:eastAsia="Arial" w:hAnsi="Arial"/>
          <w:i/>
          <w:iCs/>
          <w:color w:val="777777"/>
          <w:sz w:val="20"/>
          <w:szCs w:val="20"/>
        </w:rPr>
        <w:t xml:space="preserve">Report prepared by the Quality Control &amp; Production Team, Weaving Division</w:t>
      </w:r>
    </w:p>
    <w:p>
      <w:pPr>
        <w:jc w:val="center"/>
      </w:pPr>
      <w:r>
        <w:rPr>
          <w:rFonts w:ascii="Arial" w:cs="Arial" w:eastAsia="Arial" w:hAnsi="Arial"/>
          <w:i/>
          <w:iCs/>
          <w:color w:val="777777"/>
          <w:sz w:val="20"/>
          <w:szCs w:val="20"/>
        </w:rPr>
        <w:t xml:space="preserve">Delta Fabrics Ltd., Gazipur, Bangladesh | March 2026</w:t>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sz w:val="32"/>
      <w:szCs w:val="32"/>
    </w:rPr>
  </w:style>
  <w:style w:type="paragraph" w:styleId="Heading2">
    <w:name w:val="Heading 2"/>
    <w:basedOn w:val="Normal"/>
    <w:next w:val="Normal"/>
    <w:qFormat/>
    <w:pPr>
      <w:spacing w:before="200" w:after="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2026-03-01T05:11:16.782Z</dcterms:created>
  <dcterms:modified xsi:type="dcterms:W3CDTF">2026-03-01T05:11:16.783Z</dcterms:modified>
</cp:coreProperties>
</file>

<file path=docProps/custom.xml><?xml version="1.0" encoding="utf-8"?>
<Properties xmlns="http://schemas.openxmlformats.org/officeDocument/2006/custom-properties" xmlns:vt="http://schemas.openxmlformats.org/officeDocument/2006/docPropsVTypes"/>
</file>