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3A6B"/>
          <w:sz w:val="44"/>
          <w:szCs w:val="44"/>
        </w:rPr>
        <w:t xml:space="preserve">TENDER SUMMARY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Master Template &amp; Standing Instructions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Self-contained working document — no separate prompt file required.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Paste or upload this whole document, together with the tender files, to any AI assistant and ask it to produce the Tender Summary.</w:t>
      </w:r>
    </w:p>
    <w:tbl>
      <w:tblPr>
        <w:tblW w:type="dxa" w:w="9350"/>
        <w:tblBorders>
          <w:top w:val="single" w:color="173A6B" w:sz="4"/>
          <w:left w:val="single" w:color="173A6B" w:sz="4"/>
          <w:bottom w:val="single" w:color="173A6B" w:sz="4"/>
          <w:right w:val="single" w:color="173A6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350"/>
            <w:shd w:fill="E9EBE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A6B"/>
                <w:sz w:val="20"/>
                <w:szCs w:val="20"/>
              </w:rPr>
              <w:t xml:space="preserve">HOW TO USE THIS DOCUMENT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Give the AI this entire file plus all tender documents. Part 1 is the content rules. Part 2 is the exact visual design specification. Part 3 is the fillable template, section by section. Part 4 is a complete worked example — a fictional tender formatted exactly as every real one must be, footer included — use it as the literal visual pattern to copy. The AI fills Part 3's structure with tender-supported content, styled and laid out exactly as Part 4 demonstrates, deletes any section that doesn't apply, then presents the finished summary. This instruction page, Parts 1–3's italic notes, and Part 4's fictional content are all working guidance — none of it should appear in the delivered summary.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3A6B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73A6B"/>
          <w:sz w:val="26"/>
          <w:szCs w:val="26"/>
        </w:rPr>
        <w:t xml:space="preserve">PART 1 — RULES FOR THE AI (read before drafting)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1.1 Purpose of This Document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 a simple, concise, informative Tender Summary in Word format for senior management. It gives a senior person a quick understanding of the tender and what they need to decide whether the tender deserves further consideration.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NOT the full tender analysis — do not overload it with unnecessary detail.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 length: approximately 2–5 pages, depending on the size and complexity of the tender.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1.2 Step 1 — Check Software / IT Relevance First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preparing anything else, determine whether the tender relates to: Software, IT, ICT, digital systems, information systems, data, technology, software development, system implementation, IT operation/maintenance, or technology infrastructure.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Classify the tender as one of: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SOFTWARE / IT RELATED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PARTIALLY SOFTWARE / IT RELATED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 SOFTWARE / IT RELATED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UNCLEAR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assume a tender is software-related. It only qualifies when it contains a meaningful software, IT, ICT, digital, data, information-system, or technology component. If it is not software-related, state that clearly in the summary.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1.3 Do Not Assume Anything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only information supported by the tender documents. Never assume: technology stack, programming language, framework, database, cloud platform, architecture, software tools, eligibility, JV requirement, local partner requirement, budget, experience requirement, certification, team requirement, evaluation method, contract duration, or submission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information is not found, write exactly: “Not specified in the tender documents.”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information cannot be determined, write exactly: “Cannot be determined from the available documents.”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1.4 Technology Rule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assume a technology stack. If the tender explicitly names a technology, include exactly that.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Tender says “Oracle Database” → write “Oracle Database.”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Tender says “Web-based application” → write “Web-based application.” Do NOT expand this into a specific stack (e.g. “React + FastAPI + PostgreSQL + AWS”) unless the tender says 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 technology is mentioned: “Technology: Not specified in the tender documents.”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provide technology recommendations in this summary unless specifically asked.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1.5 JV / Consortium Rule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Only report what the tender itself says about JV, consortium, subcontracting, lead member, or local partner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Example: “JV participation: Permitted subject to the TDS requirements.”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Example: “JV: Not specified in the tender documents.”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Example: “JV: Not permitted according to the tender.”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 NOT say “we need a JV,” “we should form a JV,” “JV is recommended,” or “we need a partner because we are not eligible.” The bid-alone / JV / consortium / subcontract decision is made separately by management — this summary only reports the tender's stated position.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1.6 Writing Style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Simple, professional English — understandable to a senior manager who has not read the tender.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Short paragraphs, bullet points, compact tables, clear headings.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Bold important numbers and dates where appropriate.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Avoid: long explanations, academic language, excessive technical terminology, repeating the tender text, large quotations, unnecessary analysis.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Tone: professional · concise · informative · decision-oriented.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1.7 Source Accuracy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against the tender documents, especially: Tender ID, reference number, deadline, tender security, contract duration, eligibility, experience, turnover, financial requirement, JV rules, technology requirements, personnel, and submission documents.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different tender documents state different information, do not silently pick one — mention the conflict and identify which documents disagree.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1.8 Information Priority Order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deciding what to include, prioritize in this order. Do not include low-value information simply to make the document longer.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Tender relevance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the client wants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Software/technology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Eligibility/qualification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JV/consortium position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Commercial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Required personnel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Required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Important 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Major risks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Management decision points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1.9 Section Relevance — Remove What Doesn't Apply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 2 below contains every possible section. For each actual tender, keep only the sections that apply and delete the rest — do not leave empty or “not applicable” sections in the final summary just to preserve the template's shape. For example: omit Hardware Requirements entirely if no equipment is involved; omit CV/Personnel Requirements if the tender has no named-personnel requirement.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1.10 Final Quality Check (before delivering)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Software/IT relevance was checked first, and not assumed.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 idea is clear and short.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Commercial and technical requirements included are the important ones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technology stack was assumed; only explicitly mentioned technologies are listed.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Eligibility and JV information both come directly from the tender.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JV strategy or bid/no-bid decision was made on management's behalf.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Required documents, personnel, and hardware reflect only what the tender actually asks for.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Dates are accurate and the submission deadline is clearly visible.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Only 3–6 key risks are listed, each labeled as Tender Requirement or Analyst Observation.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Missing information is clearly marked, not invented.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Irrelevant Part 2 sections have been removed.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document reads like a practical internal briefing, not a full analysis report.</w:t>
      </w:r>
    </w:p>
    <w:p>
      <w:r>
        <w:br w:type="page"/>
      </w:r>
    </w:p>
    <w:p>
      <w:pPr>
        <w:pStyle w:val="Heading1"/>
        <w:pBdr>
          <w:bottom w:val="single" w:color="173A6B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73A6B"/>
          <w:sz w:val="26"/>
          <w:szCs w:val="26"/>
        </w:rPr>
        <w:t xml:space="preserve">PART 2 — DOCUMENT DESIGN SPECIFICATION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This design matches the Tender ID 1319455 reference document exactly. Apply it precisely — do not substitute Word's default theme fonts/colors for individual runs, and do not reintroduce a different palette. If the output medium cannot reproduce a color or font, say so rather than silently using something else. The goal: every Tender Summary looks identical regardless of which AI or tool generates it.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2.1 Page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size: US Letter, 8.5″ × 11″ (216 × 279 mm).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Margins: 0.55″ top and bottom; 0.65″ left and 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 font for the entire document: Calibri — title, headings, body, tables, and footer all use Calibri.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Title and subtitle are centered. All other headings, body text, and table content are left-aligned.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page carries a centered footer, 8 pt Calibri regular black: “Tender Summary | Tender ID [Tender ID]” — pull the ID from Basic Information.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2.2 Color Palette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these exact hex values — no substitutions.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50"/>
        <w:gridCol w:w="1400"/>
        <w:gridCol w:w="5000"/>
      </w:tblGrid>
      <w:tr>
        <w:trPr>
          <w:tblHeader/>
        </w:trPr>
        <w:tc>
          <w:tcPr>
            <w:tcW w:type="dxa" w:w="90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205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500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W w:type="dxa" w:w="900"/>
            <w:tcBorders>
              <w:top w:val="single" w:color="9AA0AC" w:sz="4"/>
              <w:left w:val="single" w:color="9AA0AC" w:sz="4"/>
              <w:bottom w:val="single" w:color="9AA0AC" w:sz="4"/>
              <w:right w:val="single" w:color="9AA0AC" w:sz="4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Heading Blue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#365F91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Section-level headings: Basic Information, Requirements, Key Eligibility/Qualification, JV/Consortium, Documents Required, CV/Personnel Requirements, Hardware Requirements, Important Dates, Key Risks/Important Points, Important for Management</w:t>
            </w:r>
          </w:p>
        </w:tc>
      </w:tr>
      <w:tr>
        <w:tc>
          <w:tcPr>
            <w:tcW w:type="dxa" w:w="900"/>
            <w:tcBorders>
              <w:top w:val="single" w:color="9AA0AC" w:sz="4"/>
              <w:left w:val="single" w:color="9AA0AC" w:sz="4"/>
              <w:bottom w:val="single" w:color="9AA0AC" w:sz="4"/>
              <w:right w:val="single" w:color="9AA0AC" w:sz="4"/>
            </w:tcBorders>
            <w:shd w:fill="4F81B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Sub-heading Blue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#4F81BD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Sub-headings nested under Requirements: Main Idea, Commercial Requirements, Technical Requirements, Software/Technology Mentioned, Operational/Service Requirements</w:t>
            </w:r>
          </w:p>
        </w:tc>
      </w:tr>
      <w:tr>
        <w:tc>
          <w:tcPr>
            <w:tcW w:type="dxa" w:w="900"/>
            <w:tcBorders>
              <w:top w:val="single" w:color="9AA0AC" w:sz="4"/>
              <w:left w:val="single" w:color="9AA0AC" w:sz="4"/>
              <w:bottom w:val="single" w:color="9AA0AC" w:sz="4"/>
              <w:right w:val="single" w:color="9AA0AC" w:sz="4"/>
            </w:tcBorders>
            <w:shd w:fill="EA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Table Label Fill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#EAF2F8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 Information table — label (left) column only</w:t>
            </w:r>
          </w:p>
        </w:tc>
      </w:tr>
      <w:tr>
        <w:tc>
          <w:tcPr>
            <w:tcW w:type="dxa" w:w="900"/>
            <w:tcBorders>
              <w:top w:val="single" w:color="9AA0AC" w:sz="4"/>
              <w:left w:val="single" w:color="9AA0AC" w:sz="4"/>
              <w:bottom w:val="single" w:color="9AA0AC" w:sz="4"/>
              <w:right w:val="single" w:color="9AA0AC" w:sz="4"/>
            </w:tcBorders>
            <w:shd w:fill="D9EA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Table Header Fill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#D9EAF7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Header row of every other data table (Hardware Requirements, CV/Personnel Requirements)</w:t>
            </w:r>
          </w:p>
        </w:tc>
      </w:tr>
      <w:tr>
        <w:tc>
          <w:tcPr>
            <w:tcW w:type="dxa" w:w="900"/>
            <w:tcBorders>
              <w:top w:val="single" w:color="9AA0AC" w:sz="4"/>
              <w:left w:val="single" w:color="9AA0AC" w:sz="4"/>
              <w:bottom w:val="single" w:color="9AA0AC" w:sz="4"/>
              <w:right w:val="single" w:color="9AA0AC" w:sz="4"/>
            </w:tcBorders>
            <w:shd w:fill="0000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Body / Table Black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Title, subtitle, body paragraphs, bullets, all table cell text, footer text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2.3 Typography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text element maps to exactly one of the styles below. All are Calibri.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00"/>
        <w:gridCol w:w="1750"/>
        <w:gridCol w:w="1750"/>
        <w:gridCol w:w="2400"/>
      </w:tblGrid>
      <w:tr>
        <w:trPr>
          <w:tblHeader/>
        </w:trPr>
        <w:tc>
          <w:tcPr>
            <w:tcW w:type="dxa" w:w="245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00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75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 / Style</w:t>
            </w:r>
          </w:p>
        </w:tc>
        <w:tc>
          <w:tcPr>
            <w:tcW w:type="dxa" w:w="175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240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Align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Document title (“TENDER SUMMARY”)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18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Bold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Center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Subtitle (“Tender ID [ID] | [Title]”)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Bold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Center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heading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12.5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Bold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#365F91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Sub-heading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10.5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Bold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#4F81BD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Body paragraph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8.5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Regular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Bulleted list item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8.5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Regular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 Info — field label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8.5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Bold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Left, v-centered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 Info — field value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8.5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Regular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Left, v-centered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Data table — header cell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8.5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Bold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Left, v-centered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Data table — body cell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8.5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Regular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Left, v-centered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Footer text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 pt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Regular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#000000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Center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2.4 Spacing &amp;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50"/>
      </w:tblGrid>
      <w:tr>
        <w:trPr>
          <w:tblHeader/>
        </w:trPr>
        <w:tc>
          <w:tcPr>
            <w:tcW w:type="dxa" w:w="250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50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 Before</w:t>
            </w:r>
          </w:p>
        </w:tc>
        <w:tc>
          <w:tcPr>
            <w:tcW w:type="dxa" w:w="150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 After</w:t>
            </w:r>
          </w:p>
        </w:tc>
        <w:tc>
          <w:tcPr>
            <w:tcW w:type="dxa" w:w="3850"/>
            <w:shd w:fill="17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heading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 pt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 pt</w:t>
            </w:r>
          </w:p>
        </w:tc>
        <w:tc>
          <w:tcPr>
            <w:tcW w:type="dxa" w:w="3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border, no shading behind the text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Sub-heading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 pt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 pt</w:t>
            </w:r>
          </w:p>
        </w:tc>
        <w:tc>
          <w:tcPr>
            <w:tcW w:type="dxa" w:w="3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border, no shading behind the text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Title / subtitle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</w:t>
            </w:r>
          </w:p>
        </w:tc>
        <w:tc>
          <w:tcPr>
            <w:tcW w:type="dxa" w:w="3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bottom border under either line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Body paragraph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 pt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 pt</w:t>
            </w:r>
          </w:p>
        </w:tc>
        <w:tc>
          <w:tcPr>
            <w:tcW w:type="dxa" w:w="3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Bulleted item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 pt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Standard hanging indent, contextual spacing (no extra gap between consecutive bullets)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Basic Info table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Spans full text width (7.2″); two equal columns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Data tables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Spans full text width; columns equal unless content clearly needs otherwise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2.5 Table Styling — Two Conventions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A) Basic Information (always 2 columns):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Label column: fill #EAF2F8, bold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Value column: no fill (white), regular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0.5 pt black grid borders on every cell; content vertically centered.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B) Any other data table — Hardware Requirements, CV/Personnel Requirements (3+ columns):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Header row only: fill #D9EAF7, bold text, across every column.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Body rows: no fill (white), regular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0.5 pt black grid borders on every cell; content vertically centered.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shade an entire table, and never use the Basic Information label-column fill (#EAF2F8) on a data table header — the two fills are not interchangeable.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5395"/>
          <w:sz w:val="23"/>
          <w:szCs w:val="23"/>
        </w:rPr>
        <w:t xml:space="preserve">2.6 Component Reference Summary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Quick-reference mapping so any AI can classify each new piece of content it writes into the correct style bucket before placing it in Part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title and subtitle at the very top → centered title/subtitle style; nothing else in the document is centered.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top-level named section (e.g. “Basic Information,” “Key Risks”) → Section heading style, #365F91.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sub-section nested under Requirements (e.g. “Main Idea”) → Sub-heading style, #4F81BD.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sentence of guidance that should NOT appear in the final delivered summary → Instruction/guidance style (as used in this master document), and must be deleted before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sentence that IS part of the actual summary content → Body or Bulleted style — never Instruction style.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Basic Information fields → the 2-column label/value table (2.5-A), never plain “Label: value”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Grouped, multi-attribute data (hardware, personnel) → the header-row data table (2.5-B).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Last line of every page → the footer, exactly as specified in 2.1.</w:t>
      </w:r>
    </w:p>
    <w:p>
      <w:r>
        <w:br w:type="page"/>
      </w:r>
    </w:p>
    <w:p>
      <w:pPr>
        <w:pStyle w:val="Heading1"/>
        <w:pBdr>
          <w:bottom w:val="single" w:color="173A6B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73A6B"/>
          <w:sz w:val="26"/>
          <w:szCs w:val="26"/>
        </w:rPr>
        <w:t xml:space="preserve">PART 3 — TENDER SUMMARY TEMPLATE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Fill every field below using only tender-supported information, styled exactly per Part 2. Delete any section (including its heading) that does not apply to this tender. Remove this italic guidance text — and every other instruction note in this Part — from the final delivered summary. Everything below in Calibri/black/blue is the live design the delivered document should match.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Start every summary with the centered title and subtitle exactly as shown, then go straight into Basic Information — no other line between the subtitle and the table.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TENDER SUMMARY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Tender ID [ID] | [Short Tender Title]</w:t>
      </w: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Basic Information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40"/>
        <w:gridCol w:w="5040"/>
      </w:tblGrid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Country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Tender Title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Reference No.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Tender ID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Client / Organization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Portal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Published Date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Last Date (Submission Deadline)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Submission Time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[fill in, or: Not specified in the tender documents]</w:t>
            </w:r>
          </w:p>
        </w:tc>
      </w:tr>
    </w:tbl>
    <w:p>
      <w:pPr>
        <w:spacing w:after="16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Requirements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Main Idea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Short paragraph: what the tender is about, what the client wants, what the contractor/consultant will mainly do, and the main software/IT component if applicable. Do not copy large portions of the tender.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[2–4 sentence summary]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Commercial Requirements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Include only decision-relevant commercial items: tender security, tender security deadline, tender document price, contract value/budget if stated, contract/service period, payment terms if important, performance security if important, other major commercial conditions.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Tender security: [value]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Contract/service period: [value]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Tender document price: [value]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Submission deadline: [value]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Technical Requirements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Summarize the major requirements only — what the bidder actually has to provide or operate. Do not list every minor clause and do not invent requirements.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[e.g. Web-based information management system]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[e.g. Database development/management]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[e.g. API integration]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Software / Technology Mentioned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List only technologies explicitly named in the tender (e.g. Oracle Database, RFID, GIS, Linux, Microsoft SQL Server). If none is stated, write: “Software / Technology: Not specifically stated in the tender documents.” Do not recommend a stack here.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[technology as explicitly stated]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Operational / Service Requirements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Only include operational responsibilities that actually appear in the tender (e.g. operation and maintenance, user support, training, data management, hardware maintenance, field support, monitoring, reporting, security operations).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[operational requirement]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Key Eligibility / Qualification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Describe the TENDER'S stated requirement only — do not assume our firm is eligible or ineligible. A separate bidder-specific assessment belongs in the full analysis, not here.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General experience: [minimum X years / Not specified]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Similar experience: [X similar projects / Not specified]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Similar project value: [minimum value / Not specified]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Average annual turnover: [minimum value / Not specified]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Financial resources: [minimum value / Not specified]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Required certification: [certification / Not specified]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Local presence: [requirement / Not specified]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JV / Consortium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State only the tender's own position (see Rule 1.5). Do not make or imply a bid-alone/JV/consortium decision.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JV participation: [Permitted / Not permitted / Not specified in the tender documents]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Lead member requirement: [if stated]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Member qualification / experience combination rules: [if stated]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Local partner requirement: [if stated]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JV agreement requirement: [if stated]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Documents Required in Submission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List only documents this tender actually requires — not a generic checklist.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[e.g. Tender/contract forms]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[e.g. Company registration documents]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[e.g. Financial statements]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[e.g. Technical proposal/methodology]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[e.g. Financial proposal]</w:t>
      </w:r>
    </w:p>
    <w:p>
      <w:pPr>
        <w:spacing w:after="16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CV / Personnel Requirements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Include only if the tender specifies named-personnel requirements. Keep the table compact; omit this whole section if not applicable.</w:t>
      </w:r>
    </w:p>
    <w:tbl>
      <w:tblPr>
        <w:tblW w:type="dxa" w:w="93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2450"/>
        <w:gridCol w:w="3200"/>
        <w:gridCol w:w="2400"/>
        <w:gridCol w:w="618"/>
      </w:tblGrid>
      <w:tr>
        <w:trPr>
          <w:tblHeader/>
        </w:trPr>
        <w:tc>
          <w:tcPr>
            <w:tcW w:type="dxa" w:w="7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245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Position</w:t>
            </w:r>
          </w:p>
        </w:tc>
        <w:tc>
          <w:tcPr>
            <w:tcW w:type="dxa" w:w="32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Minimum Qualification</w:t>
            </w:r>
          </w:p>
        </w:tc>
        <w:tc>
          <w:tcPr>
            <w:tcW w:type="dxa" w:w="24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Required Experience</w:t>
            </w:r>
          </w:p>
        </w:tc>
        <w:tc>
          <w:tcPr>
            <w:tcW w:type="dxa" w:w="618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Qty.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Hardware Requirements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Include this section only when equipment/hardware is an actual, material part of the tender (e.g. server, RFID reader, POS, CCTV, network equipment, sensors). Otherwise delete this section.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3900"/>
        <w:gridCol w:w="5480"/>
      </w:tblGrid>
      <w:tr>
        <w:trPr>
          <w:tblHeader/>
        </w:trPr>
        <w:tc>
          <w:tcPr>
            <w:tcW w:type="dxa" w:w="7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39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Hardware / Equipment</w:t>
            </w:r>
          </w:p>
        </w:tc>
        <w:tc>
          <w:tcPr>
            <w:tcW w:type="dxa" w:w="548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Important Dates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Include only the dates that matter. Make the final submission deadline clearly visible (bold).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Clarification deadline: [date]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Submission deadline: [date — bold in final output]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Opening date/time: [date]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Contract start date: [date]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Key Risks / Important Points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Only the 3–6 points senior management most needs to know. Label each clearly as “Tender Requirement” (a fact stated in the tender) or “Analyst Observation” (your own note) — never present an observation as if it were a stated requirement.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[Tender Requirement / Analyst Observation]: [point]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Important for Management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3–6 bullets covering: relevance to our business, main opportunity, biggest eligibility/qualification requirement, biggest technical requirement, biggest commercial concern, the deadline, and any clarification that may be needed. Do NOT include a Bid/No-Bid recommendation unless specifically asked — if one is requested, base it only on available evidence and clearly flag any missing bidder-specific information.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[management point]</w:t>
      </w:r>
    </w:p>
    <w:p>
      <w:pPr>
        <w:spacing w:after="160"/>
      </w:pP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Footer reminder: every page of the delivered document carries a centered footer — “Tender Summary | Tender ID [ID]” — 8 pt Calibri, per section 2.1. See Part 4, next, for this footer actually rendered live.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73A6B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73A6B"/>
          <w:sz w:val="26"/>
          <w:szCs w:val="26"/>
        </w:rPr>
        <w:t xml:space="preserve">PART 4 — REFERENCE EXAMPLE (clone this exactly)</w:t>
      </w:r>
    </w:p>
    <w:p>
      <w:pPr>
        <w:pBdr>
          <w:left w:val="single" w:color="BFC5D2" w:sz="12" w:space="8"/>
        </w:pBdr>
        <w:spacing w:after="160"/>
        <w:ind w:left="260"/>
      </w:pP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This is a complete worked example using a fictional tender — not a real opportunity. It exists purely so the exact design can be pattern-matched: fonts, colors, sizes, spacing, table styling, and the live footer on this page. For every new Tender Summary, replicate this structure and styling exactly; only the words and data change. It intentionally includes every optional section (even ones a real tender might not need, like Hardware Requirements) so each one's styling is demonstrated once — for a real tender, still delete whatever doesn't apply, per Rule 1.9.</w:t>
      </w:r>
    </w:p>
    <w:p>
      <w:pPr>
        <w:spacing w:after="1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TENDER SUMMARY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Tender ID 9999999 | Sample LMS Software Tender</w:t>
      </w: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Basic Information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040"/>
        <w:gridCol w:w="5040"/>
      </w:tblGrid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Country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Bangladesh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Digital Skills Training Program (Sample)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Tender Title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Supply, Installation and Commissioning of a Learning Management System (LMS)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Reference No.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SAMPLE/LMS/2026-2027/GR/01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Tender ID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9999999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Client / Organization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National Training Institute (Sample)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Portal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Bangladesh e-GP System — Open Tendering Method (OTM)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Published Date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01-Jan-2026, 10:00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Last Date (Submission Deadline)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20-Jan-2026, 13:00</w:t>
            </w:r>
          </w:p>
        </w:tc>
      </w:tr>
      <w:tr>
        <w:tc>
          <w:tcPr>
            <w:tcW w:type="dxa" w:w="5040"/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Submission Time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7"/>
                <w:szCs w:val="17"/>
              </w:rPr>
              <w:t xml:space="preserve">13:00</w:t>
            </w:r>
          </w:p>
        </w:tc>
      </w:tr>
    </w:tbl>
    <w:p>
      <w:pPr>
        <w:spacing w:after="16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Requirements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Main Idea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Supply, installation and commissioning of a cloud-hosted Learning Management System for a public training institute, covering course authoring, learner enrolment, assessment, certification and reporting for up to 5,000 concurrent learners. The contract includes 1 year of post-go-live technical support.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Commercial Requirements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Tender security: BDT 1,00,000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Contract/service period: 2 years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Tender document price: BDT 2,000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Submission deadline: 20-Jan-2026, 13:00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Technical Requirements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Course authoring and content management module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Learner enrolment and progress tracking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Online assessment and auto-grading engine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Certificate generation and verification portal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Software / Technology Mentioned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SCORM 1.2 / SCORM 2004 compliance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Hosting platform: Not specified in the tender documents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4F81BD"/>
          <w:sz w:val="21"/>
          <w:szCs w:val="21"/>
        </w:rPr>
        <w:t xml:space="preserve">Operational / Service Requirements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1 year of post-go-live technical support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User training for institute staff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Data backup and recovery procedures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Key Eligibility / Qualification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General experience: minimum 3 years supply of similar Goods/services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Similar experience: at least 1 completed LMS implementation in the last 3 years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Average annual turnover: minimum BDT 50,00,000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Required certification: ISO 9001:2015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JV / Consortium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JV participation: Not specified in the tender documents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Subcontracting: Permitted for a portion of the Goods, per ITT Clause 15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Documents Required in Submission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Tender Submission Letter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Trade license and TIN/VAT certificates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Financial statements for the past 2 years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Technical proposal and compliance sheet</w:t>
      </w:r>
    </w:p>
    <w:p>
      <w:pPr>
        <w:spacing w:after="16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CV / Personnel Requirements</w:t>
      </w:r>
    </w:p>
    <w:tbl>
      <w:tblPr>
        <w:tblW w:type="dxa" w:w="936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2450"/>
        <w:gridCol w:w="3200"/>
        <w:gridCol w:w="2400"/>
        <w:gridCol w:w="618"/>
      </w:tblGrid>
      <w:tr>
        <w:trPr>
          <w:tblHeader/>
        </w:trPr>
        <w:tc>
          <w:tcPr>
            <w:tcW w:type="dxa" w:w="7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245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Position</w:t>
            </w:r>
          </w:p>
        </w:tc>
        <w:tc>
          <w:tcPr>
            <w:tcW w:type="dxa" w:w="32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Minimum Qualification</w:t>
            </w:r>
          </w:p>
        </w:tc>
        <w:tc>
          <w:tcPr>
            <w:tcW w:type="dxa" w:w="24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Required Experience</w:t>
            </w:r>
          </w:p>
        </w:tc>
        <w:tc>
          <w:tcPr>
            <w:tcW w:type="dxa" w:w="618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Qty.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System Administrator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Engineering degree, minimum 3 years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 years in LMS implementation</w:t>
            </w:r>
          </w:p>
        </w:tc>
        <w:tc>
          <w:tcPr>
            <w:tcW w:type="dxa" w:w="6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Trainer / Support Specialist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Bachelor's degree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 years end-user training</w:t>
            </w:r>
          </w:p>
        </w:tc>
        <w:tc>
          <w:tcPr>
            <w:tcW w:type="dxa" w:w="6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Hardware Requirements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3900"/>
        <w:gridCol w:w="5480"/>
      </w:tblGrid>
      <w:tr>
        <w:trPr>
          <w:tblHeader/>
        </w:trPr>
        <w:tc>
          <w:tcPr>
            <w:tcW w:type="dxa" w:w="7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No.</w:t>
            </w:r>
          </w:p>
        </w:tc>
        <w:tc>
          <w:tcPr>
            <w:tcW w:type="dxa" w:w="390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Hardware / Equipment</w:t>
            </w:r>
          </w:p>
        </w:tc>
        <w:tc>
          <w:tcPr>
            <w:tcW w:type="dxa" w:w="5480"/>
            <w:shd w:fill="D9E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Application Server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Hosting the LMS platform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Backup Storage Unit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Data backup and recovery</w:t>
            </w:r>
          </w:p>
        </w:tc>
      </w:tr>
    </w:tbl>
    <w:p>
      <w:pPr>
        <w:spacing w:after="16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Important Dates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Clarification deadline: 10-Jan-2026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Submission deadline: 20-Jan-2026, 13:00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Opening date/time: 20-Jan-2026, 13:15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Contract start date: 01-Feb-2026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Key Risks / Important Points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[Tender Requirement] SCORM 1.2/2004 compliance is mandatory — a platform that cannot demonstrate this cannot be evaluated.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[Analyst Observation] The submission window is under 3 weeks from publication, which is tight for assembling the full compliance document set.</w:t>
      </w:r>
    </w:p>
    <w:p>
      <w:pPr>
        <w:spacing w:after="100"/>
      </w:pPr>
    </w:p>
    <w:p>
      <w:pPr>
        <w:spacing w:after="0" w:before="480"/>
      </w:pPr>
      <w:r>
        <w:rPr>
          <w:rFonts w:ascii="Calibri" w:cs="Calibri" w:eastAsia="Calibri" w:hAnsi="Calibri"/>
          <w:b/>
          <w:bCs/>
          <w:color w:val="365F91"/>
          <w:sz w:val="25"/>
          <w:szCs w:val="25"/>
        </w:rPr>
        <w:t xml:space="preserve">Important for Management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Relevance: strong LMS/software fit for our firm's offerings.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Main opportunity: a 5,000-seat LMS with a 2-year service period.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Biggest eligibility gap to verify: a qualifying prior LMS reference implementation.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Deadline: 20-Jan-2026, 13:00.</w:t>
      </w:r>
    </w:p>
    <w:sectPr>
      <w:footerReference w:type="default" r:id="rId7"/>
      <w:type w:val="nextPage"/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6"/>
        <w:szCs w:val="16"/>
      </w:rPr>
      <w:t xml:space="preserve">Tender Summary | Tender ID 9999999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2026-08-23T07:00:14.743Z</dcterms:created>
  <dcterms:modified xsi:type="dcterms:W3CDTF">2026-08-23T07:00:14.753Z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