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
        <w:rPr>
          <w:rFonts w:hint="eastAsia"/>
        </w:rPr>
        <w:t>緒言</w:t>
      </w:r>
    </w:p>
    <w:p w14:paraId="53DC07B8" w14:textId="77777777" w:rsidR="00D32620" w:rsidRDefault="00D32620" w:rsidP="00D32620">
      <w:pPr>
        <w:ind w:firstLineChars="100" w:firstLine="210"/>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hint="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2CB10C0F" w14:textId="77777777" w:rsidR="00D32620" w:rsidRPr="00A8360C" w:rsidRDefault="00D32620" w:rsidP="00D32620">
      <w:pPr>
        <w:ind w:firstLineChars="100" w:firstLine="210"/>
        <w:jc w:val="left"/>
        <w:rPr>
          <w:rFonts w:asciiTheme="minorEastAsia" w:hAnsiTheme="minorEastAsia" w:hint="eastAsia"/>
          <w:szCs w:val="21"/>
        </w:rPr>
      </w:pP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pPr>
        <w:rPr>
          <w:rFonts w:hint="eastAsia"/>
        </w:rPr>
      </w:pPr>
    </w:p>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4A71D7"/>
    <w:rsid w:val="00C90E13"/>
    <w:rsid w:val="00D32620"/>
    <w:rsid w:val="00D95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晃大</cp:lastModifiedBy>
  <cp:revision>1</cp:revision>
  <dcterms:created xsi:type="dcterms:W3CDTF">2023-02-01T05:55:00Z</dcterms:created>
  <dcterms:modified xsi:type="dcterms:W3CDTF">2023-02-01T05:55:00Z</dcterms:modified>
</cp:coreProperties>
</file>