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5C" w:rsidRPr="00C74D5C" w:rsidRDefault="00C74D5C" w:rsidP="00C74D5C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36"/>
          <w:szCs w:val="36"/>
        </w:rPr>
      </w:pPr>
      <w:proofErr w:type="spellStart"/>
      <w:r w:rsidRPr="00C74D5C">
        <w:rPr>
          <w:rFonts w:ascii="Tahoma" w:eastAsia="Times New Roman" w:hAnsi="Tahoma" w:cs="Tahoma"/>
          <w:b/>
          <w:bCs/>
          <w:sz w:val="36"/>
          <w:szCs w:val="36"/>
        </w:rPr>
        <w:t>Soxhlet</w:t>
      </w:r>
      <w:proofErr w:type="spellEnd"/>
      <w:r w:rsidRPr="00C74D5C">
        <w:rPr>
          <w:rFonts w:ascii="Tahoma" w:eastAsia="Times New Roman" w:hAnsi="Tahoma" w:cs="Tahoma"/>
          <w:b/>
          <w:bCs/>
          <w:sz w:val="36"/>
          <w:szCs w:val="36"/>
        </w:rPr>
        <w:t xml:space="preserve"> extraction</w:t>
      </w:r>
    </w:p>
    <w:p w:rsidR="00C74D5C" w:rsidRPr="00C74D5C" w:rsidRDefault="00C74D5C" w:rsidP="00C74D5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t>In this method, the sample is extracted many times with a non-polar solvent such as hexane or petroleum ether (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soxhlet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system, figure 4). Thereafter, the solvent is evaporated and finally the extracted fat is weighed. With this method, most of the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triacylglycerol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fraction and the cholesterol in the meat are extracted, but only a fraction of the phospholipids and lipoproteins. With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diethylether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instead of hexane and petroleum ether, the yield from this method will be higher. </w:t>
      </w:r>
    </w:p>
    <w:p w:rsidR="00C74D5C" w:rsidRPr="00C74D5C" w:rsidRDefault="00C74D5C" w:rsidP="00C74D5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t xml:space="preserve">The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Soxhlet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Method can be performed in two different ways:</w:t>
      </w:r>
    </w:p>
    <w:p w:rsidR="00C74D5C" w:rsidRPr="00C74D5C" w:rsidRDefault="00C74D5C" w:rsidP="00C7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t xml:space="preserve">Without an acid hydrolysis.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Triacylglicerol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fraction is extracted.</w:t>
      </w:r>
    </w:p>
    <w:p w:rsidR="00C74D5C" w:rsidRPr="00C74D5C" w:rsidRDefault="00C74D5C" w:rsidP="00C74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t xml:space="preserve">With a previous acid hydrolysis. For that,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HCl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3N is added on the sample and the mixture is heated for 1 hour.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Triacylglicerol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and phospholipids are extracted, and total fat can be determined. </w:t>
      </w:r>
    </w:p>
    <w:p w:rsidR="00C74D5C" w:rsidRPr="00C74D5C" w:rsidRDefault="00C74D5C" w:rsidP="00C74D5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t xml:space="preserve">It is possible to compare these methods by multiplying the results obtained in the first methodology by 1.2 (Wood and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Enser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, 1989). </w:t>
      </w:r>
    </w:p>
    <w:p w:rsidR="00C74D5C" w:rsidRPr="00C74D5C" w:rsidRDefault="00C74D5C" w:rsidP="00C74D5C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noProof/>
          <w:sz w:val="24"/>
          <w:szCs w:val="24"/>
        </w:rPr>
        <w:drawing>
          <wp:inline distT="0" distB="0" distL="0" distR="0">
            <wp:extent cx="2476500" cy="3600450"/>
            <wp:effectExtent l="19050" t="0" r="0" b="0"/>
            <wp:docPr id="1" name="Picture 1" descr="Figure 4 Soxhlet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4 Soxhlet system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5C" w:rsidRPr="00C74D5C" w:rsidRDefault="00C74D5C" w:rsidP="00C74D5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t xml:space="preserve">Figure 4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Soxhlet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</w:t>
      </w:r>
      <w:proofErr w:type="gramStart"/>
      <w:r w:rsidRPr="00C74D5C">
        <w:rPr>
          <w:rFonts w:ascii="Tahoma" w:eastAsia="Times New Roman" w:hAnsi="Tahoma" w:cs="Tahoma"/>
          <w:sz w:val="24"/>
          <w:szCs w:val="24"/>
        </w:rPr>
        <w:t>system</w:t>
      </w:r>
      <w:proofErr w:type="gramEnd"/>
      <w:r w:rsidRPr="00C74D5C">
        <w:rPr>
          <w:rFonts w:ascii="Tahoma" w:eastAsia="Times New Roman" w:hAnsi="Tahoma" w:cs="Tahoma"/>
          <w:sz w:val="24"/>
          <w:szCs w:val="24"/>
        </w:rPr>
        <w:t>.</w:t>
      </w:r>
    </w:p>
    <w:p w:rsidR="00C74D5C" w:rsidRPr="00C74D5C" w:rsidRDefault="00C74D5C" w:rsidP="00C74D5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t xml:space="preserve">Different solvents are required depending on the lipid that we want to extract.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Tryglicerides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can be extracted with a solvent such as diethyl ether. However, a more polar solvent is required to extract total lipids (phospholipids and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tryglycerides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together).</w:t>
      </w:r>
    </w:p>
    <w:p w:rsidR="00C74D5C" w:rsidRPr="00C74D5C" w:rsidRDefault="00C74D5C" w:rsidP="00C74D5C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74D5C">
        <w:rPr>
          <w:rFonts w:ascii="Tahoma" w:eastAsia="Times New Roman" w:hAnsi="Tahoma" w:cs="Tahoma"/>
          <w:sz w:val="24"/>
          <w:szCs w:val="24"/>
        </w:rPr>
        <w:lastRenderedPageBreak/>
        <w:t xml:space="preserve">Table 1 Lipid (marbling fat) concentrations in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m.longissimus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and measures of eating quality in European studies comparing </w:t>
      </w:r>
      <w:proofErr w:type="spellStart"/>
      <w:r w:rsidRPr="00C74D5C">
        <w:rPr>
          <w:rFonts w:ascii="Tahoma" w:eastAsia="Times New Roman" w:hAnsi="Tahoma" w:cs="Tahoma"/>
          <w:sz w:val="24"/>
          <w:szCs w:val="24"/>
        </w:rPr>
        <w:t>Durocs</w:t>
      </w:r>
      <w:proofErr w:type="spellEnd"/>
      <w:r w:rsidRPr="00C74D5C">
        <w:rPr>
          <w:rFonts w:ascii="Tahoma" w:eastAsia="Times New Roman" w:hAnsi="Tahoma" w:cs="Tahoma"/>
          <w:sz w:val="24"/>
          <w:szCs w:val="24"/>
        </w:rPr>
        <w:t xml:space="preserve"> with other breeds as terminal sires (60-70 kg carcasses) (Modified from Wood, J.D., 1990).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3"/>
        <w:gridCol w:w="2549"/>
        <w:gridCol w:w="3014"/>
      </w:tblGrid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(method of analysis)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a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(method of analysis)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b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Denmark (Barton-</w:t>
            </w:r>
            <w:proofErr w:type="spellStart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Gade</w:t>
            </w:r>
            <w:proofErr w:type="spellEnd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, 1987)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  <w:vertAlign w:val="superscript"/>
              </w:rPr>
              <w:t>c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(method 2)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(Shear force measurements)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Large White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1.31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a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91.2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e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Duroc</w:t>
            </w:r>
            <w:proofErr w:type="spellEnd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1.73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d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82.6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d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Hampshire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1.31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e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78.2</w:t>
            </w: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d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Irelant</w:t>
            </w:r>
            <w:proofErr w:type="spellEnd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McGloughlin</w:t>
            </w:r>
            <w:proofErr w:type="spellEnd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  <w:r w:rsidRPr="00C74D5C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et al.,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1988)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  <w:vertAlign w:val="superscript"/>
              </w:rPr>
              <w:t>f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(Method 1)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(Taste panel scores)</w:t>
            </w:r>
          </w:p>
          <w:p w:rsidR="00C74D5C" w:rsidRPr="00C74D5C" w:rsidRDefault="00C74D5C" w:rsidP="00C74D5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J Fl T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Oa</w:t>
            </w:r>
            <w:proofErr w:type="spellEnd"/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Duroc</w:t>
            </w:r>
            <w:proofErr w:type="spellEnd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2.9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1.2 3.9 4.5 5.1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Large White/ Landrace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2.0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1.2 3.6 4.5 4.8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***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NS * NS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NS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UK (Edwards </w:t>
            </w:r>
            <w:r w:rsidRPr="00C74D5C">
              <w:rPr>
                <w:rFonts w:ascii="Tahoma" w:eastAsia="Times New Roman" w:hAnsi="Tahoma" w:cs="Tahoma"/>
                <w:b/>
                <w:bCs/>
                <w:i/>
                <w:iCs/>
                <w:sz w:val="24"/>
                <w:szCs w:val="24"/>
              </w:rPr>
              <w:t>et al.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, 1990)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  <w:vertAlign w:val="superscript"/>
              </w:rPr>
              <w:t>f</w:t>
            </w: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(Method 2)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(Taste panel scores)</w:t>
            </w:r>
          </w:p>
          <w:p w:rsidR="00C74D5C" w:rsidRPr="00C74D5C" w:rsidRDefault="00C74D5C" w:rsidP="00C74D5C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J Fl T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Oa</w:t>
            </w:r>
            <w:proofErr w:type="spellEnd"/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proofErr w:type="spellStart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Duroc</w:t>
            </w:r>
            <w:proofErr w:type="spellEnd"/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1.8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1.3 2.1 -0.3 1.0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Large White </w:t>
            </w: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1.4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1.3 2.0 0.0 1.1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19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1400" w:type="pct"/>
            <w:hideMark/>
          </w:tcPr>
          <w:p w:rsidR="00C74D5C" w:rsidRPr="00C74D5C" w:rsidRDefault="00C74D5C" w:rsidP="00C74D5C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*** </w:t>
            </w:r>
          </w:p>
        </w:tc>
        <w:tc>
          <w:tcPr>
            <w:tcW w:w="165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NS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NS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NS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NS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</w:tbl>
    <w:p w:rsidR="00C74D5C" w:rsidRPr="00C74D5C" w:rsidRDefault="00C74D5C" w:rsidP="00C74D5C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C74D5C" w:rsidRPr="00C74D5C" w:rsidTr="00C74D5C">
        <w:trPr>
          <w:tblCellSpacing w:w="15" w:type="dxa"/>
        </w:trPr>
        <w:tc>
          <w:tcPr>
            <w:tcW w:w="500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a</w:t>
            </w:r>
            <w:proofErr w:type="gram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Method 2 involves ether extraction alone; Method 1 also involves acid hydrolysis. Acid hydrolysis + ether extraction produces values approx. 1.2 x method of ether extraction alone.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500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b</w:t>
            </w:r>
            <w:proofErr w:type="gram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In Danish study, tenderness was measured objectively (as in Table 6). In Irish study, taste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panellists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used following scales: J, juiciness 0-4; Fl,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flavour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0-5; T, tenderness 0-7;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Oa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, overall acceptability 0-7. UK taste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panellists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scored Fl, T and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Oa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-7 to +7 and J 0 to 4.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500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proofErr w:type="gramStart"/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c,</w:t>
            </w:r>
            <w:proofErr w:type="gramEnd"/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d,e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Different </w:t>
            </w:r>
            <w:proofErr w:type="spellStart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>superscrips</w:t>
            </w:r>
            <w:proofErr w:type="spellEnd"/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within a column indicate significant differences (P is less than 0.05). </w:t>
            </w:r>
          </w:p>
        </w:tc>
      </w:tr>
      <w:tr w:rsidR="00C74D5C" w:rsidRPr="00C74D5C" w:rsidTr="00C74D5C">
        <w:trPr>
          <w:tblCellSpacing w:w="15" w:type="dxa"/>
        </w:trPr>
        <w:tc>
          <w:tcPr>
            <w:tcW w:w="5000" w:type="pct"/>
            <w:hideMark/>
          </w:tcPr>
          <w:p w:rsidR="00C74D5C" w:rsidRPr="00C74D5C" w:rsidRDefault="00C74D5C" w:rsidP="00C74D5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74D5C">
              <w:rPr>
                <w:rFonts w:ascii="Tahoma" w:eastAsia="Times New Roman" w:hAnsi="Tahoma" w:cs="Tahoma"/>
                <w:sz w:val="24"/>
                <w:szCs w:val="24"/>
                <w:vertAlign w:val="superscript"/>
              </w:rPr>
              <w:t>f</w:t>
            </w:r>
            <w:r w:rsidRPr="00C74D5C">
              <w:rPr>
                <w:rFonts w:ascii="Tahoma" w:eastAsia="Times New Roman" w:hAnsi="Tahoma" w:cs="Tahoma"/>
                <w:sz w:val="24"/>
                <w:szCs w:val="24"/>
              </w:rPr>
              <w:t xml:space="preserve"> * p is less than 0.05; *** p is less t</w:t>
            </w:r>
          </w:p>
        </w:tc>
      </w:tr>
    </w:tbl>
    <w:p w:rsidR="004549D6" w:rsidRDefault="004549D6"/>
    <w:sectPr w:rsidR="004549D6" w:rsidSect="0045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7090D"/>
    <w:multiLevelType w:val="multilevel"/>
    <w:tmpl w:val="409E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74D5C"/>
    <w:rsid w:val="000779A6"/>
    <w:rsid w:val="00154DF1"/>
    <w:rsid w:val="001C2C2E"/>
    <w:rsid w:val="00253A6B"/>
    <w:rsid w:val="003926C9"/>
    <w:rsid w:val="003C43C4"/>
    <w:rsid w:val="004549D6"/>
    <w:rsid w:val="00572758"/>
    <w:rsid w:val="00581F78"/>
    <w:rsid w:val="005A6A9D"/>
    <w:rsid w:val="005F6E69"/>
    <w:rsid w:val="00771132"/>
    <w:rsid w:val="00797899"/>
    <w:rsid w:val="00867DF8"/>
    <w:rsid w:val="00885110"/>
    <w:rsid w:val="00A205EF"/>
    <w:rsid w:val="00A33842"/>
    <w:rsid w:val="00B93ADC"/>
    <w:rsid w:val="00C17D4E"/>
    <w:rsid w:val="00C74D5C"/>
    <w:rsid w:val="00E864AD"/>
    <w:rsid w:val="00F4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D6"/>
  </w:style>
  <w:style w:type="paragraph" w:styleId="Heading2">
    <w:name w:val="heading 2"/>
    <w:basedOn w:val="Normal"/>
    <w:link w:val="Heading2Char"/>
    <w:uiPriority w:val="9"/>
    <w:qFormat/>
    <w:rsid w:val="00C74D5C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D5C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74D5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caption">
    <w:name w:val="caption"/>
    <w:basedOn w:val="Normal"/>
    <w:rsid w:val="00C74D5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D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MoZarD</cp:lastModifiedBy>
  <cp:revision>1</cp:revision>
  <dcterms:created xsi:type="dcterms:W3CDTF">2011-11-08T13:00:00Z</dcterms:created>
  <dcterms:modified xsi:type="dcterms:W3CDTF">2011-11-08T13:01:00Z</dcterms:modified>
</cp:coreProperties>
</file>