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5069" w:tblpY="1251"/>
        <w:tblW w:w="318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099"/>
      </w:tblGrid>
      <w:tr w:rsidR="004424F7" w:rsidRPr="00E6611D" w:rsidTr="004B0740">
        <w:trPr>
          <w:trHeight w:val="2096"/>
        </w:trPr>
        <w:tc>
          <w:tcPr>
            <w:tcW w:w="5000" w:type="pct"/>
          </w:tcPr>
          <w:p w:rsidR="00E6611D" w:rsidRDefault="004B0740" w:rsidP="004B0740">
            <w:pPr>
              <w:pStyle w:val="NoSpacing"/>
              <w:jc w:val="right"/>
              <w:rPr>
                <w:rFonts w:eastAsiaTheme="majorEastAsia" w:cstheme="majorBidi"/>
                <w:b/>
                <w:sz w:val="40"/>
                <w:szCs w:val="40"/>
              </w:rPr>
            </w:pPr>
            <w:r>
              <w:rPr>
                <w:rFonts w:eastAsiaTheme="majorEastAsia" w:cstheme="majorBidi"/>
                <w:b/>
                <w:noProof/>
                <w:sz w:val="40"/>
                <w:szCs w:val="40"/>
              </w:rPr>
              <w:drawing>
                <wp:anchor distT="0" distB="0" distL="114300" distR="114300" simplePos="0" relativeHeight="251658240" behindDoc="0" locked="0" layoutInCell="1" allowOverlap="1">
                  <wp:simplePos x="0" y="0"/>
                  <wp:positionH relativeFrom="column">
                    <wp:posOffset>35389</wp:posOffset>
                  </wp:positionH>
                  <wp:positionV relativeFrom="paragraph">
                    <wp:posOffset>-124157</wp:posOffset>
                  </wp:positionV>
                  <wp:extent cx="1550443" cy="1542197"/>
                  <wp:effectExtent l="19050" t="0" r="0" b="0"/>
                  <wp:wrapNone/>
                  <wp:docPr id="2" name="Picture 2" descr="K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UST LOGO"/>
                          <pic:cNvPicPr>
                            <a:picLocks noChangeAspect="1" noChangeArrowheads="1"/>
                          </pic:cNvPicPr>
                        </pic:nvPicPr>
                        <pic:blipFill>
                          <a:blip r:embed="rId7"/>
                          <a:srcRect/>
                          <a:stretch>
                            <a:fillRect/>
                          </a:stretch>
                        </pic:blipFill>
                        <pic:spPr bwMode="auto">
                          <a:xfrm>
                            <a:off x="0" y="0"/>
                            <a:ext cx="1550024" cy="1541780"/>
                          </a:xfrm>
                          <a:prstGeom prst="rect">
                            <a:avLst/>
                          </a:prstGeom>
                          <a:noFill/>
                          <a:ln w="9525">
                            <a:noFill/>
                            <a:miter lim="800000"/>
                            <a:headEnd/>
                            <a:tailEnd/>
                          </a:ln>
                        </pic:spPr>
                      </pic:pic>
                    </a:graphicData>
                  </a:graphic>
                </wp:anchor>
              </w:drawing>
            </w:r>
            <w:r w:rsidR="000349D1" w:rsidRPr="00E6611D">
              <w:rPr>
                <w:rFonts w:eastAsiaTheme="majorEastAsia" w:cstheme="majorBidi"/>
                <w:b/>
                <w:sz w:val="40"/>
                <w:szCs w:val="40"/>
              </w:rPr>
              <w:t>KWAME NKRUMAH                 UNIV</w:t>
            </w:r>
            <w:r w:rsidR="00E6611D">
              <w:rPr>
                <w:rFonts w:eastAsiaTheme="majorEastAsia" w:cstheme="majorBidi"/>
                <w:b/>
                <w:sz w:val="40"/>
                <w:szCs w:val="40"/>
              </w:rPr>
              <w:t>ERSITY  OF</w:t>
            </w:r>
          </w:p>
          <w:p w:rsidR="00E6611D" w:rsidRDefault="000349D1" w:rsidP="004B0740">
            <w:pPr>
              <w:pStyle w:val="NoSpacing"/>
              <w:jc w:val="right"/>
              <w:rPr>
                <w:rFonts w:eastAsiaTheme="majorEastAsia" w:cstheme="majorBidi"/>
                <w:b/>
                <w:sz w:val="40"/>
                <w:szCs w:val="40"/>
              </w:rPr>
            </w:pPr>
            <w:r w:rsidRPr="00E6611D">
              <w:rPr>
                <w:rFonts w:eastAsiaTheme="majorEastAsia" w:cstheme="majorBidi"/>
                <w:b/>
                <w:sz w:val="40"/>
                <w:szCs w:val="40"/>
              </w:rPr>
              <w:t xml:space="preserve">  SCIENCE AND</w:t>
            </w:r>
          </w:p>
          <w:p w:rsidR="000349D1" w:rsidRPr="00E6611D" w:rsidRDefault="000349D1" w:rsidP="004B0740">
            <w:pPr>
              <w:pStyle w:val="NoSpacing"/>
              <w:jc w:val="right"/>
              <w:rPr>
                <w:rFonts w:eastAsiaTheme="majorEastAsia" w:cstheme="majorBidi"/>
                <w:b/>
                <w:sz w:val="40"/>
                <w:szCs w:val="40"/>
              </w:rPr>
            </w:pPr>
            <w:r w:rsidRPr="00E6611D">
              <w:rPr>
                <w:rFonts w:eastAsiaTheme="majorEastAsia" w:cstheme="majorBidi"/>
                <w:b/>
                <w:sz w:val="40"/>
                <w:szCs w:val="40"/>
              </w:rPr>
              <w:t xml:space="preserve"> TECHNOLOGY</w:t>
            </w:r>
          </w:p>
        </w:tc>
      </w:tr>
      <w:tr w:rsidR="000349D1" w:rsidTr="004B0740">
        <w:tc>
          <w:tcPr>
            <w:tcW w:w="5000" w:type="pct"/>
          </w:tcPr>
          <w:p w:rsidR="004B0740" w:rsidRDefault="004B0740" w:rsidP="004B0740">
            <w:pPr>
              <w:pStyle w:val="NoSpacing"/>
              <w:rPr>
                <w:b/>
                <w:sz w:val="40"/>
                <w:szCs w:val="40"/>
              </w:rPr>
            </w:pPr>
            <w:r>
              <w:rPr>
                <w:b/>
                <w:sz w:val="40"/>
                <w:szCs w:val="40"/>
              </w:rPr>
              <w:t>CHEM 280</w:t>
            </w:r>
          </w:p>
          <w:p w:rsidR="000349D1" w:rsidRPr="00E6611D" w:rsidRDefault="00E6611D" w:rsidP="004B0740">
            <w:pPr>
              <w:pStyle w:val="NoSpacing"/>
              <w:rPr>
                <w:b/>
                <w:sz w:val="40"/>
                <w:szCs w:val="40"/>
              </w:rPr>
            </w:pPr>
            <w:r w:rsidRPr="00E6611D">
              <w:rPr>
                <w:b/>
                <w:sz w:val="40"/>
                <w:szCs w:val="40"/>
              </w:rPr>
              <w:t>PRACTICAL CHEMISTRY II</w:t>
            </w:r>
          </w:p>
          <w:p w:rsidR="004B0740" w:rsidRPr="00E6611D" w:rsidRDefault="004B0740" w:rsidP="004B0740">
            <w:pPr>
              <w:pStyle w:val="NoSpacing"/>
              <w:rPr>
                <w:sz w:val="28"/>
                <w:szCs w:val="28"/>
              </w:rPr>
            </w:pPr>
            <w:r>
              <w:rPr>
                <w:b/>
                <w:sz w:val="40"/>
                <w:szCs w:val="40"/>
              </w:rPr>
              <w:t>FORMULA OF A COMPLEX SPECIES</w:t>
            </w:r>
          </w:p>
        </w:tc>
      </w:tr>
      <w:tr w:rsidR="000349D1" w:rsidTr="004B0740">
        <w:tc>
          <w:tcPr>
            <w:tcW w:w="5000" w:type="pct"/>
          </w:tcPr>
          <w:p w:rsidR="00E6611D" w:rsidRPr="004B0740" w:rsidRDefault="00E6611D" w:rsidP="004B0740">
            <w:pPr>
              <w:pStyle w:val="NoSpacing"/>
              <w:rPr>
                <w:b/>
                <w:sz w:val="28"/>
                <w:szCs w:val="28"/>
              </w:rPr>
            </w:pPr>
            <w:r w:rsidRPr="004B0740">
              <w:rPr>
                <w:b/>
                <w:sz w:val="28"/>
                <w:szCs w:val="28"/>
              </w:rPr>
              <w:t xml:space="preserve">NAME: QUARSHIE ANTHONY WORLANYO K. </w:t>
            </w:r>
            <w:r w:rsidRPr="004B0740">
              <w:rPr>
                <w:b/>
                <w:sz w:val="28"/>
                <w:szCs w:val="28"/>
                <w:lang w:val="en-GB"/>
              </w:rPr>
              <w:t xml:space="preserve">COURSE: BSC. CHEMICAL ENGINEERING </w:t>
            </w:r>
          </w:p>
          <w:p w:rsidR="00E6611D" w:rsidRPr="004B0740" w:rsidRDefault="00E6611D" w:rsidP="004B0740">
            <w:pPr>
              <w:pStyle w:val="NoSpacing"/>
              <w:rPr>
                <w:b/>
                <w:sz w:val="28"/>
                <w:szCs w:val="28"/>
                <w:lang w:val="en-GB"/>
              </w:rPr>
            </w:pPr>
            <w:r w:rsidRPr="004B0740">
              <w:rPr>
                <w:b/>
                <w:sz w:val="28"/>
                <w:szCs w:val="28"/>
                <w:lang w:val="en-GB"/>
              </w:rPr>
              <w:t>YEAR: SECOND YEAR</w:t>
            </w:r>
          </w:p>
          <w:p w:rsidR="00E6611D" w:rsidRPr="004B0740" w:rsidRDefault="00E6611D" w:rsidP="004B0740">
            <w:pPr>
              <w:pStyle w:val="NoSpacing"/>
              <w:rPr>
                <w:b/>
                <w:sz w:val="28"/>
                <w:szCs w:val="28"/>
                <w:lang w:val="en-GB"/>
              </w:rPr>
            </w:pPr>
            <w:r w:rsidRPr="004B0740">
              <w:rPr>
                <w:b/>
                <w:sz w:val="28"/>
                <w:szCs w:val="28"/>
                <w:lang w:val="en-GB"/>
              </w:rPr>
              <w:t>EXPERIMENT NO. : I.1.2.2.</w:t>
            </w:r>
          </w:p>
          <w:p w:rsidR="00E6611D" w:rsidRPr="004B0740" w:rsidRDefault="00E6611D" w:rsidP="004B0740">
            <w:pPr>
              <w:pStyle w:val="NoSpacing"/>
              <w:rPr>
                <w:b/>
                <w:sz w:val="28"/>
                <w:szCs w:val="28"/>
                <w:lang w:val="en-GB"/>
              </w:rPr>
            </w:pPr>
            <w:r w:rsidRPr="004B0740">
              <w:rPr>
                <w:b/>
                <w:sz w:val="28"/>
                <w:szCs w:val="28"/>
                <w:lang w:val="en-GB"/>
              </w:rPr>
              <w:t xml:space="preserve">I.D. NO: </w:t>
            </w:r>
            <w:r w:rsidR="004B0740" w:rsidRPr="004B0740">
              <w:rPr>
                <w:b/>
                <w:sz w:val="28"/>
                <w:szCs w:val="28"/>
                <w:lang w:val="en-GB"/>
              </w:rPr>
              <w:t>3650809</w:t>
            </w:r>
          </w:p>
          <w:p w:rsidR="00E6611D" w:rsidRPr="004B0740" w:rsidRDefault="004B0740" w:rsidP="004B0740">
            <w:pPr>
              <w:pStyle w:val="NoSpacing"/>
              <w:rPr>
                <w:b/>
                <w:sz w:val="28"/>
                <w:szCs w:val="28"/>
                <w:lang w:val="en-GB"/>
              </w:rPr>
            </w:pPr>
            <w:r w:rsidRPr="004B0740">
              <w:rPr>
                <w:b/>
                <w:sz w:val="28"/>
                <w:szCs w:val="28"/>
                <w:lang w:val="en-GB"/>
              </w:rPr>
              <w:t>DEMONSTRATOR: HARUNA MORO</w:t>
            </w:r>
          </w:p>
          <w:p w:rsidR="00E6611D" w:rsidRPr="004424F7" w:rsidRDefault="00E6611D" w:rsidP="004424F7">
            <w:pPr>
              <w:rPr>
                <w:b/>
                <w:sz w:val="28"/>
                <w:szCs w:val="28"/>
              </w:rPr>
            </w:pPr>
            <w:r w:rsidRPr="004424F7">
              <w:rPr>
                <w:b/>
                <w:sz w:val="28"/>
                <w:szCs w:val="28"/>
              </w:rPr>
              <w:t xml:space="preserve">DATE: </w:t>
            </w:r>
            <w:r w:rsidR="004B0740" w:rsidRPr="004424F7">
              <w:rPr>
                <w:b/>
                <w:sz w:val="28"/>
                <w:szCs w:val="28"/>
              </w:rPr>
              <w:t>16/02/2011</w:t>
            </w:r>
          </w:p>
        </w:tc>
      </w:tr>
    </w:tbl>
    <w:sdt>
      <w:sdtPr>
        <w:id w:val="2271641"/>
        <w:docPartObj>
          <w:docPartGallery w:val="Cover Pages"/>
          <w:docPartUnique/>
        </w:docPartObj>
      </w:sdtPr>
      <w:sdtContent>
        <w:p w:rsidR="000349D1" w:rsidRDefault="000349D1" w:rsidP="004424F7"/>
        <w:p w:rsidR="000349D1" w:rsidRDefault="000349D1" w:rsidP="004424F7"/>
        <w:p w:rsidR="000349D1" w:rsidRDefault="000349D1" w:rsidP="004424F7">
          <w:r>
            <w:br w:type="page"/>
          </w:r>
        </w:p>
      </w:sdtContent>
    </w:sdt>
    <w:p w:rsidR="006A0531" w:rsidRPr="00526BF9" w:rsidRDefault="0052231B" w:rsidP="00A04B06">
      <w:pPr>
        <w:ind w:left="-426"/>
        <w:rPr>
          <w:b/>
          <w:color w:val="A6A6A6" w:themeColor="background1" w:themeShade="A6"/>
          <w:sz w:val="28"/>
          <w:szCs w:val="28"/>
        </w:rPr>
      </w:pPr>
      <w:r w:rsidRPr="00526BF9">
        <w:rPr>
          <w:b/>
          <w:color w:val="A6A6A6" w:themeColor="background1" w:themeShade="A6"/>
          <w:sz w:val="28"/>
          <w:szCs w:val="28"/>
        </w:rPr>
        <w:lastRenderedPageBreak/>
        <w:t>OBJECTIVES</w:t>
      </w:r>
    </w:p>
    <w:p w:rsidR="0052231B" w:rsidRPr="00A04B06" w:rsidRDefault="0052231B" w:rsidP="00A04B06">
      <w:pPr>
        <w:pStyle w:val="NoSpacing"/>
        <w:ind w:left="-426" w:right="-421"/>
        <w:rPr>
          <w:sz w:val="24"/>
          <w:szCs w:val="24"/>
        </w:rPr>
      </w:pPr>
      <w:r w:rsidRPr="00A04B06">
        <w:rPr>
          <w:sz w:val="24"/>
          <w:szCs w:val="24"/>
        </w:rPr>
        <w:t>Students will determine the absorption spectra and formula of a complex iron (III) species containing water and thiocy</w:t>
      </w:r>
      <w:r w:rsidR="004424F7" w:rsidRPr="00A04B06">
        <w:rPr>
          <w:sz w:val="24"/>
          <w:szCs w:val="24"/>
        </w:rPr>
        <w:t>a</w:t>
      </w:r>
      <w:r w:rsidRPr="00A04B06">
        <w:rPr>
          <w:sz w:val="24"/>
          <w:szCs w:val="24"/>
        </w:rPr>
        <w:t>nate ligands by using Beer’s Law and the Method of Continuous Variation.</w:t>
      </w:r>
    </w:p>
    <w:p w:rsidR="0052231B" w:rsidRPr="00A04B06" w:rsidRDefault="0052231B" w:rsidP="00A04B06">
      <w:pPr>
        <w:pStyle w:val="NoSpacing"/>
        <w:ind w:left="-426" w:right="-421"/>
        <w:rPr>
          <w:sz w:val="24"/>
          <w:szCs w:val="24"/>
        </w:rPr>
      </w:pPr>
    </w:p>
    <w:p w:rsidR="0052231B" w:rsidRPr="00A04B06" w:rsidRDefault="0052231B" w:rsidP="00A04B06">
      <w:pPr>
        <w:pStyle w:val="NoSpacing"/>
        <w:ind w:left="-426" w:right="-421"/>
        <w:rPr>
          <w:sz w:val="24"/>
          <w:szCs w:val="24"/>
        </w:rPr>
      </w:pPr>
    </w:p>
    <w:p w:rsidR="0052231B" w:rsidRPr="004424F7" w:rsidRDefault="0052231B" w:rsidP="00A04B06">
      <w:pPr>
        <w:pStyle w:val="NoSpacing"/>
        <w:ind w:left="-426" w:right="-421"/>
        <w:rPr>
          <w:b/>
          <w:color w:val="A6A6A6" w:themeColor="background1" w:themeShade="A6"/>
          <w:sz w:val="28"/>
          <w:szCs w:val="28"/>
        </w:rPr>
      </w:pPr>
      <w:r w:rsidRPr="004424F7">
        <w:rPr>
          <w:b/>
          <w:color w:val="A6A6A6" w:themeColor="background1" w:themeShade="A6"/>
          <w:sz w:val="28"/>
          <w:szCs w:val="28"/>
        </w:rPr>
        <w:t>INTRODUCTION</w:t>
      </w:r>
    </w:p>
    <w:p w:rsidR="0052231B" w:rsidRDefault="0052231B" w:rsidP="00A04B06">
      <w:pPr>
        <w:pStyle w:val="NoSpacing"/>
        <w:ind w:left="-426" w:right="-421"/>
      </w:pPr>
    </w:p>
    <w:p w:rsidR="0052231B" w:rsidRPr="00A04B06" w:rsidRDefault="0052231B" w:rsidP="00A04B06">
      <w:pPr>
        <w:ind w:left="-426" w:right="-421"/>
        <w:rPr>
          <w:sz w:val="24"/>
          <w:szCs w:val="24"/>
        </w:rPr>
      </w:pPr>
      <w:r w:rsidRPr="00A04B06">
        <w:rPr>
          <w:sz w:val="24"/>
          <w:szCs w:val="24"/>
        </w:rPr>
        <w:t>In the practice of qualitative inorganic analysis ample use is made of reactions which lead to the formation of complexes. A complex ion or molecule comprises a central atom (ion) and a number of ligands closely attached to the former. The relative amount of these components in a stable complex seems to follow a well defined stoichiometry, although this cannot be interpreted into the classical concept of valency. The central atom can be characterised by the coordination number, an integer figure, which shows the number of (monodentate) ligands which may form a stable complex with one central atom. In most cases, the coordination  number is 6 (as in the case of Fe</w:t>
      </w:r>
      <w:r w:rsidRPr="00A04B06">
        <w:rPr>
          <w:sz w:val="24"/>
          <w:szCs w:val="24"/>
          <w:vertAlign w:val="superscript"/>
        </w:rPr>
        <w:t>2+</w:t>
      </w:r>
      <w:r w:rsidRPr="00A04B06">
        <w:rPr>
          <w:sz w:val="24"/>
          <w:szCs w:val="24"/>
        </w:rPr>
        <w:t>, Fe</w:t>
      </w:r>
      <w:r w:rsidRPr="00A04B06">
        <w:rPr>
          <w:sz w:val="24"/>
          <w:szCs w:val="24"/>
          <w:vertAlign w:val="superscript"/>
        </w:rPr>
        <w:t>2+</w:t>
      </w:r>
      <w:r w:rsidRPr="00A04B06">
        <w:rPr>
          <w:sz w:val="24"/>
          <w:szCs w:val="24"/>
        </w:rPr>
        <w:t>, Fe</w:t>
      </w:r>
      <w:r w:rsidRPr="00A04B06">
        <w:rPr>
          <w:sz w:val="24"/>
          <w:szCs w:val="24"/>
          <w:vertAlign w:val="superscript"/>
        </w:rPr>
        <w:t>3+</w:t>
      </w:r>
      <w:r w:rsidRPr="00A04B06">
        <w:rPr>
          <w:sz w:val="24"/>
          <w:szCs w:val="24"/>
        </w:rPr>
        <w:t>, Zn</w:t>
      </w:r>
      <w:r w:rsidRPr="00A04B06">
        <w:rPr>
          <w:sz w:val="24"/>
          <w:szCs w:val="24"/>
          <w:vertAlign w:val="superscript"/>
        </w:rPr>
        <w:t>2+</w:t>
      </w:r>
      <w:r w:rsidRPr="00A04B06">
        <w:rPr>
          <w:sz w:val="24"/>
          <w:szCs w:val="24"/>
        </w:rPr>
        <w:t>, Cr</w:t>
      </w:r>
      <w:r w:rsidRPr="00A04B06">
        <w:rPr>
          <w:sz w:val="24"/>
          <w:szCs w:val="24"/>
          <w:vertAlign w:val="superscript"/>
        </w:rPr>
        <w:t>3+</w:t>
      </w:r>
      <w:r w:rsidRPr="00A04B06">
        <w:rPr>
          <w:sz w:val="24"/>
          <w:szCs w:val="24"/>
        </w:rPr>
        <w:t>, Co</w:t>
      </w:r>
      <w:r w:rsidRPr="00A04B06">
        <w:rPr>
          <w:sz w:val="24"/>
          <w:szCs w:val="24"/>
          <w:vertAlign w:val="superscript"/>
        </w:rPr>
        <w:t>3+</w:t>
      </w:r>
      <w:r w:rsidRPr="00A04B06">
        <w:rPr>
          <w:sz w:val="24"/>
          <w:szCs w:val="24"/>
        </w:rPr>
        <w:t>, Ni</w:t>
      </w:r>
      <w:r w:rsidRPr="00A04B06">
        <w:rPr>
          <w:sz w:val="24"/>
          <w:szCs w:val="24"/>
          <w:vertAlign w:val="superscript"/>
        </w:rPr>
        <w:t>2+</w:t>
      </w:r>
      <w:r w:rsidRPr="00A04B06">
        <w:rPr>
          <w:sz w:val="24"/>
          <w:szCs w:val="24"/>
        </w:rPr>
        <w:t>, Cd</w:t>
      </w:r>
      <w:r w:rsidRPr="00A04B06">
        <w:rPr>
          <w:sz w:val="24"/>
          <w:szCs w:val="24"/>
          <w:vertAlign w:val="superscript"/>
        </w:rPr>
        <w:t>2+</w:t>
      </w:r>
      <w:r w:rsidRPr="00A04B06">
        <w:rPr>
          <w:sz w:val="24"/>
          <w:szCs w:val="24"/>
        </w:rPr>
        <w:t>) sometimes 4 (Cu</w:t>
      </w:r>
      <w:r w:rsidRPr="00A04B06">
        <w:rPr>
          <w:sz w:val="24"/>
          <w:szCs w:val="24"/>
          <w:vertAlign w:val="superscript"/>
        </w:rPr>
        <w:t>2+</w:t>
      </w:r>
      <w:r w:rsidRPr="00A04B06">
        <w:rPr>
          <w:sz w:val="24"/>
          <w:szCs w:val="24"/>
        </w:rPr>
        <w:t>, Cu</w:t>
      </w:r>
      <w:r w:rsidRPr="00A04B06">
        <w:rPr>
          <w:sz w:val="24"/>
          <w:szCs w:val="24"/>
          <w:vertAlign w:val="superscript"/>
        </w:rPr>
        <w:t>+</w:t>
      </w:r>
      <w:r w:rsidRPr="00A04B06">
        <w:rPr>
          <w:sz w:val="24"/>
          <w:szCs w:val="24"/>
        </w:rPr>
        <w:t>, Pt</w:t>
      </w:r>
      <w:r w:rsidRPr="00A04B06">
        <w:rPr>
          <w:sz w:val="24"/>
          <w:szCs w:val="24"/>
          <w:vertAlign w:val="superscript"/>
        </w:rPr>
        <w:t>2+</w:t>
      </w:r>
      <w:r w:rsidRPr="00A04B06">
        <w:rPr>
          <w:sz w:val="24"/>
          <w:szCs w:val="24"/>
        </w:rPr>
        <w:t>) and 8 (some ions in the platinum group) do group.</w:t>
      </w:r>
    </w:p>
    <w:p w:rsidR="0052231B" w:rsidRPr="00A04B06" w:rsidRDefault="0052231B" w:rsidP="00A04B06">
      <w:pPr>
        <w:ind w:left="-426" w:right="-421"/>
        <w:rPr>
          <w:sz w:val="24"/>
          <w:szCs w:val="24"/>
        </w:rPr>
      </w:pPr>
      <w:r w:rsidRPr="00A04B06">
        <w:rPr>
          <w:sz w:val="24"/>
          <w:szCs w:val="24"/>
        </w:rPr>
        <w:t>The coordination number represents the available space around the central atom or ion in the so-called coordination sphere each of which can be occupied by one (monodentate) ligand. The arrangement of ligands around the central ion is symmetrical. Thus, a complex with a central atom of coordination number of 6, comprises the central ion, in the centre of an octahedron while the five ligands occupy the spaces defined by the vertices of the octahedron. To the coordination number 4</w:t>
      </w:r>
      <w:r w:rsidR="004424F7" w:rsidRPr="00A04B06">
        <w:rPr>
          <w:sz w:val="24"/>
          <w:szCs w:val="24"/>
        </w:rPr>
        <w:t>,</w:t>
      </w:r>
      <w:r w:rsidRPr="00A04B06">
        <w:rPr>
          <w:sz w:val="24"/>
          <w:szCs w:val="24"/>
        </w:rPr>
        <w:t xml:space="preserve"> </w:t>
      </w:r>
      <w:r w:rsidR="004424F7" w:rsidRPr="00A04B06">
        <w:rPr>
          <w:sz w:val="24"/>
          <w:szCs w:val="24"/>
        </w:rPr>
        <w:t>tetrahedron</w:t>
      </w:r>
      <w:r w:rsidRPr="00A04B06">
        <w:rPr>
          <w:sz w:val="24"/>
          <w:szCs w:val="24"/>
        </w:rPr>
        <w:t xml:space="preserve"> symmetry normally corresponds, although a planar (or nearly) a planar arrangement where the central ion is in the centre of a square and the four ions occupy the four corners of the latter, is common as well.</w:t>
      </w:r>
    </w:p>
    <w:p w:rsidR="0052231B" w:rsidRPr="00A04B06" w:rsidRDefault="0052231B" w:rsidP="00A04B06">
      <w:pPr>
        <w:ind w:left="-426" w:right="-421"/>
        <w:rPr>
          <w:sz w:val="24"/>
          <w:szCs w:val="24"/>
        </w:rPr>
      </w:pPr>
      <w:r w:rsidRPr="00A04B06">
        <w:rPr>
          <w:sz w:val="24"/>
          <w:szCs w:val="24"/>
        </w:rPr>
        <w:t>An ion is a charged atom or molecule that results from the loss or gain of electrons. A complex ion is an ion containing a central metal cation bonded to one or more molecules or ions. Complexes are very important in many chemical and biological reaction and processes.</w:t>
      </w:r>
    </w:p>
    <w:p w:rsidR="0052231B" w:rsidRPr="00A04B06" w:rsidRDefault="0052231B" w:rsidP="00A04B06">
      <w:pPr>
        <w:ind w:left="-426" w:right="-421"/>
        <w:rPr>
          <w:sz w:val="24"/>
          <w:szCs w:val="24"/>
        </w:rPr>
      </w:pPr>
      <w:r w:rsidRPr="00A04B06">
        <w:rPr>
          <w:sz w:val="24"/>
          <w:szCs w:val="24"/>
        </w:rPr>
        <w:t>Transition metals however have the tendency to produce complex ions because they have the ability to form more than one oxidation state. This property helps them easily to form complex ions.</w:t>
      </w:r>
    </w:p>
    <w:p w:rsidR="0052231B" w:rsidRPr="00A04B06" w:rsidRDefault="0052231B" w:rsidP="00A04B06">
      <w:pPr>
        <w:ind w:left="-426" w:right="-421"/>
        <w:rPr>
          <w:sz w:val="24"/>
          <w:szCs w:val="24"/>
        </w:rPr>
      </w:pPr>
      <w:r w:rsidRPr="00A04B06">
        <w:rPr>
          <w:sz w:val="24"/>
          <w:szCs w:val="24"/>
        </w:rPr>
        <w:t>In acidic aqueous solution, hydrated Fe3+ ion interacts with thiocyanate ion SCN- to establish a series of equilibria.</w:t>
      </w:r>
    </w:p>
    <w:p w:rsidR="0052231B" w:rsidRPr="00A04B06" w:rsidRDefault="0052231B" w:rsidP="00A04B06">
      <w:pPr>
        <w:ind w:left="-426" w:right="-421"/>
        <w:rPr>
          <w:sz w:val="24"/>
          <w:szCs w:val="24"/>
        </w:rPr>
      </w:pPr>
    </w:p>
    <w:p w:rsidR="0052231B" w:rsidRPr="00A04B06" w:rsidRDefault="0052231B" w:rsidP="00A04B06">
      <w:pPr>
        <w:ind w:left="-426" w:right="-421"/>
        <w:rPr>
          <w:sz w:val="24"/>
          <w:szCs w:val="24"/>
        </w:rPr>
      </w:pPr>
      <w:r w:rsidRPr="00A04B06">
        <w:rPr>
          <w:sz w:val="24"/>
          <w:szCs w:val="24"/>
        </w:rPr>
        <w:t>1. [Fe(H</w:t>
      </w:r>
      <w:r w:rsidRPr="00A04B06">
        <w:rPr>
          <w:sz w:val="24"/>
          <w:szCs w:val="24"/>
          <w:vertAlign w:val="subscript"/>
        </w:rPr>
        <w:t>2</w:t>
      </w:r>
      <w:r w:rsidRPr="00A04B06">
        <w:rPr>
          <w:sz w:val="24"/>
          <w:szCs w:val="24"/>
        </w:rPr>
        <w:t>O)</w:t>
      </w:r>
      <w:r w:rsidRPr="00A04B06">
        <w:rPr>
          <w:sz w:val="24"/>
          <w:szCs w:val="24"/>
          <w:vertAlign w:val="subscript"/>
        </w:rPr>
        <w:t>6</w:t>
      </w:r>
      <w:r w:rsidRPr="00A04B06">
        <w:rPr>
          <w:sz w:val="24"/>
          <w:szCs w:val="24"/>
        </w:rPr>
        <w:t>]</w:t>
      </w:r>
      <w:r w:rsidRPr="00A04B06">
        <w:rPr>
          <w:sz w:val="24"/>
          <w:szCs w:val="24"/>
          <w:vertAlign w:val="superscript"/>
        </w:rPr>
        <w:t>3+</w:t>
      </w:r>
      <w:r w:rsidRPr="00A04B06">
        <w:rPr>
          <w:sz w:val="24"/>
          <w:szCs w:val="24"/>
        </w:rPr>
        <w:t xml:space="preserve">  +   SCN</w:t>
      </w:r>
      <w:r w:rsidRPr="00A04B06">
        <w:rPr>
          <w:sz w:val="24"/>
          <w:szCs w:val="24"/>
          <w:vertAlign w:val="superscript"/>
        </w:rPr>
        <w:t>-</w:t>
      </w:r>
      <w:r w:rsidRPr="00A04B06">
        <w:rPr>
          <w:sz w:val="24"/>
          <w:szCs w:val="24"/>
        </w:rPr>
        <w:t xml:space="preserve">        →    [Fe(SCN)(H</w:t>
      </w:r>
      <w:r w:rsidRPr="00A04B06">
        <w:rPr>
          <w:sz w:val="24"/>
          <w:szCs w:val="24"/>
          <w:vertAlign w:val="subscript"/>
        </w:rPr>
        <w:t>2</w:t>
      </w:r>
      <w:r w:rsidRPr="00A04B06">
        <w:rPr>
          <w:sz w:val="24"/>
          <w:szCs w:val="24"/>
        </w:rPr>
        <w:t>O)</w:t>
      </w:r>
      <w:r w:rsidRPr="00A04B06">
        <w:rPr>
          <w:sz w:val="24"/>
          <w:szCs w:val="24"/>
          <w:vertAlign w:val="subscript"/>
        </w:rPr>
        <w:t>5</w:t>
      </w:r>
      <w:r w:rsidRPr="00A04B06">
        <w:rPr>
          <w:sz w:val="24"/>
          <w:szCs w:val="24"/>
        </w:rPr>
        <w:t>]</w:t>
      </w:r>
      <w:r w:rsidRPr="00A04B06">
        <w:rPr>
          <w:sz w:val="24"/>
          <w:szCs w:val="24"/>
          <w:vertAlign w:val="superscript"/>
        </w:rPr>
        <w:t>2+</w:t>
      </w:r>
      <w:r w:rsidRPr="00A04B06">
        <w:rPr>
          <w:sz w:val="24"/>
          <w:szCs w:val="24"/>
        </w:rPr>
        <w:t xml:space="preserve">  +  H</w:t>
      </w:r>
      <w:r w:rsidRPr="00A04B06">
        <w:rPr>
          <w:sz w:val="24"/>
          <w:szCs w:val="24"/>
          <w:vertAlign w:val="subscript"/>
        </w:rPr>
        <w:t>2</w:t>
      </w:r>
      <w:r w:rsidRPr="00A04B06">
        <w:rPr>
          <w:sz w:val="24"/>
          <w:szCs w:val="24"/>
        </w:rPr>
        <w:t>O</w:t>
      </w:r>
    </w:p>
    <w:p w:rsidR="0052231B" w:rsidRPr="00A04B06" w:rsidRDefault="0052231B" w:rsidP="00A04B06">
      <w:pPr>
        <w:ind w:left="-426" w:right="-421"/>
        <w:rPr>
          <w:sz w:val="24"/>
          <w:szCs w:val="24"/>
        </w:rPr>
      </w:pPr>
      <w:r w:rsidRPr="00A04B06">
        <w:rPr>
          <w:sz w:val="24"/>
          <w:szCs w:val="24"/>
        </w:rPr>
        <w:t>2. [Fe(SCN)(H</w:t>
      </w:r>
      <w:r w:rsidRPr="00A04B06">
        <w:rPr>
          <w:sz w:val="24"/>
          <w:szCs w:val="24"/>
          <w:vertAlign w:val="subscript"/>
        </w:rPr>
        <w:t>2</w:t>
      </w:r>
      <w:r w:rsidRPr="00A04B06">
        <w:rPr>
          <w:sz w:val="24"/>
          <w:szCs w:val="24"/>
        </w:rPr>
        <w:t>O)</w:t>
      </w:r>
      <w:r w:rsidRPr="00A04B06">
        <w:rPr>
          <w:sz w:val="24"/>
          <w:szCs w:val="24"/>
          <w:vertAlign w:val="subscript"/>
        </w:rPr>
        <w:t>5</w:t>
      </w:r>
      <w:r w:rsidRPr="00A04B06">
        <w:rPr>
          <w:sz w:val="24"/>
          <w:szCs w:val="24"/>
        </w:rPr>
        <w:t>]</w:t>
      </w:r>
      <w:r w:rsidRPr="00A04B06">
        <w:rPr>
          <w:sz w:val="24"/>
          <w:szCs w:val="24"/>
          <w:vertAlign w:val="superscript"/>
        </w:rPr>
        <w:t>2+</w:t>
      </w:r>
      <w:r w:rsidRPr="00A04B06">
        <w:rPr>
          <w:sz w:val="24"/>
          <w:szCs w:val="24"/>
        </w:rPr>
        <w:t xml:space="preserve">  +  SCN</w:t>
      </w:r>
      <w:r w:rsidRPr="00A04B06">
        <w:rPr>
          <w:sz w:val="24"/>
          <w:szCs w:val="24"/>
          <w:vertAlign w:val="superscript"/>
        </w:rPr>
        <w:t>-</w:t>
      </w:r>
      <w:r w:rsidRPr="00A04B06">
        <w:rPr>
          <w:sz w:val="24"/>
          <w:szCs w:val="24"/>
        </w:rPr>
        <w:t xml:space="preserve">        →   [Fe(SCN)</w:t>
      </w:r>
      <w:r w:rsidRPr="00A04B06">
        <w:rPr>
          <w:sz w:val="24"/>
          <w:szCs w:val="24"/>
          <w:vertAlign w:val="subscript"/>
        </w:rPr>
        <w:t>2</w:t>
      </w:r>
      <w:r w:rsidRPr="00A04B06">
        <w:rPr>
          <w:sz w:val="24"/>
          <w:szCs w:val="24"/>
        </w:rPr>
        <w:t>(H</w:t>
      </w:r>
      <w:r w:rsidRPr="00A04B06">
        <w:rPr>
          <w:sz w:val="24"/>
          <w:szCs w:val="24"/>
          <w:vertAlign w:val="subscript"/>
        </w:rPr>
        <w:t>2</w:t>
      </w:r>
      <w:r w:rsidRPr="00A04B06">
        <w:rPr>
          <w:sz w:val="24"/>
          <w:szCs w:val="24"/>
        </w:rPr>
        <w:t>O)</w:t>
      </w:r>
      <w:r w:rsidRPr="00A04B06">
        <w:rPr>
          <w:sz w:val="24"/>
          <w:szCs w:val="24"/>
          <w:vertAlign w:val="subscript"/>
        </w:rPr>
        <w:t>4</w:t>
      </w:r>
      <w:r w:rsidRPr="00A04B06">
        <w:rPr>
          <w:sz w:val="24"/>
          <w:szCs w:val="24"/>
        </w:rPr>
        <w:t>]</w:t>
      </w:r>
      <w:r w:rsidRPr="00A04B06">
        <w:rPr>
          <w:sz w:val="24"/>
          <w:szCs w:val="24"/>
          <w:vertAlign w:val="superscript"/>
        </w:rPr>
        <w:t>+</w:t>
      </w:r>
      <w:r w:rsidRPr="00A04B06">
        <w:rPr>
          <w:sz w:val="24"/>
          <w:szCs w:val="24"/>
        </w:rPr>
        <w:t xml:space="preserve">  +  H</w:t>
      </w:r>
      <w:r w:rsidRPr="00A04B06">
        <w:rPr>
          <w:sz w:val="24"/>
          <w:szCs w:val="24"/>
          <w:vertAlign w:val="subscript"/>
        </w:rPr>
        <w:t>2</w:t>
      </w:r>
      <w:r w:rsidRPr="00A04B06">
        <w:rPr>
          <w:sz w:val="24"/>
          <w:szCs w:val="24"/>
        </w:rPr>
        <w:t>O</w:t>
      </w:r>
    </w:p>
    <w:p w:rsidR="0052231B" w:rsidRPr="00A04B06" w:rsidRDefault="0052231B" w:rsidP="00A04B06">
      <w:pPr>
        <w:ind w:left="-426" w:right="-421"/>
        <w:rPr>
          <w:sz w:val="24"/>
          <w:szCs w:val="24"/>
        </w:rPr>
      </w:pPr>
      <w:r w:rsidRPr="00A04B06">
        <w:rPr>
          <w:sz w:val="24"/>
          <w:szCs w:val="24"/>
        </w:rPr>
        <w:t xml:space="preserve">                                              … Etc.</w:t>
      </w:r>
    </w:p>
    <w:p w:rsidR="0052231B" w:rsidRPr="00A04B06" w:rsidRDefault="0052231B" w:rsidP="00A04B06">
      <w:pPr>
        <w:ind w:left="-426" w:right="-421"/>
        <w:rPr>
          <w:sz w:val="24"/>
          <w:szCs w:val="24"/>
        </w:rPr>
      </w:pPr>
      <w:r w:rsidRPr="00A04B06">
        <w:rPr>
          <w:sz w:val="24"/>
          <w:szCs w:val="24"/>
        </w:rPr>
        <w:t>6. [Fe(SCN)</w:t>
      </w:r>
      <w:r w:rsidRPr="00A04B06">
        <w:rPr>
          <w:sz w:val="24"/>
          <w:szCs w:val="24"/>
          <w:vertAlign w:val="subscript"/>
        </w:rPr>
        <w:t>5</w:t>
      </w:r>
      <w:r w:rsidRPr="00A04B06">
        <w:rPr>
          <w:sz w:val="24"/>
          <w:szCs w:val="24"/>
        </w:rPr>
        <w:t>(H</w:t>
      </w:r>
      <w:r w:rsidRPr="00A04B06">
        <w:rPr>
          <w:sz w:val="24"/>
          <w:szCs w:val="24"/>
          <w:vertAlign w:val="subscript"/>
        </w:rPr>
        <w:t>2</w:t>
      </w:r>
      <w:r w:rsidRPr="00A04B06">
        <w:rPr>
          <w:sz w:val="24"/>
          <w:szCs w:val="24"/>
        </w:rPr>
        <w:t>O)]</w:t>
      </w:r>
      <w:r w:rsidRPr="00A04B06">
        <w:rPr>
          <w:sz w:val="24"/>
          <w:szCs w:val="24"/>
          <w:vertAlign w:val="superscript"/>
        </w:rPr>
        <w:t>+</w:t>
      </w:r>
      <w:r w:rsidRPr="00A04B06">
        <w:rPr>
          <w:sz w:val="24"/>
          <w:szCs w:val="24"/>
        </w:rPr>
        <w:t xml:space="preserve">  +  SCN</w:t>
      </w:r>
      <w:r w:rsidRPr="00A04B06">
        <w:rPr>
          <w:sz w:val="24"/>
          <w:szCs w:val="24"/>
          <w:vertAlign w:val="superscript"/>
        </w:rPr>
        <w:t>-</w:t>
      </w:r>
      <w:r w:rsidRPr="00A04B06">
        <w:rPr>
          <w:sz w:val="24"/>
          <w:szCs w:val="24"/>
        </w:rPr>
        <w:t xml:space="preserve">         →     [Fe(SCN)</w:t>
      </w:r>
      <w:r w:rsidRPr="00A04B06">
        <w:rPr>
          <w:sz w:val="24"/>
          <w:szCs w:val="24"/>
          <w:vertAlign w:val="subscript"/>
        </w:rPr>
        <w:t>6</w:t>
      </w:r>
      <w:r w:rsidRPr="00A04B06">
        <w:rPr>
          <w:sz w:val="24"/>
          <w:szCs w:val="24"/>
        </w:rPr>
        <w:t>]</w:t>
      </w:r>
      <w:r w:rsidRPr="00A04B06">
        <w:rPr>
          <w:sz w:val="24"/>
          <w:szCs w:val="24"/>
          <w:vertAlign w:val="superscript"/>
        </w:rPr>
        <w:t>3-</w:t>
      </w:r>
      <w:r w:rsidRPr="00A04B06">
        <w:rPr>
          <w:sz w:val="24"/>
          <w:szCs w:val="24"/>
        </w:rPr>
        <w:t xml:space="preserve">  +  H</w:t>
      </w:r>
      <w:r w:rsidRPr="00A04B06">
        <w:rPr>
          <w:sz w:val="24"/>
          <w:szCs w:val="24"/>
          <w:vertAlign w:val="subscript"/>
        </w:rPr>
        <w:t>2</w:t>
      </w:r>
      <w:r w:rsidRPr="00A04B06">
        <w:rPr>
          <w:sz w:val="24"/>
          <w:szCs w:val="24"/>
        </w:rPr>
        <w:t>O.</w:t>
      </w:r>
    </w:p>
    <w:p w:rsidR="0052231B" w:rsidRPr="00A04B06" w:rsidRDefault="0052231B" w:rsidP="00A04B06">
      <w:pPr>
        <w:ind w:left="-426" w:right="-421"/>
        <w:rPr>
          <w:sz w:val="24"/>
          <w:szCs w:val="24"/>
        </w:rPr>
      </w:pPr>
      <w:r w:rsidRPr="00A04B06">
        <w:rPr>
          <w:sz w:val="24"/>
          <w:szCs w:val="24"/>
        </w:rPr>
        <w:lastRenderedPageBreak/>
        <w:t>The main aim of the experiment is to find out the most stable iron thiocyanate complex. This complex absorbs blue light and the resulting solution has a deep red colour. The formula can therefore be determined by measuring the abs</w:t>
      </w:r>
      <w:r w:rsidR="004424F7" w:rsidRPr="00A04B06">
        <w:rPr>
          <w:sz w:val="24"/>
          <w:szCs w:val="24"/>
        </w:rPr>
        <w:t>orbance of light with a spectro</w:t>
      </w:r>
      <w:r w:rsidRPr="00A04B06">
        <w:rPr>
          <w:sz w:val="24"/>
          <w:szCs w:val="24"/>
        </w:rPr>
        <w:t>photometer and analysing the data using the method of continuous variation technique in which the stable complex ion is found from a selected wavelength.</w:t>
      </w:r>
    </w:p>
    <w:p w:rsidR="006A0531" w:rsidRDefault="006A0531" w:rsidP="00A04B06">
      <w:pPr>
        <w:ind w:left="-426" w:right="-421"/>
        <w:rPr>
          <w:b/>
          <w:color w:val="A6A6A6" w:themeColor="background1" w:themeShade="A6"/>
          <w:sz w:val="28"/>
          <w:szCs w:val="28"/>
        </w:rPr>
      </w:pPr>
    </w:p>
    <w:p w:rsidR="0052231B" w:rsidRPr="00526BF9" w:rsidRDefault="004424F7" w:rsidP="00A04B06">
      <w:pPr>
        <w:ind w:left="-426" w:right="-421"/>
        <w:rPr>
          <w:b/>
          <w:color w:val="A6A6A6" w:themeColor="background1" w:themeShade="A6"/>
          <w:sz w:val="28"/>
          <w:szCs w:val="28"/>
        </w:rPr>
      </w:pPr>
      <w:r w:rsidRPr="00526BF9">
        <w:rPr>
          <w:b/>
          <w:color w:val="A6A6A6" w:themeColor="background1" w:themeShade="A6"/>
          <w:sz w:val="28"/>
          <w:szCs w:val="28"/>
        </w:rPr>
        <w:t>APPARATUS AND CHEMICALS</w:t>
      </w:r>
    </w:p>
    <w:p w:rsidR="004424F7" w:rsidRPr="00A04B06" w:rsidRDefault="004424F7" w:rsidP="00A04B06">
      <w:pPr>
        <w:pStyle w:val="NoSpacing"/>
        <w:ind w:left="-426" w:right="-421"/>
        <w:rPr>
          <w:sz w:val="24"/>
          <w:szCs w:val="24"/>
        </w:rPr>
      </w:pPr>
      <w:r w:rsidRPr="00A04B06">
        <w:rPr>
          <w:sz w:val="24"/>
          <w:szCs w:val="24"/>
        </w:rPr>
        <w:t>Burette                                          Solution containing Fe</w:t>
      </w:r>
      <w:r w:rsidRPr="00A04B06">
        <w:rPr>
          <w:sz w:val="24"/>
          <w:szCs w:val="24"/>
          <w:vertAlign w:val="superscript"/>
        </w:rPr>
        <w:t>3+</w:t>
      </w:r>
    </w:p>
    <w:p w:rsidR="004424F7" w:rsidRPr="00A04B06" w:rsidRDefault="004424F7" w:rsidP="00A04B06">
      <w:pPr>
        <w:pStyle w:val="NoSpacing"/>
        <w:ind w:left="-426" w:right="-421"/>
        <w:rPr>
          <w:sz w:val="24"/>
          <w:szCs w:val="24"/>
        </w:rPr>
      </w:pPr>
      <w:r w:rsidRPr="00A04B06">
        <w:rPr>
          <w:sz w:val="24"/>
          <w:szCs w:val="24"/>
        </w:rPr>
        <w:t>Test Tube                                      Solution containing SCN</w:t>
      </w:r>
      <w:r w:rsidRPr="00A04B06">
        <w:rPr>
          <w:sz w:val="24"/>
          <w:szCs w:val="24"/>
          <w:vertAlign w:val="superscript"/>
        </w:rPr>
        <w:t>-</w:t>
      </w:r>
    </w:p>
    <w:p w:rsidR="004424F7" w:rsidRPr="00A04B06" w:rsidRDefault="004424F7" w:rsidP="00A04B06">
      <w:pPr>
        <w:pStyle w:val="NoSpacing"/>
        <w:ind w:left="-426" w:right="-421"/>
        <w:rPr>
          <w:sz w:val="24"/>
          <w:szCs w:val="24"/>
        </w:rPr>
      </w:pPr>
      <w:r w:rsidRPr="00A04B06">
        <w:rPr>
          <w:sz w:val="24"/>
          <w:szCs w:val="24"/>
        </w:rPr>
        <w:t>Test tube rack</w:t>
      </w:r>
    </w:p>
    <w:p w:rsidR="0052231B" w:rsidRPr="00A04B06" w:rsidRDefault="00001A36" w:rsidP="00A04B06">
      <w:pPr>
        <w:pStyle w:val="NoSpacing"/>
        <w:ind w:left="-426" w:right="-421"/>
        <w:rPr>
          <w:sz w:val="24"/>
          <w:szCs w:val="24"/>
        </w:rPr>
      </w:pPr>
      <w:r>
        <w:rPr>
          <w:sz w:val="24"/>
          <w:szCs w:val="24"/>
        </w:rPr>
        <w:t>UV s</w:t>
      </w:r>
      <w:r w:rsidR="004424F7" w:rsidRPr="00A04B06">
        <w:rPr>
          <w:sz w:val="24"/>
          <w:szCs w:val="24"/>
        </w:rPr>
        <w:t>pectrophotometer</w:t>
      </w:r>
    </w:p>
    <w:p w:rsidR="004424F7" w:rsidRDefault="00526BF9" w:rsidP="00A04B06">
      <w:pPr>
        <w:pStyle w:val="NoSpacing"/>
        <w:ind w:left="-426" w:right="-421"/>
        <w:rPr>
          <w:sz w:val="24"/>
          <w:szCs w:val="24"/>
        </w:rPr>
      </w:pPr>
      <w:r w:rsidRPr="00A04B06">
        <w:rPr>
          <w:sz w:val="24"/>
          <w:szCs w:val="24"/>
        </w:rPr>
        <w:t>Wash bottle</w:t>
      </w:r>
    </w:p>
    <w:p w:rsidR="00001A36" w:rsidRDefault="00001A36" w:rsidP="00A04B06">
      <w:pPr>
        <w:pStyle w:val="NoSpacing"/>
        <w:ind w:left="-426" w:right="-421"/>
        <w:rPr>
          <w:sz w:val="24"/>
          <w:szCs w:val="24"/>
        </w:rPr>
      </w:pPr>
    </w:p>
    <w:p w:rsidR="006A0531" w:rsidRDefault="006A0531" w:rsidP="00001A36">
      <w:pPr>
        <w:ind w:left="-426"/>
        <w:rPr>
          <w:b/>
          <w:color w:val="A6A6A6" w:themeColor="background1" w:themeShade="A6"/>
          <w:sz w:val="28"/>
          <w:szCs w:val="28"/>
        </w:rPr>
      </w:pPr>
    </w:p>
    <w:p w:rsidR="00001A36" w:rsidRPr="00001A36" w:rsidRDefault="00001A36" w:rsidP="00001A36">
      <w:pPr>
        <w:ind w:left="-426"/>
        <w:rPr>
          <w:rFonts w:ascii="Calibri" w:hAnsi="Calibri"/>
          <w:b/>
          <w:color w:val="A6A6A6" w:themeColor="background1" w:themeShade="A6"/>
          <w:sz w:val="28"/>
          <w:szCs w:val="28"/>
        </w:rPr>
      </w:pPr>
      <w:r w:rsidRPr="00001A36">
        <w:rPr>
          <w:b/>
          <w:color w:val="A6A6A6" w:themeColor="background1" w:themeShade="A6"/>
          <w:sz w:val="28"/>
          <w:szCs w:val="28"/>
        </w:rPr>
        <w:t>PROCEDURE</w:t>
      </w:r>
    </w:p>
    <w:p w:rsidR="00001A36" w:rsidRPr="006A0531" w:rsidRDefault="00001A36" w:rsidP="00001A36">
      <w:pPr>
        <w:ind w:left="-426"/>
        <w:rPr>
          <w:b/>
          <w:color w:val="A6A6A6" w:themeColor="background1" w:themeShade="A6"/>
          <w:sz w:val="24"/>
          <w:szCs w:val="24"/>
          <w:u w:val="single"/>
        </w:rPr>
      </w:pPr>
      <w:r w:rsidRPr="006A0531">
        <w:rPr>
          <w:b/>
          <w:color w:val="A6A6A6" w:themeColor="background1" w:themeShade="A6"/>
          <w:sz w:val="24"/>
          <w:szCs w:val="24"/>
        </w:rPr>
        <w:t>PREPARATION OF THE SOLUTIONS</w:t>
      </w:r>
    </w:p>
    <w:p w:rsidR="00001A36" w:rsidRPr="006A0531" w:rsidRDefault="00001A36" w:rsidP="00001A36">
      <w:pPr>
        <w:ind w:left="-426"/>
        <w:rPr>
          <w:sz w:val="24"/>
          <w:szCs w:val="24"/>
        </w:rPr>
      </w:pPr>
      <w:r w:rsidRPr="006A0531">
        <w:rPr>
          <w:sz w:val="24"/>
          <w:szCs w:val="24"/>
        </w:rPr>
        <w:t>The solution was prepared in a stock room, and buffered with a pH of 2.</w:t>
      </w:r>
    </w:p>
    <w:p w:rsidR="00001A36" w:rsidRPr="006A0531" w:rsidRDefault="00001A36" w:rsidP="00001A36">
      <w:pPr>
        <w:ind w:left="-426"/>
        <w:rPr>
          <w:sz w:val="24"/>
          <w:szCs w:val="24"/>
        </w:rPr>
      </w:pPr>
      <w:r w:rsidRPr="006A0531">
        <w:rPr>
          <w:sz w:val="24"/>
          <w:szCs w:val="24"/>
        </w:rPr>
        <w:t>Solution A contained iron (III) ions and was prepared by dissolving 7.715 g of FeNH</w:t>
      </w:r>
      <w:r w:rsidRPr="006A0531">
        <w:rPr>
          <w:sz w:val="24"/>
          <w:szCs w:val="24"/>
          <w:vertAlign w:val="subscript"/>
        </w:rPr>
        <w:t>4</w:t>
      </w:r>
      <w:r w:rsidRPr="006A0531">
        <w:rPr>
          <w:sz w:val="24"/>
          <w:szCs w:val="24"/>
        </w:rPr>
        <w:t>(SO</w:t>
      </w:r>
      <w:r w:rsidRPr="006A0531">
        <w:rPr>
          <w:sz w:val="24"/>
          <w:szCs w:val="24"/>
          <w:vertAlign w:val="subscript"/>
        </w:rPr>
        <w:t>4</w:t>
      </w:r>
      <w:r w:rsidRPr="006A0531">
        <w:rPr>
          <w:sz w:val="24"/>
          <w:szCs w:val="24"/>
        </w:rPr>
        <w:t>)</w:t>
      </w:r>
      <w:r w:rsidRPr="006A0531">
        <w:rPr>
          <w:sz w:val="24"/>
          <w:szCs w:val="24"/>
          <w:vertAlign w:val="subscript"/>
        </w:rPr>
        <w:t>2</w:t>
      </w:r>
      <w:r w:rsidRPr="006A0531">
        <w:rPr>
          <w:sz w:val="24"/>
          <w:szCs w:val="24"/>
        </w:rPr>
        <w:t>.12H</w:t>
      </w:r>
      <w:r w:rsidRPr="006A0531">
        <w:rPr>
          <w:sz w:val="24"/>
          <w:szCs w:val="24"/>
          <w:vertAlign w:val="subscript"/>
        </w:rPr>
        <w:t>2</w:t>
      </w:r>
      <w:r w:rsidRPr="006A0531">
        <w:rPr>
          <w:sz w:val="24"/>
          <w:szCs w:val="24"/>
        </w:rPr>
        <w:t>O in the buffer solution.</w:t>
      </w:r>
    </w:p>
    <w:p w:rsidR="006A0531" w:rsidRPr="006A0531" w:rsidRDefault="00001A36" w:rsidP="006A0531">
      <w:pPr>
        <w:ind w:left="-426"/>
        <w:rPr>
          <w:sz w:val="24"/>
          <w:szCs w:val="24"/>
        </w:rPr>
      </w:pPr>
      <w:r w:rsidRPr="006A0531">
        <w:rPr>
          <w:sz w:val="24"/>
          <w:szCs w:val="24"/>
        </w:rPr>
        <w:t>Solution B contained SCN</w:t>
      </w:r>
      <w:r w:rsidRPr="006A0531">
        <w:rPr>
          <w:sz w:val="24"/>
          <w:szCs w:val="24"/>
          <w:vertAlign w:val="superscript"/>
        </w:rPr>
        <w:t>-</w:t>
      </w:r>
      <w:r w:rsidRPr="006A0531">
        <w:rPr>
          <w:sz w:val="24"/>
          <w:szCs w:val="24"/>
        </w:rPr>
        <w:t xml:space="preserve"> ions and was prepared by dissolving 1.218 g of NH</w:t>
      </w:r>
      <w:r w:rsidRPr="006A0531">
        <w:rPr>
          <w:sz w:val="24"/>
          <w:szCs w:val="24"/>
          <w:vertAlign w:val="subscript"/>
        </w:rPr>
        <w:t>4</w:t>
      </w:r>
      <w:r w:rsidRPr="006A0531">
        <w:rPr>
          <w:sz w:val="24"/>
          <w:szCs w:val="24"/>
        </w:rPr>
        <w:t>SCN in the buffer solution.</w:t>
      </w:r>
    </w:p>
    <w:p w:rsidR="00001A36" w:rsidRPr="006A0531" w:rsidRDefault="00001A36" w:rsidP="006A0531">
      <w:pPr>
        <w:tabs>
          <w:tab w:val="clear" w:pos="6210"/>
          <w:tab w:val="left" w:pos="5543"/>
        </w:tabs>
        <w:ind w:left="-426"/>
        <w:rPr>
          <w:sz w:val="24"/>
          <w:szCs w:val="24"/>
        </w:rPr>
      </w:pPr>
      <w:r w:rsidRPr="006A0531">
        <w:rPr>
          <w:sz w:val="24"/>
          <w:szCs w:val="24"/>
        </w:rPr>
        <w:t>Eleven test tubes were numbered from 0 to 10.</w:t>
      </w:r>
      <w:r w:rsidR="006A0531" w:rsidRPr="006A0531">
        <w:rPr>
          <w:sz w:val="24"/>
          <w:szCs w:val="24"/>
        </w:rPr>
        <w:tab/>
      </w:r>
    </w:p>
    <w:p w:rsidR="00001A36" w:rsidRPr="006A0531" w:rsidRDefault="00001A36" w:rsidP="00001A36">
      <w:pPr>
        <w:tabs>
          <w:tab w:val="left" w:pos="720"/>
        </w:tabs>
        <w:spacing w:after="0"/>
        <w:ind w:left="-426"/>
        <w:rPr>
          <w:sz w:val="24"/>
          <w:szCs w:val="24"/>
        </w:rPr>
      </w:pPr>
      <w:r w:rsidRPr="006A0531">
        <w:rPr>
          <w:sz w:val="24"/>
          <w:szCs w:val="24"/>
        </w:rPr>
        <w:t>Two burettes were filled with solutions A and B separately.</w:t>
      </w:r>
    </w:p>
    <w:p w:rsidR="006A0531" w:rsidRPr="006A0531" w:rsidRDefault="006A0531" w:rsidP="00001A36">
      <w:pPr>
        <w:tabs>
          <w:tab w:val="left" w:pos="720"/>
        </w:tabs>
        <w:spacing w:after="0"/>
        <w:ind w:left="-426"/>
        <w:rPr>
          <w:sz w:val="24"/>
          <w:szCs w:val="24"/>
        </w:rPr>
      </w:pPr>
    </w:p>
    <w:p w:rsidR="00001A36" w:rsidRPr="006A0531" w:rsidRDefault="00001A36" w:rsidP="00001A36">
      <w:pPr>
        <w:tabs>
          <w:tab w:val="left" w:pos="720"/>
        </w:tabs>
        <w:spacing w:after="0"/>
        <w:ind w:left="-426"/>
        <w:rPr>
          <w:sz w:val="24"/>
          <w:szCs w:val="24"/>
        </w:rPr>
      </w:pPr>
      <w:r w:rsidRPr="006A0531">
        <w:rPr>
          <w:sz w:val="24"/>
          <w:szCs w:val="24"/>
        </w:rPr>
        <w:t>An exact volume of each of the two solutions was delivered into each test tube as specified in the table.</w:t>
      </w:r>
    </w:p>
    <w:p w:rsidR="006A0531" w:rsidRPr="006A0531" w:rsidRDefault="006A0531" w:rsidP="00001A36">
      <w:pPr>
        <w:tabs>
          <w:tab w:val="left" w:pos="720"/>
        </w:tabs>
        <w:spacing w:after="0"/>
        <w:ind w:left="-426"/>
        <w:rPr>
          <w:sz w:val="24"/>
          <w:szCs w:val="24"/>
        </w:rPr>
      </w:pPr>
    </w:p>
    <w:p w:rsidR="00001A36" w:rsidRPr="006A0531" w:rsidRDefault="00001A36" w:rsidP="00001A36">
      <w:pPr>
        <w:tabs>
          <w:tab w:val="left" w:pos="720"/>
        </w:tabs>
        <w:spacing w:after="0"/>
        <w:ind w:left="-426"/>
        <w:rPr>
          <w:sz w:val="24"/>
          <w:szCs w:val="24"/>
        </w:rPr>
      </w:pPr>
      <w:r w:rsidRPr="006A0531">
        <w:rPr>
          <w:sz w:val="24"/>
          <w:szCs w:val="24"/>
        </w:rPr>
        <w:t>Each solution was mixed and was allowed to equilibrate for at least 10 minutes.</w:t>
      </w:r>
    </w:p>
    <w:p w:rsidR="006A0531" w:rsidRPr="006A0531" w:rsidRDefault="006A0531" w:rsidP="00001A36">
      <w:pPr>
        <w:tabs>
          <w:tab w:val="left" w:pos="720"/>
        </w:tabs>
        <w:spacing w:after="0"/>
        <w:ind w:left="-426"/>
        <w:rPr>
          <w:sz w:val="24"/>
          <w:szCs w:val="24"/>
        </w:rPr>
      </w:pPr>
    </w:p>
    <w:p w:rsidR="00001A36" w:rsidRDefault="00001A36" w:rsidP="00001A36">
      <w:pPr>
        <w:tabs>
          <w:tab w:val="left" w:pos="720"/>
        </w:tabs>
        <w:spacing w:after="0"/>
        <w:ind w:left="-426"/>
        <w:rPr>
          <w:sz w:val="24"/>
          <w:szCs w:val="24"/>
        </w:rPr>
      </w:pPr>
      <w:r w:rsidRPr="006A0531">
        <w:rPr>
          <w:sz w:val="24"/>
          <w:szCs w:val="24"/>
        </w:rPr>
        <w:t>The solutions were later taken to the UV spectrophotometer where the absorption spectra.</w:t>
      </w:r>
    </w:p>
    <w:p w:rsidR="00D73BB3" w:rsidRDefault="00D73BB3" w:rsidP="00001A36">
      <w:pPr>
        <w:tabs>
          <w:tab w:val="left" w:pos="720"/>
        </w:tabs>
        <w:spacing w:after="0"/>
        <w:ind w:left="-426"/>
        <w:rPr>
          <w:sz w:val="24"/>
          <w:szCs w:val="24"/>
        </w:rPr>
      </w:pPr>
    </w:p>
    <w:p w:rsidR="00D73BB3" w:rsidRDefault="00D73BB3" w:rsidP="00001A36">
      <w:pPr>
        <w:tabs>
          <w:tab w:val="left" w:pos="720"/>
        </w:tabs>
        <w:spacing w:after="0"/>
        <w:ind w:left="-426"/>
        <w:rPr>
          <w:sz w:val="24"/>
          <w:szCs w:val="24"/>
        </w:rPr>
      </w:pPr>
    </w:p>
    <w:p w:rsidR="00D73BB3" w:rsidRDefault="00D73BB3" w:rsidP="00001A36">
      <w:pPr>
        <w:tabs>
          <w:tab w:val="left" w:pos="720"/>
        </w:tabs>
        <w:spacing w:after="0"/>
        <w:ind w:left="-426"/>
        <w:rPr>
          <w:sz w:val="24"/>
          <w:szCs w:val="24"/>
        </w:rPr>
      </w:pPr>
    </w:p>
    <w:p w:rsidR="00D73BB3" w:rsidRDefault="00D73BB3" w:rsidP="00001A36">
      <w:pPr>
        <w:tabs>
          <w:tab w:val="left" w:pos="720"/>
        </w:tabs>
        <w:spacing w:after="0"/>
        <w:ind w:left="-426"/>
        <w:rPr>
          <w:sz w:val="24"/>
          <w:szCs w:val="24"/>
        </w:rPr>
      </w:pPr>
    </w:p>
    <w:p w:rsidR="00B11229" w:rsidRDefault="00D77A48" w:rsidP="00001A36">
      <w:pPr>
        <w:tabs>
          <w:tab w:val="left" w:pos="720"/>
        </w:tabs>
        <w:spacing w:after="0"/>
        <w:ind w:left="-426"/>
        <w:rPr>
          <w:b/>
          <w:color w:val="A6A6A6" w:themeColor="background1" w:themeShade="A6"/>
          <w:sz w:val="28"/>
          <w:szCs w:val="28"/>
        </w:rPr>
      </w:pPr>
      <w:r w:rsidRPr="00D77A48">
        <w:rPr>
          <w:b/>
          <w:color w:val="A6A6A6" w:themeColor="background1" w:themeShade="A6"/>
          <w:sz w:val="28"/>
          <w:szCs w:val="28"/>
        </w:rPr>
        <w:lastRenderedPageBreak/>
        <w:drawing>
          <wp:inline distT="0" distB="0" distL="0" distR="0">
            <wp:extent cx="5943600" cy="3607115"/>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1229" w:rsidRDefault="00B11229" w:rsidP="00001A36">
      <w:pPr>
        <w:tabs>
          <w:tab w:val="left" w:pos="720"/>
        </w:tabs>
        <w:spacing w:after="0"/>
        <w:ind w:left="-426"/>
        <w:rPr>
          <w:b/>
          <w:color w:val="A6A6A6" w:themeColor="background1" w:themeShade="A6"/>
          <w:sz w:val="28"/>
          <w:szCs w:val="28"/>
        </w:rPr>
      </w:pPr>
    </w:p>
    <w:p w:rsidR="00B11229" w:rsidRDefault="00B11229" w:rsidP="00001A36">
      <w:pPr>
        <w:tabs>
          <w:tab w:val="left" w:pos="720"/>
        </w:tabs>
        <w:spacing w:after="0"/>
        <w:ind w:left="-426"/>
        <w:rPr>
          <w:b/>
          <w:color w:val="A6A6A6" w:themeColor="background1" w:themeShade="A6"/>
          <w:sz w:val="28"/>
          <w:szCs w:val="28"/>
        </w:rPr>
      </w:pPr>
    </w:p>
    <w:p w:rsidR="00B11229" w:rsidRDefault="00B11229" w:rsidP="00001A36">
      <w:pPr>
        <w:tabs>
          <w:tab w:val="left" w:pos="720"/>
        </w:tabs>
        <w:spacing w:after="0"/>
        <w:ind w:left="-426"/>
        <w:rPr>
          <w:b/>
          <w:color w:val="A6A6A6" w:themeColor="background1" w:themeShade="A6"/>
          <w:sz w:val="28"/>
          <w:szCs w:val="28"/>
        </w:rPr>
      </w:pPr>
    </w:p>
    <w:p w:rsidR="00B11229" w:rsidRDefault="00B11229" w:rsidP="00001A36">
      <w:pPr>
        <w:tabs>
          <w:tab w:val="left" w:pos="720"/>
        </w:tabs>
        <w:spacing w:after="0"/>
        <w:ind w:left="-426"/>
        <w:rPr>
          <w:b/>
          <w:color w:val="A6A6A6" w:themeColor="background1" w:themeShade="A6"/>
          <w:sz w:val="28"/>
          <w:szCs w:val="28"/>
        </w:rPr>
      </w:pPr>
    </w:p>
    <w:p w:rsidR="00B11229" w:rsidRDefault="00B11229" w:rsidP="00001A36">
      <w:pPr>
        <w:tabs>
          <w:tab w:val="left" w:pos="720"/>
        </w:tabs>
        <w:spacing w:after="0"/>
        <w:ind w:left="-426"/>
        <w:rPr>
          <w:b/>
          <w:color w:val="A6A6A6" w:themeColor="background1" w:themeShade="A6"/>
          <w:sz w:val="28"/>
          <w:szCs w:val="28"/>
        </w:rPr>
      </w:pPr>
    </w:p>
    <w:p w:rsidR="00D73BB3" w:rsidRPr="00B11229" w:rsidRDefault="00D73BB3" w:rsidP="00001A36">
      <w:pPr>
        <w:tabs>
          <w:tab w:val="left" w:pos="720"/>
        </w:tabs>
        <w:spacing w:after="0"/>
        <w:ind w:left="-426"/>
        <w:rPr>
          <w:b/>
          <w:color w:val="A6A6A6" w:themeColor="background1" w:themeShade="A6"/>
          <w:sz w:val="28"/>
          <w:szCs w:val="28"/>
        </w:rPr>
      </w:pPr>
      <w:r w:rsidRPr="00B11229">
        <w:rPr>
          <w:b/>
          <w:color w:val="A6A6A6" w:themeColor="background1" w:themeShade="A6"/>
          <w:sz w:val="28"/>
          <w:szCs w:val="28"/>
        </w:rPr>
        <w:t>DISCUSSION</w:t>
      </w:r>
    </w:p>
    <w:p w:rsidR="00D73BB3" w:rsidRDefault="00D73BB3" w:rsidP="00001A36">
      <w:pPr>
        <w:tabs>
          <w:tab w:val="left" w:pos="720"/>
        </w:tabs>
        <w:spacing w:after="0"/>
        <w:ind w:left="-426"/>
        <w:rPr>
          <w:sz w:val="24"/>
          <w:szCs w:val="24"/>
        </w:rPr>
      </w:pPr>
    </w:p>
    <w:p w:rsidR="00D73BB3" w:rsidRDefault="00CE7010" w:rsidP="00001A36">
      <w:pPr>
        <w:tabs>
          <w:tab w:val="left" w:pos="720"/>
        </w:tabs>
        <w:spacing w:after="0"/>
        <w:ind w:left="-426"/>
        <w:rPr>
          <w:sz w:val="24"/>
          <w:szCs w:val="24"/>
        </w:rPr>
      </w:pPr>
      <w:r>
        <w:rPr>
          <w:sz w:val="24"/>
          <w:szCs w:val="24"/>
        </w:rPr>
        <w:t>According to Beer’s Law, concentration of a dilute compound is proportional to its absorbance of light. To examine this absorbance, the UV spectrophotometer is used</w:t>
      </w:r>
    </w:p>
    <w:p w:rsidR="00D73BB3" w:rsidRDefault="00CE7010" w:rsidP="00001A36">
      <w:pPr>
        <w:tabs>
          <w:tab w:val="left" w:pos="720"/>
        </w:tabs>
        <w:spacing w:after="0"/>
        <w:ind w:left="-426"/>
        <w:rPr>
          <w:sz w:val="24"/>
          <w:szCs w:val="24"/>
        </w:rPr>
      </w:pPr>
      <w:r>
        <w:rPr>
          <w:sz w:val="24"/>
          <w:szCs w:val="24"/>
        </w:rPr>
        <w:t>In this experiment, the concentration of the unidentified complex is examined by the absorption procedure. This concentration is dependent on the relative amounts of Fe</w:t>
      </w:r>
      <w:r w:rsidRPr="00B11229">
        <w:rPr>
          <w:sz w:val="24"/>
          <w:szCs w:val="24"/>
          <w:vertAlign w:val="superscript"/>
        </w:rPr>
        <w:t>3+</w:t>
      </w:r>
      <w:r>
        <w:rPr>
          <w:sz w:val="24"/>
          <w:szCs w:val="24"/>
        </w:rPr>
        <w:t xml:space="preserve"> and SCN</w:t>
      </w:r>
      <w:r w:rsidRPr="00B11229">
        <w:rPr>
          <w:sz w:val="24"/>
          <w:szCs w:val="24"/>
          <w:vertAlign w:val="superscript"/>
        </w:rPr>
        <w:t>-</w:t>
      </w:r>
      <w:r>
        <w:rPr>
          <w:sz w:val="24"/>
          <w:szCs w:val="24"/>
        </w:rPr>
        <w:t xml:space="preserve"> in solution.</w:t>
      </w:r>
    </w:p>
    <w:p w:rsidR="00CE7010" w:rsidRDefault="00CE7010" w:rsidP="00001A36">
      <w:pPr>
        <w:tabs>
          <w:tab w:val="left" w:pos="720"/>
        </w:tabs>
        <w:spacing w:after="0"/>
        <w:ind w:left="-426"/>
        <w:rPr>
          <w:sz w:val="24"/>
          <w:szCs w:val="24"/>
        </w:rPr>
      </w:pPr>
      <w:r>
        <w:rPr>
          <w:sz w:val="24"/>
          <w:szCs w:val="24"/>
        </w:rPr>
        <w:t>The least absorbencies were observed when the solutions contained only one of the ions under consideration (i.e. Fe</w:t>
      </w:r>
      <w:r w:rsidRPr="00B11229">
        <w:rPr>
          <w:sz w:val="24"/>
          <w:szCs w:val="24"/>
          <w:vertAlign w:val="superscript"/>
        </w:rPr>
        <w:t>3+</w:t>
      </w:r>
      <w:r>
        <w:rPr>
          <w:sz w:val="24"/>
          <w:szCs w:val="24"/>
        </w:rPr>
        <w:t xml:space="preserve"> and SCN</w:t>
      </w:r>
      <w:r w:rsidRPr="00B11229">
        <w:rPr>
          <w:sz w:val="24"/>
          <w:szCs w:val="24"/>
          <w:vertAlign w:val="superscript"/>
        </w:rPr>
        <w:t>-</w:t>
      </w:r>
      <w:r>
        <w:rPr>
          <w:sz w:val="24"/>
          <w:szCs w:val="24"/>
        </w:rPr>
        <w:t>). This is because the complex which gives the colour and hence absorbs light is not formed.</w:t>
      </w:r>
    </w:p>
    <w:p w:rsidR="00CE7010" w:rsidRDefault="00E85A45" w:rsidP="00001A36">
      <w:pPr>
        <w:tabs>
          <w:tab w:val="left" w:pos="720"/>
        </w:tabs>
        <w:spacing w:after="0"/>
        <w:ind w:left="-426"/>
        <w:rPr>
          <w:sz w:val="24"/>
          <w:szCs w:val="24"/>
        </w:rPr>
      </w:pPr>
      <w:r>
        <w:rPr>
          <w:sz w:val="24"/>
          <w:szCs w:val="24"/>
        </w:rPr>
        <w:t>It can also be observed that as the amount of the thiocyanate increased, the absorbance also increased until it got to a peak value where it begun to fall. This can be explained by the fact that, the ratio (SCN</w:t>
      </w:r>
      <w:r w:rsidRPr="00B11229">
        <w:rPr>
          <w:sz w:val="24"/>
          <w:szCs w:val="24"/>
          <w:vertAlign w:val="superscript"/>
        </w:rPr>
        <w:t>-</w:t>
      </w:r>
      <w:r>
        <w:rPr>
          <w:sz w:val="24"/>
          <w:szCs w:val="24"/>
        </w:rPr>
        <w:t>/Fe</w:t>
      </w:r>
      <w:r w:rsidRPr="00B11229">
        <w:rPr>
          <w:sz w:val="24"/>
          <w:szCs w:val="24"/>
          <w:vertAlign w:val="superscript"/>
        </w:rPr>
        <w:t>3+</w:t>
      </w:r>
      <w:r>
        <w:rPr>
          <w:sz w:val="24"/>
          <w:szCs w:val="24"/>
        </w:rPr>
        <w:t>) for maximum amount of the complex to be formed was being neared as the amount of thiocyanate increased and the iron (III) decreased. The peak value for absorbance was observed when the ratio equalled n, the ratio for the highest amount of complex that could be formed under the given conditions. From the graph, this absorbance occurred at the point where the amounts of Fe</w:t>
      </w:r>
      <w:r w:rsidRPr="00B11229">
        <w:rPr>
          <w:sz w:val="24"/>
          <w:szCs w:val="24"/>
          <w:vertAlign w:val="superscript"/>
        </w:rPr>
        <w:t xml:space="preserve">3+ </w:t>
      </w:r>
      <w:r>
        <w:rPr>
          <w:sz w:val="24"/>
          <w:szCs w:val="24"/>
        </w:rPr>
        <w:t>and SCN</w:t>
      </w:r>
      <w:r w:rsidRPr="00B11229">
        <w:rPr>
          <w:sz w:val="24"/>
          <w:szCs w:val="24"/>
          <w:vertAlign w:val="superscript"/>
        </w:rPr>
        <w:t>-</w:t>
      </w:r>
      <w:r>
        <w:rPr>
          <w:sz w:val="24"/>
          <w:szCs w:val="24"/>
        </w:rPr>
        <w:t xml:space="preserve"> were the same.</w:t>
      </w:r>
    </w:p>
    <w:p w:rsidR="00E85A45" w:rsidRDefault="00E85A45" w:rsidP="00001A36">
      <w:pPr>
        <w:tabs>
          <w:tab w:val="left" w:pos="720"/>
        </w:tabs>
        <w:spacing w:after="0"/>
        <w:ind w:left="-426"/>
        <w:rPr>
          <w:sz w:val="24"/>
          <w:szCs w:val="24"/>
        </w:rPr>
      </w:pPr>
    </w:p>
    <w:p w:rsidR="00E85A45" w:rsidRPr="00B11229" w:rsidRDefault="00E85A45" w:rsidP="00001A36">
      <w:pPr>
        <w:tabs>
          <w:tab w:val="left" w:pos="720"/>
        </w:tabs>
        <w:spacing w:after="0"/>
        <w:ind w:left="-426"/>
        <w:rPr>
          <w:b/>
          <w:color w:val="A6A6A6" w:themeColor="background1" w:themeShade="A6"/>
          <w:sz w:val="28"/>
          <w:szCs w:val="28"/>
        </w:rPr>
      </w:pPr>
    </w:p>
    <w:p w:rsidR="00B11229" w:rsidRPr="00B11229" w:rsidRDefault="00B11229" w:rsidP="00001A36">
      <w:pPr>
        <w:tabs>
          <w:tab w:val="left" w:pos="720"/>
        </w:tabs>
        <w:spacing w:after="0"/>
        <w:ind w:left="-426"/>
        <w:rPr>
          <w:b/>
          <w:color w:val="A6A6A6" w:themeColor="background1" w:themeShade="A6"/>
          <w:sz w:val="28"/>
          <w:szCs w:val="28"/>
        </w:rPr>
      </w:pPr>
      <w:r w:rsidRPr="00B11229">
        <w:rPr>
          <w:b/>
          <w:color w:val="A6A6A6" w:themeColor="background1" w:themeShade="A6"/>
          <w:sz w:val="28"/>
          <w:szCs w:val="28"/>
        </w:rPr>
        <w:t>CONCLUSION</w:t>
      </w:r>
    </w:p>
    <w:p w:rsidR="00B11229" w:rsidRDefault="00B11229" w:rsidP="00001A36">
      <w:pPr>
        <w:tabs>
          <w:tab w:val="left" w:pos="720"/>
        </w:tabs>
        <w:spacing w:after="0"/>
        <w:ind w:left="-426"/>
        <w:rPr>
          <w:sz w:val="24"/>
          <w:szCs w:val="24"/>
        </w:rPr>
      </w:pPr>
    </w:p>
    <w:p w:rsidR="00CE7010" w:rsidRDefault="00B11229" w:rsidP="00B11229">
      <w:pPr>
        <w:tabs>
          <w:tab w:val="left" w:pos="720"/>
        </w:tabs>
        <w:spacing w:after="0"/>
        <w:ind w:left="-426"/>
        <w:rPr>
          <w:sz w:val="24"/>
          <w:szCs w:val="24"/>
        </w:rPr>
      </w:pPr>
      <w:r>
        <w:rPr>
          <w:sz w:val="24"/>
          <w:szCs w:val="24"/>
        </w:rPr>
        <w:t>With amounts of the thiocyanate and iron (III) being the same, n equals 1. The general formula for the complex is [Fe(SCN)</w:t>
      </w:r>
      <w:r w:rsidRPr="00B11229">
        <w:rPr>
          <w:sz w:val="24"/>
          <w:szCs w:val="24"/>
          <w:vertAlign w:val="subscript"/>
        </w:rPr>
        <w:t>n</w:t>
      </w:r>
      <w:r>
        <w:rPr>
          <w:sz w:val="24"/>
          <w:szCs w:val="24"/>
        </w:rPr>
        <w:t>(H</w:t>
      </w:r>
      <w:r w:rsidRPr="00B11229">
        <w:rPr>
          <w:sz w:val="24"/>
          <w:szCs w:val="24"/>
          <w:vertAlign w:val="subscript"/>
        </w:rPr>
        <w:t>2</w:t>
      </w:r>
      <w:r>
        <w:rPr>
          <w:sz w:val="24"/>
          <w:szCs w:val="24"/>
        </w:rPr>
        <w:t>O)</w:t>
      </w:r>
      <w:r w:rsidRPr="00B11229">
        <w:rPr>
          <w:sz w:val="24"/>
          <w:szCs w:val="24"/>
          <w:vertAlign w:val="subscript"/>
        </w:rPr>
        <w:t>6-n</w:t>
      </w:r>
      <w:r>
        <w:rPr>
          <w:sz w:val="24"/>
          <w:szCs w:val="24"/>
        </w:rPr>
        <w:t>]</w:t>
      </w:r>
      <w:r w:rsidRPr="00B11229">
        <w:rPr>
          <w:sz w:val="24"/>
          <w:szCs w:val="24"/>
          <w:vertAlign w:val="superscript"/>
        </w:rPr>
        <w:t>3-n</w:t>
      </w:r>
      <w:r>
        <w:rPr>
          <w:sz w:val="24"/>
          <w:szCs w:val="24"/>
        </w:rPr>
        <w:t>. With n=1, the stable complex formed under the given conditions of this experiment is [Fe(SCN)(H</w:t>
      </w:r>
      <w:r w:rsidRPr="00B11229">
        <w:rPr>
          <w:sz w:val="24"/>
          <w:szCs w:val="24"/>
          <w:vertAlign w:val="subscript"/>
        </w:rPr>
        <w:t>2</w:t>
      </w:r>
      <w:r>
        <w:rPr>
          <w:sz w:val="24"/>
          <w:szCs w:val="24"/>
        </w:rPr>
        <w:t>O)</w:t>
      </w:r>
      <w:r w:rsidRPr="00B11229">
        <w:rPr>
          <w:sz w:val="24"/>
          <w:szCs w:val="24"/>
          <w:vertAlign w:val="subscript"/>
        </w:rPr>
        <w:t>5</w:t>
      </w:r>
      <w:r>
        <w:rPr>
          <w:sz w:val="24"/>
          <w:szCs w:val="24"/>
        </w:rPr>
        <w:t>]</w:t>
      </w:r>
      <w:r w:rsidRPr="00B11229">
        <w:rPr>
          <w:sz w:val="24"/>
          <w:szCs w:val="24"/>
          <w:vertAlign w:val="superscript"/>
        </w:rPr>
        <w:t>2+</w:t>
      </w:r>
      <w:r>
        <w:rPr>
          <w:sz w:val="24"/>
          <w:szCs w:val="24"/>
        </w:rPr>
        <w:t>.</w:t>
      </w:r>
      <w:r>
        <w:rPr>
          <w:sz w:val="24"/>
          <w:szCs w:val="24"/>
          <w:vertAlign w:val="superscript"/>
        </w:rPr>
        <w:t xml:space="preserve"> </w:t>
      </w:r>
    </w:p>
    <w:p w:rsidR="00D77A48" w:rsidRPr="00D77A48" w:rsidRDefault="00D77A48" w:rsidP="00B11229">
      <w:pPr>
        <w:tabs>
          <w:tab w:val="left" w:pos="720"/>
        </w:tabs>
        <w:spacing w:after="0"/>
        <w:ind w:left="-426"/>
        <w:rPr>
          <w:color w:val="A6A6A6" w:themeColor="background1" w:themeShade="A6"/>
          <w:sz w:val="28"/>
          <w:szCs w:val="28"/>
        </w:rPr>
      </w:pPr>
    </w:p>
    <w:p w:rsidR="00D77A48" w:rsidRPr="00D77A48" w:rsidRDefault="00D77A48" w:rsidP="00D77A48">
      <w:pPr>
        <w:ind w:left="-426"/>
        <w:rPr>
          <w:b/>
          <w:color w:val="A6A6A6" w:themeColor="background1" w:themeShade="A6"/>
          <w:sz w:val="28"/>
          <w:szCs w:val="28"/>
        </w:rPr>
      </w:pPr>
      <w:r w:rsidRPr="00D77A48">
        <w:rPr>
          <w:b/>
          <w:color w:val="A6A6A6" w:themeColor="background1" w:themeShade="A6"/>
          <w:sz w:val="28"/>
          <w:szCs w:val="28"/>
        </w:rPr>
        <w:t>PRECAUTIONS</w:t>
      </w:r>
    </w:p>
    <w:p w:rsidR="00D77A48" w:rsidRPr="00D77A48" w:rsidRDefault="00D77A48" w:rsidP="00D77A48">
      <w:pPr>
        <w:pStyle w:val="ListParagraph"/>
        <w:numPr>
          <w:ilvl w:val="0"/>
          <w:numId w:val="14"/>
        </w:numPr>
        <w:tabs>
          <w:tab w:val="clear" w:pos="6210"/>
          <w:tab w:val="left" w:pos="720"/>
        </w:tabs>
        <w:spacing w:after="0"/>
        <w:rPr>
          <w:sz w:val="24"/>
          <w:szCs w:val="24"/>
        </w:rPr>
      </w:pPr>
      <w:r w:rsidRPr="00D77A48">
        <w:rPr>
          <w:sz w:val="24"/>
          <w:szCs w:val="24"/>
        </w:rPr>
        <w:t>All volumes were read at the meniscus.</w:t>
      </w:r>
    </w:p>
    <w:p w:rsidR="00D77A48" w:rsidRPr="00D77A48" w:rsidRDefault="00D77A48" w:rsidP="00D77A48">
      <w:pPr>
        <w:pStyle w:val="ListParagraph"/>
        <w:numPr>
          <w:ilvl w:val="0"/>
          <w:numId w:val="14"/>
        </w:numPr>
        <w:tabs>
          <w:tab w:val="clear" w:pos="6210"/>
          <w:tab w:val="left" w:pos="720"/>
        </w:tabs>
        <w:spacing w:after="0"/>
        <w:rPr>
          <w:sz w:val="24"/>
          <w:szCs w:val="24"/>
        </w:rPr>
      </w:pPr>
      <w:r w:rsidRPr="00D77A48">
        <w:rPr>
          <w:sz w:val="24"/>
          <w:szCs w:val="24"/>
        </w:rPr>
        <w:t>All apparatus were washed before the experiment to minimise any errors.</w:t>
      </w:r>
    </w:p>
    <w:p w:rsidR="00D77A48" w:rsidRPr="00D77A48" w:rsidRDefault="00D77A48" w:rsidP="00D77A48">
      <w:pPr>
        <w:pStyle w:val="ListParagraph"/>
        <w:numPr>
          <w:ilvl w:val="0"/>
          <w:numId w:val="14"/>
        </w:numPr>
        <w:tabs>
          <w:tab w:val="clear" w:pos="6210"/>
          <w:tab w:val="left" w:pos="720"/>
        </w:tabs>
        <w:spacing w:after="0"/>
        <w:rPr>
          <w:sz w:val="24"/>
          <w:szCs w:val="24"/>
        </w:rPr>
      </w:pPr>
      <w:r w:rsidRPr="00D77A48">
        <w:rPr>
          <w:sz w:val="24"/>
          <w:szCs w:val="24"/>
        </w:rPr>
        <w:t>Solutions were carefully disposed off in the hood.</w:t>
      </w:r>
    </w:p>
    <w:p w:rsidR="00D77A48" w:rsidRPr="00D77A48" w:rsidRDefault="00D77A48" w:rsidP="00D77A48">
      <w:pPr>
        <w:pStyle w:val="ListParagraph"/>
        <w:numPr>
          <w:ilvl w:val="0"/>
          <w:numId w:val="14"/>
        </w:numPr>
        <w:tabs>
          <w:tab w:val="clear" w:pos="6210"/>
          <w:tab w:val="left" w:pos="720"/>
        </w:tabs>
        <w:spacing w:after="0"/>
        <w:rPr>
          <w:sz w:val="24"/>
          <w:szCs w:val="24"/>
        </w:rPr>
      </w:pPr>
      <w:r w:rsidRPr="00D77A48">
        <w:rPr>
          <w:sz w:val="24"/>
          <w:szCs w:val="24"/>
        </w:rPr>
        <w:t>Hands were washed before leaving the laboratory.</w:t>
      </w:r>
    </w:p>
    <w:p w:rsidR="00D77A48" w:rsidRDefault="00D77A48" w:rsidP="00D77A48">
      <w:pPr>
        <w:tabs>
          <w:tab w:val="left" w:pos="720"/>
        </w:tabs>
        <w:spacing w:after="0"/>
        <w:ind w:left="-426"/>
        <w:rPr>
          <w:sz w:val="24"/>
          <w:szCs w:val="24"/>
        </w:rPr>
      </w:pPr>
    </w:p>
    <w:p w:rsidR="00D77A48" w:rsidRDefault="00D77A48" w:rsidP="00D77A48">
      <w:pPr>
        <w:tabs>
          <w:tab w:val="left" w:pos="720"/>
        </w:tabs>
        <w:spacing w:after="0"/>
        <w:ind w:left="-426"/>
        <w:rPr>
          <w:sz w:val="24"/>
          <w:szCs w:val="24"/>
        </w:rPr>
      </w:pPr>
    </w:p>
    <w:p w:rsidR="00D77A48" w:rsidRPr="00D77A48" w:rsidRDefault="00D77A48" w:rsidP="00D77A48">
      <w:pPr>
        <w:rPr>
          <w:b/>
          <w:color w:val="A6A6A6" w:themeColor="background1" w:themeShade="A6"/>
          <w:sz w:val="28"/>
          <w:szCs w:val="28"/>
        </w:rPr>
      </w:pPr>
      <w:r w:rsidRPr="00D77A48">
        <w:rPr>
          <w:b/>
          <w:color w:val="A6A6A6" w:themeColor="background1" w:themeShade="A6"/>
          <w:sz w:val="28"/>
          <w:szCs w:val="28"/>
        </w:rPr>
        <w:t>REFERENCES</w:t>
      </w:r>
    </w:p>
    <w:p w:rsidR="00D77A48" w:rsidRPr="00D77A48" w:rsidRDefault="00D77A48" w:rsidP="00D77A48">
      <w:pPr>
        <w:pStyle w:val="NoSpacing"/>
        <w:rPr>
          <w:sz w:val="24"/>
          <w:szCs w:val="24"/>
        </w:rPr>
      </w:pPr>
      <w:r w:rsidRPr="00D77A48">
        <w:rPr>
          <w:sz w:val="24"/>
          <w:szCs w:val="24"/>
        </w:rPr>
        <w:t>General Chemistry Practical</w:t>
      </w:r>
      <w:r>
        <w:rPr>
          <w:sz w:val="24"/>
          <w:szCs w:val="24"/>
        </w:rPr>
        <w:t>.</w:t>
      </w:r>
    </w:p>
    <w:p w:rsidR="00D77A48" w:rsidRDefault="00D77A48" w:rsidP="00D77A48">
      <w:pPr>
        <w:pStyle w:val="NoSpacing"/>
        <w:rPr>
          <w:sz w:val="24"/>
          <w:szCs w:val="24"/>
        </w:rPr>
      </w:pPr>
      <w:r w:rsidRPr="00D77A48">
        <w:rPr>
          <w:sz w:val="24"/>
          <w:szCs w:val="24"/>
        </w:rPr>
        <w:t xml:space="preserve">Concise Inorganic Chemistry, Fifth Edition by </w:t>
      </w:r>
      <w:r>
        <w:rPr>
          <w:sz w:val="24"/>
          <w:szCs w:val="24"/>
        </w:rPr>
        <w:t xml:space="preserve">J.D Lee </w:t>
      </w:r>
    </w:p>
    <w:p w:rsidR="00D77A48" w:rsidRDefault="00D77A48" w:rsidP="00D77A48">
      <w:pPr>
        <w:pStyle w:val="NoSpacing"/>
        <w:rPr>
          <w:sz w:val="24"/>
          <w:szCs w:val="24"/>
        </w:rPr>
      </w:pPr>
    </w:p>
    <w:p w:rsidR="00D77A48" w:rsidRDefault="00D77A48" w:rsidP="00D77A48">
      <w:pPr>
        <w:pStyle w:val="NoSpacing"/>
        <w:rPr>
          <w:sz w:val="24"/>
          <w:szCs w:val="24"/>
        </w:rPr>
      </w:pPr>
    </w:p>
    <w:p w:rsidR="00D77A48" w:rsidRPr="001B14EF" w:rsidRDefault="00D77A48" w:rsidP="00D77A48">
      <w:pPr>
        <w:pStyle w:val="NoSpacing"/>
        <w:rPr>
          <w:b/>
          <w:color w:val="A6A6A6" w:themeColor="background1" w:themeShade="A6"/>
          <w:sz w:val="24"/>
          <w:szCs w:val="24"/>
        </w:rPr>
      </w:pPr>
      <w:r w:rsidRPr="001B14EF">
        <w:rPr>
          <w:b/>
          <w:color w:val="A6A6A6" w:themeColor="background1" w:themeShade="A6"/>
          <w:sz w:val="24"/>
          <w:szCs w:val="24"/>
        </w:rPr>
        <w:t>Rest of Pre-Lab</w:t>
      </w:r>
    </w:p>
    <w:p w:rsidR="00D77A48" w:rsidRDefault="00D77A48" w:rsidP="00D77A48">
      <w:pPr>
        <w:pStyle w:val="NoSpacing"/>
        <w:rPr>
          <w:sz w:val="24"/>
          <w:szCs w:val="24"/>
        </w:rPr>
      </w:pPr>
    </w:p>
    <w:p w:rsidR="00D77A48" w:rsidRDefault="001B14EF" w:rsidP="001B14EF">
      <w:pPr>
        <w:pStyle w:val="NoSpacing"/>
        <w:ind w:right="-279"/>
        <w:rPr>
          <w:sz w:val="24"/>
          <w:szCs w:val="24"/>
        </w:rPr>
      </w:pPr>
      <w:r>
        <w:rPr>
          <w:sz w:val="24"/>
          <w:szCs w:val="24"/>
        </w:rPr>
        <w:t xml:space="preserve">3.  A species which is completely transparent to a wavelength with </w:t>
      </w:r>
      <w:r w:rsidRPr="001B14EF">
        <w:rPr>
          <w:b/>
          <w:sz w:val="24"/>
          <w:szCs w:val="24"/>
        </w:rPr>
        <w:t>I</w:t>
      </w:r>
      <w:r w:rsidRPr="001B14EF">
        <w:rPr>
          <w:sz w:val="24"/>
          <w:szCs w:val="24"/>
          <w:vertAlign w:val="subscript"/>
        </w:rPr>
        <w:t>o</w:t>
      </w:r>
      <w:r>
        <w:rPr>
          <w:sz w:val="24"/>
          <w:szCs w:val="24"/>
        </w:rPr>
        <w:t>=</w:t>
      </w:r>
      <w:r w:rsidRPr="001B14EF">
        <w:rPr>
          <w:b/>
          <w:sz w:val="24"/>
          <w:szCs w:val="24"/>
        </w:rPr>
        <w:t>I</w:t>
      </w:r>
      <w:r>
        <w:rPr>
          <w:sz w:val="24"/>
          <w:szCs w:val="24"/>
        </w:rPr>
        <w:t>, would mean the species did not absorb any light and should have absorbance A of zero and a percent transmittance (T %) of 100%.</w:t>
      </w:r>
    </w:p>
    <w:p w:rsidR="001B14EF" w:rsidRDefault="001B14EF" w:rsidP="00D77A48">
      <w:pPr>
        <w:pStyle w:val="NoSpacing"/>
        <w:rPr>
          <w:sz w:val="24"/>
          <w:szCs w:val="24"/>
        </w:rPr>
      </w:pPr>
    </w:p>
    <w:p w:rsidR="001B14EF" w:rsidRPr="00D77A48" w:rsidRDefault="001B14EF" w:rsidP="00D77A48">
      <w:pPr>
        <w:pStyle w:val="NoSpacing"/>
        <w:rPr>
          <w:sz w:val="24"/>
          <w:szCs w:val="24"/>
        </w:rPr>
      </w:pPr>
      <w:r>
        <w:rPr>
          <w:sz w:val="24"/>
          <w:szCs w:val="24"/>
        </w:rPr>
        <w:t xml:space="preserve">4. A completely opaque species with </w:t>
      </w:r>
      <w:r w:rsidRPr="001B14EF">
        <w:rPr>
          <w:b/>
          <w:sz w:val="24"/>
          <w:szCs w:val="24"/>
        </w:rPr>
        <w:t>I</w:t>
      </w:r>
      <w:r>
        <w:rPr>
          <w:sz w:val="24"/>
          <w:szCs w:val="24"/>
        </w:rPr>
        <w:t xml:space="preserve"> equal to zero, absorbs all the light passing through it and should have an absorbance of 1 and percent transmittance (T %) of 0%.</w:t>
      </w:r>
    </w:p>
    <w:p w:rsidR="00D77A48" w:rsidRPr="00D14A2C" w:rsidRDefault="00D77A48" w:rsidP="00D77A48"/>
    <w:p w:rsidR="00D77A48" w:rsidRPr="00D14A2C" w:rsidRDefault="00D77A48" w:rsidP="00D77A48"/>
    <w:p w:rsidR="00D77A48" w:rsidRPr="00D77A48" w:rsidRDefault="00D77A48" w:rsidP="00D77A48">
      <w:pPr>
        <w:tabs>
          <w:tab w:val="left" w:pos="720"/>
        </w:tabs>
        <w:spacing w:after="0"/>
        <w:ind w:left="-426"/>
        <w:rPr>
          <w:sz w:val="24"/>
          <w:szCs w:val="24"/>
        </w:rPr>
      </w:pPr>
    </w:p>
    <w:sectPr w:rsidR="00D77A48" w:rsidRPr="00D77A48" w:rsidSect="00001A36">
      <w:headerReference w:type="even" r:id="rId9"/>
      <w:headerReference w:type="default" r:id="rId10"/>
      <w:footerReference w:type="even" r:id="rId11"/>
      <w:footerReference w:type="default" r:id="rId12"/>
      <w:pgSz w:w="12240" w:h="15840"/>
      <w:pgMar w:top="1202" w:right="1440" w:bottom="1440" w:left="1440" w:header="708" w:footer="34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504" w:rsidRDefault="00944504" w:rsidP="00526BF9">
      <w:pPr>
        <w:spacing w:after="0"/>
      </w:pPr>
      <w:r>
        <w:separator/>
      </w:r>
    </w:p>
    <w:p w:rsidR="00944504" w:rsidRDefault="00944504"/>
  </w:endnote>
  <w:endnote w:type="continuationSeparator" w:id="1">
    <w:p w:rsidR="00944504" w:rsidRDefault="00944504" w:rsidP="00526BF9">
      <w:pPr>
        <w:spacing w:after="0"/>
      </w:pPr>
      <w:r>
        <w:continuationSeparator/>
      </w:r>
    </w:p>
    <w:p w:rsidR="00944504" w:rsidRDefault="00944504"/>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Aharoni">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BB3" w:rsidRDefault="00D73BB3">
    <w:pPr>
      <w:pStyle w:val="Footer"/>
    </w:pPr>
  </w:p>
  <w:p w:rsidR="00D73BB3" w:rsidRDefault="00D73BB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73BB3" w:rsidTr="00001A36">
      <w:tc>
        <w:tcPr>
          <w:tcW w:w="993" w:type="dxa"/>
        </w:tcPr>
        <w:p w:rsidR="00D73BB3" w:rsidRDefault="00D73BB3">
          <w:pPr>
            <w:pStyle w:val="Footer"/>
            <w:jc w:val="right"/>
            <w:rPr>
              <w:b/>
              <w:color w:val="4F81BD" w:themeColor="accent1"/>
              <w:sz w:val="32"/>
              <w:szCs w:val="32"/>
            </w:rPr>
          </w:pPr>
          <w:fldSimple w:instr=" PAGE   \* MERGEFORMAT ">
            <w:r w:rsidR="001B14EF" w:rsidRPr="001B14EF">
              <w:rPr>
                <w:b/>
                <w:noProof/>
                <w:color w:val="4F81BD" w:themeColor="accent1"/>
                <w:sz w:val="32"/>
                <w:szCs w:val="32"/>
              </w:rPr>
              <w:t>4</w:t>
            </w:r>
          </w:fldSimple>
        </w:p>
      </w:tc>
      <w:tc>
        <w:tcPr>
          <w:tcW w:w="8583" w:type="dxa"/>
        </w:tcPr>
        <w:p w:rsidR="00D73BB3" w:rsidRDefault="00D73BB3">
          <w:pPr>
            <w:pStyle w:val="Footer"/>
          </w:pPr>
        </w:p>
      </w:tc>
    </w:tr>
  </w:tbl>
  <w:p w:rsidR="00D73BB3" w:rsidRDefault="00D73BB3">
    <w:pPr>
      <w:pStyle w:val="Footer"/>
    </w:pPr>
  </w:p>
  <w:p w:rsidR="00D73BB3" w:rsidRDefault="00D73BB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504" w:rsidRDefault="00944504" w:rsidP="00526BF9">
      <w:pPr>
        <w:spacing w:after="0"/>
      </w:pPr>
      <w:r>
        <w:separator/>
      </w:r>
    </w:p>
    <w:p w:rsidR="00944504" w:rsidRDefault="00944504"/>
  </w:footnote>
  <w:footnote w:type="continuationSeparator" w:id="1">
    <w:p w:rsidR="00944504" w:rsidRDefault="00944504" w:rsidP="00526BF9">
      <w:pPr>
        <w:spacing w:after="0"/>
      </w:pPr>
      <w:r>
        <w:continuationSeparator/>
      </w:r>
    </w:p>
    <w:p w:rsidR="00944504" w:rsidRDefault="0094450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BB3" w:rsidRDefault="00D73BB3">
    <w:pPr>
      <w:pStyle w:val="Header"/>
    </w:pPr>
  </w:p>
  <w:p w:rsidR="00D73BB3" w:rsidRDefault="00D73BB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05" w:type="dxa"/>
      <w:tblCellMar>
        <w:top w:w="58" w:type="dxa"/>
        <w:left w:w="115" w:type="dxa"/>
        <w:bottom w:w="58" w:type="dxa"/>
        <w:right w:w="115" w:type="dxa"/>
      </w:tblCellMar>
      <w:tblLook w:val="04A0"/>
    </w:tblPr>
    <w:tblGrid>
      <w:gridCol w:w="1438"/>
      <w:gridCol w:w="8152"/>
    </w:tblGrid>
    <w:tr w:rsidR="00D73BB3" w:rsidTr="00526BF9">
      <w:tc>
        <w:tcPr>
          <w:tcW w:w="750" w:type="pct"/>
          <w:tcBorders>
            <w:right w:val="single" w:sz="18" w:space="0" w:color="4F81BD" w:themeColor="accent1"/>
          </w:tcBorders>
        </w:tcPr>
        <w:p w:rsidR="00D73BB3" w:rsidRDefault="00D73BB3">
          <w:pPr>
            <w:pStyle w:val="Header"/>
          </w:pPr>
        </w:p>
      </w:tc>
      <w:sdt>
        <w:sdtPr>
          <w:rPr>
            <w:rFonts w:ascii="Adobe Garamond Pro Bold" w:eastAsiaTheme="majorEastAsia" w:hAnsi="Adobe Garamond Pro Bold" w:cs="Aharoni"/>
            <w:color w:val="D9D9D9" w:themeColor="background1" w:themeShade="D9"/>
            <w:sz w:val="28"/>
            <w:szCs w:val="28"/>
          </w:rPr>
          <w:alias w:val="Title"/>
          <w:id w:val="77580493"/>
          <w:placeholder>
            <w:docPart w:val="4FE93BBD422E4B90BF98AE38A3990655"/>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D73BB3" w:rsidRDefault="00D73BB3">
              <w:pPr>
                <w:pStyle w:val="Header"/>
                <w:rPr>
                  <w:rFonts w:asciiTheme="majorHAnsi" w:eastAsiaTheme="majorEastAsia" w:hAnsiTheme="majorHAnsi" w:cstheme="majorBidi"/>
                  <w:color w:val="4F81BD" w:themeColor="accent1"/>
                  <w:sz w:val="24"/>
                  <w:szCs w:val="24"/>
                </w:rPr>
              </w:pPr>
              <w:r w:rsidRPr="00526BF9">
                <w:rPr>
                  <w:rFonts w:ascii="Adobe Garamond Pro Bold" w:eastAsiaTheme="majorEastAsia" w:hAnsi="Adobe Garamond Pro Bold" w:cs="Aharoni"/>
                  <w:color w:val="D9D9D9" w:themeColor="background1" w:themeShade="D9"/>
                  <w:sz w:val="28"/>
                  <w:szCs w:val="28"/>
                </w:rPr>
                <w:t>Lab Report</w:t>
              </w:r>
            </w:p>
          </w:tc>
        </w:sdtContent>
      </w:sdt>
    </w:tr>
  </w:tbl>
  <w:p w:rsidR="00D73BB3" w:rsidRDefault="00D73BB3">
    <w:pPr>
      <w:pStyle w:val="Header"/>
    </w:pPr>
  </w:p>
  <w:p w:rsidR="00D73BB3" w:rsidRDefault="00D73BB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4AF7"/>
    <w:multiLevelType w:val="singleLevel"/>
    <w:tmpl w:val="AA32C3FA"/>
    <w:lvl w:ilvl="0">
      <w:start w:val="1"/>
      <w:numFmt w:val="decimal"/>
      <w:lvlText w:val="%1."/>
      <w:legacy w:legacy="1" w:legacySpace="0" w:legacyIndent="360"/>
      <w:lvlJc w:val="left"/>
      <w:rPr>
        <w:rFonts w:ascii="Arial" w:hAnsi="Arial" w:cs="Arial" w:hint="default"/>
      </w:rPr>
    </w:lvl>
  </w:abstractNum>
  <w:abstractNum w:abstractNumId="1">
    <w:nsid w:val="128C39FE"/>
    <w:multiLevelType w:val="singleLevel"/>
    <w:tmpl w:val="AA32C3FA"/>
    <w:lvl w:ilvl="0">
      <w:start w:val="1"/>
      <w:numFmt w:val="decimal"/>
      <w:lvlText w:val="%1."/>
      <w:legacy w:legacy="1" w:legacySpace="0" w:legacyIndent="360"/>
      <w:lvlJc w:val="left"/>
      <w:rPr>
        <w:rFonts w:ascii="Arial" w:hAnsi="Arial" w:cs="Arial" w:hint="default"/>
      </w:rPr>
    </w:lvl>
  </w:abstractNum>
  <w:abstractNum w:abstractNumId="2">
    <w:nsid w:val="22AE1B62"/>
    <w:multiLevelType w:val="hybridMultilevel"/>
    <w:tmpl w:val="8834CF1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
    <w:nsid w:val="5F50574D"/>
    <w:multiLevelType w:val="singleLevel"/>
    <w:tmpl w:val="AA32C3FA"/>
    <w:lvl w:ilvl="0">
      <w:start w:val="1"/>
      <w:numFmt w:val="decimal"/>
      <w:lvlText w:val="%1."/>
      <w:legacy w:legacy="1" w:legacySpace="0" w:legacyIndent="360"/>
      <w:lvlJc w:val="left"/>
      <w:rPr>
        <w:rFonts w:ascii="Arial" w:hAnsi="Arial" w:cs="Arial" w:hint="default"/>
      </w:rPr>
    </w:lvl>
  </w:abstractNum>
  <w:num w:numId="1">
    <w:abstractNumId w:val="1"/>
  </w:num>
  <w:num w:numId="2">
    <w:abstractNumId w:val="1"/>
    <w:lvlOverride w:ilvl="0">
      <w:lvl w:ilvl="0">
        <w:start w:val="2"/>
        <w:numFmt w:val="decimal"/>
        <w:lvlText w:val="%1."/>
        <w:legacy w:legacy="1" w:legacySpace="0" w:legacyIndent="360"/>
        <w:lvlJc w:val="left"/>
        <w:rPr>
          <w:rFonts w:ascii="Arial" w:hAnsi="Arial" w:cs="Arial" w:hint="default"/>
        </w:rPr>
      </w:lvl>
    </w:lvlOverride>
  </w:num>
  <w:num w:numId="3">
    <w:abstractNumId w:val="1"/>
    <w:lvlOverride w:ilvl="0">
      <w:lvl w:ilvl="0">
        <w:start w:val="3"/>
        <w:numFmt w:val="decimal"/>
        <w:lvlText w:val="%1."/>
        <w:legacy w:legacy="1" w:legacySpace="0" w:legacyIndent="360"/>
        <w:lvlJc w:val="left"/>
        <w:rPr>
          <w:rFonts w:ascii="Arial" w:hAnsi="Arial" w:cs="Arial" w:hint="default"/>
        </w:rPr>
      </w:lvl>
    </w:lvlOverride>
  </w:num>
  <w:num w:numId="4">
    <w:abstractNumId w:val="3"/>
  </w:num>
  <w:num w:numId="5">
    <w:abstractNumId w:val="3"/>
    <w:lvlOverride w:ilvl="0">
      <w:lvl w:ilvl="0">
        <w:start w:val="2"/>
        <w:numFmt w:val="decimal"/>
        <w:lvlText w:val="%1."/>
        <w:legacy w:legacy="1" w:legacySpace="0" w:legacyIndent="360"/>
        <w:lvlJc w:val="left"/>
        <w:rPr>
          <w:rFonts w:ascii="Arial" w:hAnsi="Arial" w:cs="Arial" w:hint="default"/>
        </w:rPr>
      </w:lvl>
    </w:lvlOverride>
  </w:num>
  <w:num w:numId="6">
    <w:abstractNumId w:val="3"/>
    <w:lvlOverride w:ilvl="0">
      <w:lvl w:ilvl="0">
        <w:start w:val="3"/>
        <w:numFmt w:val="decimal"/>
        <w:lvlText w:val="%1."/>
        <w:legacy w:legacy="1" w:legacySpace="0" w:legacyIndent="360"/>
        <w:lvlJc w:val="left"/>
        <w:rPr>
          <w:rFonts w:ascii="Arial" w:hAnsi="Arial" w:cs="Arial" w:hint="default"/>
        </w:rPr>
      </w:lvl>
    </w:lvlOverride>
  </w:num>
  <w:num w:numId="7">
    <w:abstractNumId w:val="3"/>
    <w:lvlOverride w:ilvl="0">
      <w:lvl w:ilvl="0">
        <w:start w:val="4"/>
        <w:numFmt w:val="decimal"/>
        <w:lvlText w:val="%1."/>
        <w:legacy w:legacy="1" w:legacySpace="0" w:legacyIndent="360"/>
        <w:lvlJc w:val="left"/>
        <w:rPr>
          <w:rFonts w:ascii="Arial" w:hAnsi="Arial" w:cs="Arial" w:hint="default"/>
        </w:rPr>
      </w:lvl>
    </w:lvlOverride>
  </w:num>
  <w:num w:numId="8">
    <w:abstractNumId w:val="3"/>
    <w:lvlOverride w:ilvl="0">
      <w:lvl w:ilvl="0">
        <w:start w:val="5"/>
        <w:numFmt w:val="decimal"/>
        <w:lvlText w:val="%1."/>
        <w:legacy w:legacy="1" w:legacySpace="0" w:legacyIndent="360"/>
        <w:lvlJc w:val="left"/>
        <w:rPr>
          <w:rFonts w:ascii="Arial" w:hAnsi="Arial" w:cs="Arial" w:hint="default"/>
        </w:rPr>
      </w:lvl>
    </w:lvlOverride>
  </w:num>
  <w:num w:numId="9">
    <w:abstractNumId w:val="3"/>
    <w:lvlOverride w:ilvl="0">
      <w:lvl w:ilvl="0">
        <w:start w:val="6"/>
        <w:numFmt w:val="decimal"/>
        <w:lvlText w:val="%1."/>
        <w:legacy w:legacy="1" w:legacySpace="0" w:legacyIndent="360"/>
        <w:lvlJc w:val="left"/>
        <w:rPr>
          <w:rFonts w:ascii="Arial" w:hAnsi="Arial" w:cs="Arial" w:hint="default"/>
        </w:rPr>
      </w:lvl>
    </w:lvlOverride>
  </w:num>
  <w:num w:numId="10">
    <w:abstractNumId w:val="0"/>
  </w:num>
  <w:num w:numId="11">
    <w:abstractNumId w:val="0"/>
    <w:lvlOverride w:ilvl="0">
      <w:lvl w:ilvl="0">
        <w:start w:val="2"/>
        <w:numFmt w:val="decimal"/>
        <w:lvlText w:val="%1."/>
        <w:legacy w:legacy="1" w:legacySpace="0" w:legacyIndent="360"/>
        <w:lvlJc w:val="left"/>
        <w:rPr>
          <w:rFonts w:ascii="Arial" w:hAnsi="Arial" w:cs="Arial" w:hint="default"/>
        </w:rPr>
      </w:lvl>
    </w:lvlOverride>
  </w:num>
  <w:num w:numId="12">
    <w:abstractNumId w:val="0"/>
    <w:lvlOverride w:ilvl="0">
      <w:lvl w:ilvl="0">
        <w:start w:val="3"/>
        <w:numFmt w:val="decimal"/>
        <w:lvlText w:val="%1."/>
        <w:legacy w:legacy="1" w:legacySpace="0" w:legacyIndent="360"/>
        <w:lvlJc w:val="left"/>
        <w:rPr>
          <w:rFonts w:ascii="Arial" w:hAnsi="Arial" w:cs="Arial" w:hint="default"/>
        </w:rPr>
      </w:lvl>
    </w:lvlOverride>
  </w:num>
  <w:num w:numId="13">
    <w:abstractNumId w:val="0"/>
    <w:lvlOverride w:ilvl="0">
      <w:lvl w:ilvl="0">
        <w:start w:val="4"/>
        <w:numFmt w:val="decimal"/>
        <w:lvlText w:val="%1."/>
        <w:legacy w:legacy="1" w:legacySpace="0" w:legacyIndent="360"/>
        <w:lvlJc w:val="left"/>
        <w:rPr>
          <w:rFonts w:ascii="Arial" w:hAnsi="Arial" w:cs="Arial" w:hint="default"/>
        </w:rPr>
      </w:lvl>
    </w:lvlOverride>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349D1"/>
    <w:rsid w:val="00001A36"/>
    <w:rsid w:val="000349D1"/>
    <w:rsid w:val="00043211"/>
    <w:rsid w:val="001B14EF"/>
    <w:rsid w:val="004424F7"/>
    <w:rsid w:val="004B0740"/>
    <w:rsid w:val="0052231B"/>
    <w:rsid w:val="00526BF9"/>
    <w:rsid w:val="006A0531"/>
    <w:rsid w:val="00715064"/>
    <w:rsid w:val="008332B0"/>
    <w:rsid w:val="008739B4"/>
    <w:rsid w:val="00944504"/>
    <w:rsid w:val="00A04B06"/>
    <w:rsid w:val="00B11229"/>
    <w:rsid w:val="00C9452C"/>
    <w:rsid w:val="00CC1D2E"/>
    <w:rsid w:val="00CC3249"/>
    <w:rsid w:val="00CE7010"/>
    <w:rsid w:val="00D73BB3"/>
    <w:rsid w:val="00D77A48"/>
    <w:rsid w:val="00E6611D"/>
    <w:rsid w:val="00E85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BF9"/>
    <w:pPr>
      <w:widowControl w:val="0"/>
      <w:tabs>
        <w:tab w:val="left" w:pos="6210"/>
      </w:tabs>
      <w:autoSpaceDE w:val="0"/>
      <w:autoSpaceDN w:val="0"/>
      <w:adjustRightInd w:val="0"/>
      <w:spacing w:line="240" w:lineRule="auto"/>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49D1"/>
    <w:pPr>
      <w:spacing w:after="0" w:line="240" w:lineRule="auto"/>
    </w:pPr>
    <w:rPr>
      <w:rFonts w:eastAsiaTheme="minorEastAsia"/>
    </w:rPr>
  </w:style>
  <w:style w:type="character" w:customStyle="1" w:styleId="NoSpacingChar">
    <w:name w:val="No Spacing Char"/>
    <w:basedOn w:val="DefaultParagraphFont"/>
    <w:link w:val="NoSpacing"/>
    <w:uiPriority w:val="1"/>
    <w:rsid w:val="000349D1"/>
    <w:rPr>
      <w:rFonts w:eastAsiaTheme="minorEastAsia"/>
    </w:rPr>
  </w:style>
  <w:style w:type="paragraph" w:styleId="BalloonText">
    <w:name w:val="Balloon Text"/>
    <w:basedOn w:val="Normal"/>
    <w:link w:val="BalloonTextChar"/>
    <w:uiPriority w:val="99"/>
    <w:semiHidden/>
    <w:unhideWhenUsed/>
    <w:rsid w:val="000349D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D1"/>
    <w:rPr>
      <w:rFonts w:ascii="Tahoma" w:hAnsi="Tahoma" w:cs="Tahoma"/>
      <w:sz w:val="16"/>
      <w:szCs w:val="16"/>
    </w:rPr>
  </w:style>
  <w:style w:type="paragraph" w:styleId="Header">
    <w:name w:val="header"/>
    <w:basedOn w:val="Normal"/>
    <w:link w:val="HeaderChar"/>
    <w:uiPriority w:val="99"/>
    <w:unhideWhenUsed/>
    <w:rsid w:val="00526BF9"/>
    <w:pPr>
      <w:tabs>
        <w:tab w:val="clear" w:pos="6210"/>
        <w:tab w:val="center" w:pos="4680"/>
        <w:tab w:val="right" w:pos="9360"/>
      </w:tabs>
      <w:spacing w:after="0"/>
    </w:pPr>
  </w:style>
  <w:style w:type="character" w:customStyle="1" w:styleId="HeaderChar">
    <w:name w:val="Header Char"/>
    <w:basedOn w:val="DefaultParagraphFont"/>
    <w:link w:val="Header"/>
    <w:uiPriority w:val="99"/>
    <w:rsid w:val="00526BF9"/>
    <w:rPr>
      <w:u w:val="wave"/>
      <w:lang w:val="en-GB"/>
    </w:rPr>
  </w:style>
  <w:style w:type="paragraph" w:styleId="Footer">
    <w:name w:val="footer"/>
    <w:basedOn w:val="Normal"/>
    <w:link w:val="FooterChar"/>
    <w:uiPriority w:val="99"/>
    <w:unhideWhenUsed/>
    <w:rsid w:val="00526BF9"/>
    <w:pPr>
      <w:tabs>
        <w:tab w:val="clear" w:pos="6210"/>
        <w:tab w:val="center" w:pos="4680"/>
        <w:tab w:val="right" w:pos="9360"/>
      </w:tabs>
      <w:spacing w:after="0"/>
    </w:pPr>
  </w:style>
  <w:style w:type="character" w:customStyle="1" w:styleId="FooterChar">
    <w:name w:val="Footer Char"/>
    <w:basedOn w:val="DefaultParagraphFont"/>
    <w:link w:val="Footer"/>
    <w:uiPriority w:val="99"/>
    <w:rsid w:val="00526BF9"/>
    <w:rPr>
      <w:u w:val="wave"/>
      <w:lang w:val="en-GB"/>
    </w:rPr>
  </w:style>
  <w:style w:type="paragraph" w:styleId="ListParagraph">
    <w:name w:val="List Paragraph"/>
    <w:basedOn w:val="Normal"/>
    <w:uiPriority w:val="34"/>
    <w:qFormat/>
    <w:rsid w:val="00D77A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BERNARD%20W.%20QUARSHIE\My%20Documents\aqsinor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Absorbance against amounts of iron(III)</a:t>
            </a:r>
            <a:r>
              <a:rPr lang="en-US" sz="1600" baseline="0"/>
              <a:t> and thiocyanate</a:t>
            </a:r>
            <a:endParaRPr lang="en-US" sz="1600"/>
          </a:p>
        </c:rich>
      </c:tx>
      <c:layout>
        <c:manualLayout>
          <c:xMode val="edge"/>
          <c:yMode val="edge"/>
          <c:x val="0.17023450493172271"/>
          <c:y val="1.3310297086879034E-2"/>
        </c:manualLayout>
      </c:layout>
      <c:overlay val="1"/>
    </c:title>
    <c:plotArea>
      <c:layout/>
      <c:scatterChart>
        <c:scatterStyle val="smoothMarker"/>
        <c:ser>
          <c:idx val="0"/>
          <c:order val="0"/>
          <c:tx>
            <c:v>Fe3+</c:v>
          </c:tx>
          <c:xVal>
            <c:numRef>
              <c:f>Sheet1!$D$3:$D$13</c:f>
              <c:numCache>
                <c:formatCode>General</c:formatCode>
                <c:ptCount val="11"/>
                <c:pt idx="0">
                  <c:v>4.000000000000001E-5</c:v>
                </c:pt>
                <c:pt idx="1">
                  <c:v>3.6000000000000008E-5</c:v>
                </c:pt>
                <c:pt idx="2" formatCode="@">
                  <c:v>3.2000000000000005E-5</c:v>
                </c:pt>
                <c:pt idx="3" formatCode="@">
                  <c:v>2.8000000000000006E-5</c:v>
                </c:pt>
                <c:pt idx="4">
                  <c:v>2.4000000000000007E-5</c:v>
                </c:pt>
                <c:pt idx="5">
                  <c:v>2.0000000000000005E-5</c:v>
                </c:pt>
                <c:pt idx="6">
                  <c:v>1.5999999999999999E-5</c:v>
                </c:pt>
                <c:pt idx="7" formatCode="@">
                  <c:v>1.2000000000000004E-5</c:v>
                </c:pt>
                <c:pt idx="8">
                  <c:v>8.000000000000003E-6</c:v>
                </c:pt>
                <c:pt idx="9">
                  <c:v>4.0000000000000007E-6</c:v>
                </c:pt>
                <c:pt idx="10">
                  <c:v>0</c:v>
                </c:pt>
              </c:numCache>
            </c:numRef>
          </c:xVal>
          <c:yVal>
            <c:numRef>
              <c:f>Sheet1!$C$3:$C$13</c:f>
              <c:numCache>
                <c:formatCode>General</c:formatCode>
                <c:ptCount val="11"/>
                <c:pt idx="0">
                  <c:v>1.2800000000000002E-2</c:v>
                </c:pt>
                <c:pt idx="1">
                  <c:v>0.14950000000000002</c:v>
                </c:pt>
                <c:pt idx="2">
                  <c:v>0.2626</c:v>
                </c:pt>
                <c:pt idx="3">
                  <c:v>0.35210000000000002</c:v>
                </c:pt>
                <c:pt idx="4">
                  <c:v>0.40090000000000003</c:v>
                </c:pt>
                <c:pt idx="5">
                  <c:v>0.43970000000000004</c:v>
                </c:pt>
                <c:pt idx="6">
                  <c:v>0.41760000000000008</c:v>
                </c:pt>
                <c:pt idx="7">
                  <c:v>0.37220000000000003</c:v>
                </c:pt>
                <c:pt idx="8">
                  <c:v>0.28260000000000002</c:v>
                </c:pt>
                <c:pt idx="9">
                  <c:v>0.14750000000000002</c:v>
                </c:pt>
                <c:pt idx="10">
                  <c:v>9.0000000000000028E-3</c:v>
                </c:pt>
              </c:numCache>
            </c:numRef>
          </c:yVal>
          <c:smooth val="1"/>
        </c:ser>
        <c:ser>
          <c:idx val="1"/>
          <c:order val="1"/>
          <c:tx>
            <c:v>SCN-</c:v>
          </c:tx>
          <c:xVal>
            <c:numRef>
              <c:f>Sheet1!$E$3:$E$13</c:f>
              <c:numCache>
                <c:formatCode>@</c:formatCode>
                <c:ptCount val="11"/>
                <c:pt idx="0" formatCode="General">
                  <c:v>0</c:v>
                </c:pt>
                <c:pt idx="1">
                  <c:v>4.0000000000000007E-6</c:v>
                </c:pt>
                <c:pt idx="2" formatCode="General">
                  <c:v>8.000000000000003E-6</c:v>
                </c:pt>
                <c:pt idx="3" formatCode="General">
                  <c:v>1.2000000000000004E-5</c:v>
                </c:pt>
                <c:pt idx="4" formatCode="General">
                  <c:v>1.5999999999999999E-5</c:v>
                </c:pt>
                <c:pt idx="5" formatCode="General">
                  <c:v>2.0000000000000005E-5</c:v>
                </c:pt>
                <c:pt idx="6" formatCode="General">
                  <c:v>2.4000000000000007E-5</c:v>
                </c:pt>
                <c:pt idx="7" formatCode="General">
                  <c:v>2.8000000000000006E-5</c:v>
                </c:pt>
                <c:pt idx="8" formatCode="General">
                  <c:v>3.2000000000000005E-5</c:v>
                </c:pt>
                <c:pt idx="9" formatCode="General">
                  <c:v>3.6000000000000008E-5</c:v>
                </c:pt>
                <c:pt idx="10" formatCode="General">
                  <c:v>4.000000000000001E-5</c:v>
                </c:pt>
              </c:numCache>
            </c:numRef>
          </c:xVal>
          <c:yVal>
            <c:numRef>
              <c:f>Sheet1!$C$3:$C$13</c:f>
              <c:numCache>
                <c:formatCode>General</c:formatCode>
                <c:ptCount val="11"/>
                <c:pt idx="0">
                  <c:v>1.2800000000000002E-2</c:v>
                </c:pt>
                <c:pt idx="1">
                  <c:v>0.14950000000000002</c:v>
                </c:pt>
                <c:pt idx="2">
                  <c:v>0.2626</c:v>
                </c:pt>
                <c:pt idx="3">
                  <c:v>0.35210000000000002</c:v>
                </c:pt>
                <c:pt idx="4">
                  <c:v>0.40090000000000003</c:v>
                </c:pt>
                <c:pt idx="5">
                  <c:v>0.43970000000000004</c:v>
                </c:pt>
                <c:pt idx="6">
                  <c:v>0.41760000000000008</c:v>
                </c:pt>
                <c:pt idx="7">
                  <c:v>0.37220000000000003</c:v>
                </c:pt>
                <c:pt idx="8">
                  <c:v>0.28260000000000002</c:v>
                </c:pt>
                <c:pt idx="9">
                  <c:v>0.14750000000000002</c:v>
                </c:pt>
                <c:pt idx="10">
                  <c:v>9.0000000000000028E-3</c:v>
                </c:pt>
              </c:numCache>
            </c:numRef>
          </c:yVal>
          <c:smooth val="1"/>
        </c:ser>
        <c:axId val="152529536"/>
        <c:axId val="152689280"/>
      </c:scatterChart>
      <c:valAx>
        <c:axId val="152529536"/>
        <c:scaling>
          <c:orientation val="minMax"/>
        </c:scaling>
        <c:axPos val="b"/>
        <c:majorGridlines/>
        <c:minorGridlines/>
        <c:title>
          <c:tx>
            <c:rich>
              <a:bodyPr/>
              <a:lstStyle/>
              <a:p>
                <a:pPr>
                  <a:defRPr/>
                </a:pPr>
                <a:r>
                  <a:rPr lang="en-US"/>
                  <a:t>Moles</a:t>
                </a:r>
                <a:r>
                  <a:rPr lang="en-US" baseline="0"/>
                  <a:t> of ions/mol</a:t>
                </a:r>
                <a:endParaRPr lang="en-US"/>
              </a:p>
            </c:rich>
          </c:tx>
        </c:title>
        <c:numFmt formatCode="General" sourceLinked="1"/>
        <c:tickLblPos val="nextTo"/>
        <c:crossAx val="152689280"/>
        <c:crosses val="autoZero"/>
        <c:crossBetween val="midCat"/>
      </c:valAx>
      <c:valAx>
        <c:axId val="152689280"/>
        <c:scaling>
          <c:orientation val="minMax"/>
        </c:scaling>
        <c:axPos val="l"/>
        <c:majorGridlines/>
        <c:minorGridlines/>
        <c:title>
          <c:tx>
            <c:rich>
              <a:bodyPr rot="-5400000" vert="horz"/>
              <a:lstStyle/>
              <a:p>
                <a:pPr>
                  <a:defRPr/>
                </a:pPr>
                <a:r>
                  <a:rPr lang="en-US"/>
                  <a:t>Absorbance</a:t>
                </a:r>
              </a:p>
            </c:rich>
          </c:tx>
        </c:title>
        <c:numFmt formatCode="General" sourceLinked="1"/>
        <c:tickLblPos val="nextTo"/>
        <c:crossAx val="152529536"/>
        <c:crosses val="autoZero"/>
        <c:crossBetween val="midCat"/>
        <c:minorUnit val="1.0000000000000005E-2"/>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Aharoni">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59CF"/>
    <w:rsid w:val="000E2F6D"/>
    <w:rsid w:val="009B429C"/>
    <w:rsid w:val="00AB5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1AF3738634E0FA8991F478149983B">
    <w:name w:val="0C51AF3738634E0FA8991F478149983B"/>
    <w:rsid w:val="00AB59CF"/>
  </w:style>
  <w:style w:type="paragraph" w:customStyle="1" w:styleId="3CDD7507F2334E17B3BC6EEDEA1FEAF9">
    <w:name w:val="3CDD7507F2334E17B3BC6EEDEA1FEAF9"/>
    <w:rsid w:val="00AB59CF"/>
  </w:style>
  <w:style w:type="paragraph" w:customStyle="1" w:styleId="ABDE3446A821432BAEA2FB6BC84B0163">
    <w:name w:val="ABDE3446A821432BAEA2FB6BC84B0163"/>
    <w:rsid w:val="00AB59CF"/>
  </w:style>
  <w:style w:type="paragraph" w:customStyle="1" w:styleId="CE95A0BE6A8F4D9F86BC56F329577D6C">
    <w:name w:val="CE95A0BE6A8F4D9F86BC56F329577D6C"/>
    <w:rsid w:val="00AB59CF"/>
  </w:style>
  <w:style w:type="paragraph" w:customStyle="1" w:styleId="2C32E80359CF462EB347D3CD088C052D">
    <w:name w:val="2C32E80359CF462EB347D3CD088C052D"/>
    <w:rsid w:val="00AB59CF"/>
  </w:style>
  <w:style w:type="paragraph" w:customStyle="1" w:styleId="BFFCCAA46B44400BBF45F436654D7729">
    <w:name w:val="BFFCCAA46B44400BBF45F436654D7729"/>
    <w:rsid w:val="00AB59CF"/>
  </w:style>
  <w:style w:type="paragraph" w:customStyle="1" w:styleId="4FE93BBD422E4B90BF98AE38A3990655">
    <w:name w:val="4FE93BBD422E4B90BF98AE38A3990655"/>
    <w:rsid w:val="00AB59CF"/>
  </w:style>
  <w:style w:type="paragraph" w:customStyle="1" w:styleId="0793080D9BB240A1844659639616FCB5">
    <w:name w:val="0793080D9BB240A1844659639616FCB5"/>
    <w:rsid w:val="00AB59CF"/>
  </w:style>
  <w:style w:type="paragraph" w:customStyle="1" w:styleId="6EDE286263474B68BD17F9FE1FB01B4E">
    <w:name w:val="6EDE286263474B68BD17F9FE1FB01B4E"/>
    <w:rsid w:val="00AB59CF"/>
  </w:style>
  <w:style w:type="paragraph" w:customStyle="1" w:styleId="A07F92E0D2AA45329F86B7007EB97DD1">
    <w:name w:val="A07F92E0D2AA45329F86B7007EB97DD1"/>
    <w:rsid w:val="00AB59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Report</vt:lpstr>
    </vt:vector>
  </TitlesOfParts>
  <Company>Grizli777</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Valued Gateway Customer</dc:creator>
  <cp:keywords/>
  <dc:description/>
  <cp:lastModifiedBy>Valued Gateway Customer</cp:lastModifiedBy>
  <cp:revision>2</cp:revision>
  <dcterms:created xsi:type="dcterms:W3CDTF">2011-02-17T05:59:00Z</dcterms:created>
  <dcterms:modified xsi:type="dcterms:W3CDTF">2011-02-17T13:24:00Z</dcterms:modified>
</cp:coreProperties>
</file>