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4BA7" w:rsidRDefault="00754BA7">
      <w:pPr>
        <w:spacing w:line="276" w:lineRule="auto"/>
        <w:jc w:val="both"/>
      </w:pPr>
    </w:p>
    <w:p w:rsidR="00754BA7" w:rsidRDefault="00754BA7">
      <w:pPr>
        <w:spacing w:line="276" w:lineRule="auto"/>
        <w:jc w:val="both"/>
      </w:pPr>
    </w:p>
    <w:p w:rsidR="00754BA7" w:rsidRDefault="00754BA7">
      <w:pPr>
        <w:spacing w:line="276" w:lineRule="auto"/>
        <w:jc w:val="both"/>
      </w:pPr>
    </w:p>
    <w:p w:rsidR="00754BA7" w:rsidRDefault="003E3BF9">
      <w:pPr>
        <w:spacing w:before="120" w:after="60" w:line="276" w:lineRule="auto"/>
        <w:jc w:val="center"/>
      </w:pPr>
      <w:r>
        <w:rPr>
          <w:b/>
          <w:bCs/>
          <w:color w:val="000000"/>
          <w:sz w:val="36"/>
          <w:szCs w:val="36"/>
        </w:rPr>
        <w:t>AI-Powered Privacy Compliance Audit System</w:t>
      </w:r>
    </w:p>
    <w:p w:rsidR="00754BA7" w:rsidRDefault="003E3BF9">
      <w:pPr>
        <w:spacing w:before="120" w:after="60" w:line="276" w:lineRule="auto"/>
        <w:jc w:val="center"/>
      </w:pPr>
      <w:r>
        <w:rPr>
          <w:b/>
          <w:bCs/>
          <w:color w:val="000000"/>
          <w:sz w:val="30"/>
          <w:szCs w:val="30"/>
        </w:rPr>
        <w:t>for GDPR and India's DPDP Act 2023</w:t>
      </w:r>
    </w:p>
    <w:p w:rsidR="00754BA7" w:rsidRDefault="00754BA7">
      <w:pPr>
        <w:spacing w:line="276" w:lineRule="auto"/>
        <w:jc w:val="both"/>
      </w:pPr>
    </w:p>
    <w:p w:rsidR="00754BA7" w:rsidRDefault="00754BA7">
      <w:pPr>
        <w:pBdr>
          <w:bottom w:val="single" w:sz="6" w:space="1" w:color="2E74B5"/>
        </w:pBdr>
        <w:spacing w:before="80" w:after="80"/>
      </w:pPr>
    </w:p>
    <w:p w:rsidR="00754BA7" w:rsidRDefault="00754BA7">
      <w:pPr>
        <w:spacing w:line="276" w:lineRule="auto"/>
        <w:jc w:val="both"/>
      </w:pPr>
    </w:p>
    <w:p w:rsidR="00754BA7" w:rsidRDefault="00C83B03">
      <w:pPr>
        <w:spacing w:before="60" w:after="120" w:line="276" w:lineRule="auto"/>
        <w:jc w:val="center"/>
      </w:pPr>
      <w:r w:rsidRPr="00C83B03">
        <w:rPr>
          <w:sz w:val="22"/>
          <w:szCs w:val="22"/>
        </w:rPr>
        <w:t xml:space="preserve">An Industrial Training Report submitted in partial fulfillment of the requirements for the degree </w:t>
      </w:r>
      <w:r>
        <w:t>of</w:t>
      </w:r>
      <w:r>
        <w:rPr>
          <w:b/>
          <w:bCs/>
          <w:color w:val="000000"/>
        </w:rPr>
        <w:t xml:space="preserve"> </w:t>
      </w:r>
      <w:r w:rsidR="003E3BF9">
        <w:rPr>
          <w:b/>
          <w:bCs/>
          <w:color w:val="000000"/>
        </w:rPr>
        <w:t>Bachelor of Technology in Artificial Intelligence &amp; Data Science</w:t>
      </w:r>
    </w:p>
    <w:p w:rsidR="00754BA7" w:rsidRDefault="00754BA7">
      <w:pPr>
        <w:spacing w:line="276" w:lineRule="auto"/>
        <w:jc w:val="both"/>
      </w:pPr>
    </w:p>
    <w:p w:rsidR="00754BA7" w:rsidRDefault="003E3BF9">
      <w:pPr>
        <w:spacing w:before="80" w:after="80" w:line="276" w:lineRule="auto"/>
        <w:jc w:val="center"/>
      </w:pPr>
      <w:r>
        <w:rPr>
          <w:b/>
          <w:bCs/>
          <w:color w:val="000000"/>
          <w:sz w:val="22"/>
          <w:szCs w:val="22"/>
        </w:rPr>
        <w:t>Submitted by</w:t>
      </w:r>
    </w:p>
    <w:p w:rsidR="00754BA7" w:rsidRDefault="00754BA7">
      <w:pPr>
        <w:spacing w:line="276" w:lineRule="auto"/>
        <w:jc w:val="both"/>
      </w:pPr>
    </w:p>
    <w:p w:rsidR="00754BA7" w:rsidRDefault="00754BA7">
      <w:pPr>
        <w:spacing w:line="276" w:lineRule="auto"/>
        <w:jc w:val="both"/>
      </w:pPr>
    </w:p>
    <w:p w:rsidR="00754BA7" w:rsidRDefault="003E3BF9">
      <w:pPr>
        <w:spacing w:before="120" w:after="60" w:line="276" w:lineRule="auto"/>
        <w:jc w:val="center"/>
      </w:pPr>
      <w:r>
        <w:rPr>
          <w:b/>
          <w:bCs/>
          <w:color w:val="000000"/>
          <w:sz w:val="26"/>
          <w:szCs w:val="26"/>
        </w:rPr>
        <w:t>AKIF DAUD</w:t>
      </w:r>
    </w:p>
    <w:p w:rsidR="00754BA7" w:rsidRDefault="003E3BF9">
      <w:pPr>
        <w:spacing w:before="120" w:after="60" w:line="276" w:lineRule="auto"/>
        <w:jc w:val="center"/>
      </w:pPr>
      <w:r>
        <w:rPr>
          <w:color w:val="000000"/>
        </w:rPr>
        <w:t>23AIBEA267</w:t>
      </w:r>
    </w:p>
    <w:p w:rsidR="00754BA7" w:rsidRDefault="00754BA7">
      <w:pPr>
        <w:spacing w:line="276" w:lineRule="auto"/>
        <w:jc w:val="both"/>
      </w:pPr>
    </w:p>
    <w:p w:rsidR="00754BA7" w:rsidRDefault="00754BA7">
      <w:pPr>
        <w:spacing w:line="276" w:lineRule="auto"/>
        <w:jc w:val="both"/>
      </w:pPr>
    </w:p>
    <w:p w:rsidR="00754BA7" w:rsidRDefault="003E3BF9">
      <w:pPr>
        <w:spacing w:before="80" w:after="80" w:line="276" w:lineRule="auto"/>
        <w:jc w:val="center"/>
      </w:pPr>
      <w:r>
        <w:rPr>
          <w:b/>
          <w:bCs/>
          <w:color w:val="000000"/>
          <w:sz w:val="22"/>
          <w:szCs w:val="22"/>
        </w:rPr>
        <w:t>Under the Guidance of</w:t>
      </w:r>
    </w:p>
    <w:p w:rsidR="00754BA7" w:rsidRDefault="00C83B03">
      <w:pPr>
        <w:spacing w:before="80" w:after="80" w:line="276" w:lineRule="auto"/>
        <w:jc w:val="center"/>
      </w:pPr>
      <w:r w:rsidRPr="00C83B03">
        <w:rPr>
          <w:color w:val="000000"/>
          <w:sz w:val="22"/>
          <w:szCs w:val="22"/>
        </w:rPr>
        <w:t>Bishwajeet</w:t>
      </w:r>
      <w:r>
        <w:rPr>
          <w:color w:val="000000"/>
          <w:sz w:val="22"/>
          <w:szCs w:val="22"/>
        </w:rPr>
        <w:t xml:space="preserve"> sir</w:t>
      </w:r>
      <w:r w:rsidR="003E3BF9">
        <w:rPr>
          <w:color w:val="000000"/>
          <w:sz w:val="22"/>
          <w:szCs w:val="22"/>
        </w:rPr>
        <w:t xml:space="preserve">, Department of </w:t>
      </w:r>
      <w:r w:rsidR="00DD0B80" w:rsidRPr="00DD0B80">
        <w:rPr>
          <w:color w:val="000000"/>
          <w:sz w:val="22"/>
          <w:szCs w:val="22"/>
        </w:rPr>
        <w:t>Corporate Audit</w:t>
      </w:r>
    </w:p>
    <w:p w:rsidR="00754BA7" w:rsidRDefault="00754BA7">
      <w:pPr>
        <w:spacing w:line="276" w:lineRule="auto"/>
        <w:jc w:val="both"/>
      </w:pPr>
    </w:p>
    <w:p w:rsidR="00754BA7" w:rsidRDefault="00754BA7">
      <w:pPr>
        <w:spacing w:line="276" w:lineRule="auto"/>
        <w:jc w:val="both"/>
      </w:pPr>
    </w:p>
    <w:p w:rsidR="00754BA7" w:rsidRDefault="00754BA7">
      <w:pPr>
        <w:spacing w:line="276" w:lineRule="auto"/>
        <w:jc w:val="both"/>
      </w:pPr>
    </w:p>
    <w:p w:rsidR="00754BA7" w:rsidRDefault="003E3BF9">
      <w:pPr>
        <w:spacing w:before="80" w:after="80" w:line="276" w:lineRule="auto"/>
        <w:jc w:val="center"/>
      </w:pPr>
      <w:r>
        <w:rPr>
          <w:b/>
          <w:bCs/>
          <w:color w:val="000000"/>
          <w:sz w:val="22"/>
          <w:szCs w:val="22"/>
        </w:rPr>
        <w:t>Department of Artificial Intelligence &amp; Data Science</w:t>
      </w:r>
    </w:p>
    <w:p w:rsidR="00754BA7" w:rsidRDefault="003E3BF9">
      <w:pPr>
        <w:spacing w:before="80" w:after="80" w:line="276" w:lineRule="auto"/>
        <w:jc w:val="center"/>
      </w:pPr>
      <w:r>
        <w:rPr>
          <w:color w:val="000000"/>
          <w:sz w:val="22"/>
          <w:szCs w:val="22"/>
        </w:rPr>
        <w:t>202</w:t>
      </w:r>
      <w:r w:rsidR="004260A6">
        <w:rPr>
          <w:color w:val="000000"/>
          <w:sz w:val="22"/>
          <w:szCs w:val="22"/>
        </w:rPr>
        <w:t>5</w:t>
      </w:r>
      <w:r>
        <w:rPr>
          <w:color w:val="000000"/>
          <w:sz w:val="22"/>
          <w:szCs w:val="22"/>
        </w:rPr>
        <w:t xml:space="preserve"> – 202</w:t>
      </w:r>
      <w:r w:rsidR="004260A6">
        <w:rPr>
          <w:color w:val="000000"/>
          <w:sz w:val="22"/>
          <w:szCs w:val="22"/>
        </w:rPr>
        <w:t>6</w:t>
      </w:r>
    </w:p>
    <w:p w:rsidR="00754BA7" w:rsidRDefault="003E3BF9">
      <w:r>
        <w:br w:type="page"/>
      </w:r>
    </w:p>
    <w:p w:rsidR="00754BA7" w:rsidRDefault="003E3BF9">
      <w:pPr>
        <w:pStyle w:val="Heading1"/>
      </w:pPr>
      <w:r>
        <w:lastRenderedPageBreak/>
        <w:t>TABLE OF CONTENTS</w:t>
      </w:r>
    </w:p>
    <w:p w:rsidR="00754BA7" w:rsidRDefault="00754BA7">
      <w:pPr>
        <w:pBdr>
          <w:bottom w:val="single" w:sz="6" w:space="1" w:color="2E74B5"/>
        </w:pBdr>
        <w:spacing w:before="80" w:after="80"/>
      </w:pPr>
    </w:p>
    <w:p w:rsidR="00754BA7" w:rsidRDefault="00754BA7">
      <w:pPr>
        <w:spacing w:line="276" w:lineRule="auto"/>
        <w:jc w:val="both"/>
      </w:pPr>
    </w:p>
    <w:p w:rsidR="00754BA7" w:rsidRDefault="003E3BF9">
      <w:pPr>
        <w:tabs>
          <w:tab w:val="right" w:pos="9360"/>
        </w:tabs>
        <w:spacing w:before="50" w:after="50"/>
      </w:pPr>
      <w:r>
        <w:rPr>
          <w:sz w:val="22"/>
          <w:szCs w:val="22"/>
        </w:rPr>
        <w:t>Abstract</w:t>
      </w:r>
      <w:r>
        <w:rPr>
          <w:sz w:val="22"/>
          <w:szCs w:val="22"/>
        </w:rPr>
        <w:tab/>
        <w:t>3</w:t>
      </w:r>
    </w:p>
    <w:p w:rsidR="00754BA7" w:rsidRDefault="003E3BF9">
      <w:pPr>
        <w:tabs>
          <w:tab w:val="right" w:pos="9360"/>
        </w:tabs>
        <w:spacing w:before="50" w:after="50"/>
      </w:pPr>
      <w:r>
        <w:rPr>
          <w:sz w:val="22"/>
          <w:szCs w:val="22"/>
        </w:rPr>
        <w:t>Acknowledgements</w:t>
      </w:r>
      <w:r>
        <w:rPr>
          <w:sz w:val="22"/>
          <w:szCs w:val="22"/>
        </w:rPr>
        <w:tab/>
        <w:t>4</w:t>
      </w:r>
    </w:p>
    <w:p w:rsidR="00754BA7" w:rsidRDefault="003E3BF9">
      <w:pPr>
        <w:tabs>
          <w:tab w:val="right" w:pos="9360"/>
        </w:tabs>
        <w:spacing w:before="50" w:after="50"/>
      </w:pPr>
      <w:r>
        <w:rPr>
          <w:sz w:val="22"/>
          <w:szCs w:val="22"/>
        </w:rPr>
        <w:t>Acronyms</w:t>
      </w:r>
      <w:r>
        <w:rPr>
          <w:sz w:val="22"/>
          <w:szCs w:val="22"/>
        </w:rPr>
        <w:tab/>
        <w:t>5</w:t>
      </w:r>
    </w:p>
    <w:p w:rsidR="00754BA7" w:rsidRDefault="003E3BF9">
      <w:pPr>
        <w:tabs>
          <w:tab w:val="right" w:pos="9360"/>
        </w:tabs>
        <w:spacing w:before="50" w:after="50"/>
      </w:pPr>
      <w:r>
        <w:rPr>
          <w:sz w:val="22"/>
          <w:szCs w:val="22"/>
        </w:rPr>
        <w:t>List of Figures</w:t>
      </w:r>
      <w:r>
        <w:rPr>
          <w:sz w:val="22"/>
          <w:szCs w:val="22"/>
        </w:rPr>
        <w:tab/>
        <w:t>6</w:t>
      </w:r>
    </w:p>
    <w:p w:rsidR="00754BA7" w:rsidRDefault="003E3BF9">
      <w:pPr>
        <w:tabs>
          <w:tab w:val="right" w:pos="9360"/>
        </w:tabs>
        <w:spacing w:before="50" w:after="50"/>
      </w:pPr>
      <w:r>
        <w:rPr>
          <w:sz w:val="22"/>
          <w:szCs w:val="22"/>
        </w:rPr>
        <w:t>List of Tables</w:t>
      </w:r>
      <w:r>
        <w:rPr>
          <w:sz w:val="22"/>
          <w:szCs w:val="22"/>
        </w:rPr>
        <w:tab/>
        <w:t>6</w:t>
      </w:r>
    </w:p>
    <w:p w:rsidR="00754BA7" w:rsidRDefault="003E3BF9">
      <w:pPr>
        <w:tabs>
          <w:tab w:val="right" w:pos="9360"/>
        </w:tabs>
        <w:spacing w:before="50" w:after="50"/>
      </w:pPr>
      <w:r>
        <w:rPr>
          <w:sz w:val="22"/>
          <w:szCs w:val="22"/>
        </w:rPr>
        <w:t>Chapter 1 — Introduction</w:t>
      </w:r>
      <w:r>
        <w:rPr>
          <w:sz w:val="22"/>
          <w:szCs w:val="22"/>
        </w:rPr>
        <w:tab/>
        <w:t>7</w:t>
      </w:r>
    </w:p>
    <w:p w:rsidR="00754BA7" w:rsidRDefault="003E3BF9">
      <w:pPr>
        <w:tabs>
          <w:tab w:val="right" w:pos="9360"/>
        </w:tabs>
        <w:spacing w:before="50" w:after="50"/>
      </w:pPr>
      <w:r>
        <w:rPr>
          <w:sz w:val="22"/>
          <w:szCs w:val="22"/>
        </w:rPr>
        <w:t xml:space="preserve">    1.1  Background</w:t>
      </w:r>
      <w:r>
        <w:rPr>
          <w:sz w:val="22"/>
          <w:szCs w:val="22"/>
        </w:rPr>
        <w:tab/>
        <w:t>7</w:t>
      </w:r>
    </w:p>
    <w:p w:rsidR="00754BA7" w:rsidRDefault="003E3BF9">
      <w:pPr>
        <w:tabs>
          <w:tab w:val="right" w:pos="9360"/>
        </w:tabs>
        <w:spacing w:before="50" w:after="50"/>
      </w:pPr>
      <w:r>
        <w:rPr>
          <w:sz w:val="22"/>
          <w:szCs w:val="22"/>
        </w:rPr>
        <w:t xml:space="preserve">    1.2  Problem Statement</w:t>
      </w:r>
      <w:r>
        <w:rPr>
          <w:sz w:val="22"/>
          <w:szCs w:val="22"/>
        </w:rPr>
        <w:tab/>
        <w:t>8</w:t>
      </w:r>
    </w:p>
    <w:p w:rsidR="00754BA7" w:rsidRDefault="003E3BF9">
      <w:pPr>
        <w:tabs>
          <w:tab w:val="right" w:pos="9360"/>
        </w:tabs>
        <w:spacing w:before="50" w:after="50"/>
      </w:pPr>
      <w:r>
        <w:rPr>
          <w:sz w:val="22"/>
          <w:szCs w:val="22"/>
        </w:rPr>
        <w:t xml:space="preserve">    1.3  Motivation</w:t>
      </w:r>
      <w:r>
        <w:rPr>
          <w:sz w:val="22"/>
          <w:szCs w:val="22"/>
        </w:rPr>
        <w:tab/>
        <w:t>8</w:t>
      </w:r>
    </w:p>
    <w:p w:rsidR="00754BA7" w:rsidRDefault="003E3BF9">
      <w:pPr>
        <w:tabs>
          <w:tab w:val="right" w:pos="9360"/>
        </w:tabs>
        <w:spacing w:before="50" w:after="50"/>
      </w:pPr>
      <w:r>
        <w:rPr>
          <w:sz w:val="22"/>
          <w:szCs w:val="22"/>
        </w:rPr>
        <w:t xml:space="preserve">    1.4  Objectives</w:t>
      </w:r>
      <w:r>
        <w:rPr>
          <w:sz w:val="22"/>
          <w:szCs w:val="22"/>
        </w:rPr>
        <w:tab/>
        <w:t>9</w:t>
      </w:r>
    </w:p>
    <w:p w:rsidR="00754BA7" w:rsidRDefault="003E3BF9">
      <w:pPr>
        <w:tabs>
          <w:tab w:val="right" w:pos="9360"/>
        </w:tabs>
        <w:spacing w:before="50" w:after="50"/>
      </w:pPr>
      <w:r>
        <w:rPr>
          <w:sz w:val="22"/>
          <w:szCs w:val="22"/>
        </w:rPr>
        <w:t xml:space="preserve">    1.5  Scope of the Project</w:t>
      </w:r>
      <w:r>
        <w:rPr>
          <w:sz w:val="22"/>
          <w:szCs w:val="22"/>
        </w:rPr>
        <w:tab/>
        <w:t>9</w:t>
      </w:r>
    </w:p>
    <w:p w:rsidR="00754BA7" w:rsidRDefault="003E3BF9">
      <w:pPr>
        <w:tabs>
          <w:tab w:val="right" w:pos="9360"/>
        </w:tabs>
        <w:spacing w:before="50" w:after="50"/>
      </w:pPr>
      <w:r>
        <w:rPr>
          <w:sz w:val="22"/>
          <w:szCs w:val="22"/>
        </w:rPr>
        <w:t xml:space="preserve">    1.6  Organization of the Report</w:t>
      </w:r>
      <w:r>
        <w:rPr>
          <w:sz w:val="22"/>
          <w:szCs w:val="22"/>
        </w:rPr>
        <w:tab/>
        <w:t>10</w:t>
      </w:r>
    </w:p>
    <w:p w:rsidR="00754BA7" w:rsidRDefault="003E3BF9">
      <w:pPr>
        <w:tabs>
          <w:tab w:val="right" w:pos="9360"/>
        </w:tabs>
        <w:spacing w:before="50" w:after="50"/>
      </w:pPr>
      <w:r>
        <w:rPr>
          <w:sz w:val="22"/>
          <w:szCs w:val="22"/>
        </w:rPr>
        <w:t>Chapter 2 — Literature Review</w:t>
      </w:r>
      <w:r>
        <w:rPr>
          <w:sz w:val="22"/>
          <w:szCs w:val="22"/>
        </w:rPr>
        <w:tab/>
        <w:t>11</w:t>
      </w:r>
    </w:p>
    <w:p w:rsidR="00754BA7" w:rsidRDefault="003E3BF9">
      <w:pPr>
        <w:tabs>
          <w:tab w:val="right" w:pos="9360"/>
        </w:tabs>
        <w:spacing w:before="50" w:after="50"/>
      </w:pPr>
      <w:r>
        <w:rPr>
          <w:sz w:val="22"/>
          <w:szCs w:val="22"/>
        </w:rPr>
        <w:t xml:space="preserve">    2.1  Privacy Compliance Challenges</w:t>
      </w:r>
      <w:r>
        <w:rPr>
          <w:sz w:val="22"/>
          <w:szCs w:val="22"/>
        </w:rPr>
        <w:tab/>
        <w:t>11</w:t>
      </w:r>
    </w:p>
    <w:p w:rsidR="00754BA7" w:rsidRDefault="003E3BF9">
      <w:pPr>
        <w:tabs>
          <w:tab w:val="right" w:pos="9360"/>
        </w:tabs>
        <w:spacing w:before="50" w:after="50"/>
      </w:pPr>
      <w:r>
        <w:rPr>
          <w:sz w:val="22"/>
          <w:szCs w:val="22"/>
        </w:rPr>
        <w:t xml:space="preserve">    2.2  GDPR &amp; DPDP Act Overview</w:t>
      </w:r>
      <w:r>
        <w:rPr>
          <w:sz w:val="22"/>
          <w:szCs w:val="22"/>
        </w:rPr>
        <w:tab/>
        <w:t>11</w:t>
      </w:r>
    </w:p>
    <w:p w:rsidR="00754BA7" w:rsidRDefault="003E3BF9">
      <w:pPr>
        <w:tabs>
          <w:tab w:val="right" w:pos="9360"/>
        </w:tabs>
        <w:spacing w:before="50" w:after="50"/>
      </w:pPr>
      <w:r>
        <w:rPr>
          <w:sz w:val="22"/>
          <w:szCs w:val="22"/>
        </w:rPr>
        <w:t xml:space="preserve">    2.3  AI in Legal and Compliance Systems</w:t>
      </w:r>
      <w:r>
        <w:rPr>
          <w:sz w:val="22"/>
          <w:szCs w:val="22"/>
        </w:rPr>
        <w:tab/>
        <w:t>12</w:t>
      </w:r>
    </w:p>
    <w:p w:rsidR="00754BA7" w:rsidRDefault="003E3BF9">
      <w:pPr>
        <w:tabs>
          <w:tab w:val="right" w:pos="9360"/>
        </w:tabs>
        <w:spacing w:before="50" w:after="50"/>
      </w:pPr>
      <w:r>
        <w:rPr>
          <w:sz w:val="22"/>
          <w:szCs w:val="22"/>
        </w:rPr>
        <w:t xml:space="preserve">    2.4  NLP for Regulatory Text Analysis</w:t>
      </w:r>
      <w:r>
        <w:rPr>
          <w:sz w:val="22"/>
          <w:szCs w:val="22"/>
        </w:rPr>
        <w:tab/>
        <w:t>12</w:t>
      </w:r>
    </w:p>
    <w:p w:rsidR="00754BA7" w:rsidRDefault="003E3BF9">
      <w:pPr>
        <w:tabs>
          <w:tab w:val="right" w:pos="9360"/>
        </w:tabs>
        <w:spacing w:before="50" w:after="50"/>
      </w:pPr>
      <w:r>
        <w:rPr>
          <w:sz w:val="22"/>
          <w:szCs w:val="22"/>
        </w:rPr>
        <w:t xml:space="preserve">    2.5  Summary of Existing Research</w:t>
      </w:r>
      <w:r>
        <w:rPr>
          <w:sz w:val="22"/>
          <w:szCs w:val="22"/>
        </w:rPr>
        <w:tab/>
        <w:t>13</w:t>
      </w:r>
    </w:p>
    <w:p w:rsidR="00754BA7" w:rsidRDefault="003E3BF9">
      <w:pPr>
        <w:tabs>
          <w:tab w:val="right" w:pos="9360"/>
        </w:tabs>
        <w:spacing w:before="50" w:after="50"/>
      </w:pPr>
      <w:r>
        <w:rPr>
          <w:sz w:val="22"/>
          <w:szCs w:val="22"/>
        </w:rPr>
        <w:t>Chapter 3 — Methodology</w:t>
      </w:r>
      <w:r>
        <w:rPr>
          <w:sz w:val="22"/>
          <w:szCs w:val="22"/>
        </w:rPr>
        <w:tab/>
        <w:t>14</w:t>
      </w:r>
    </w:p>
    <w:p w:rsidR="00754BA7" w:rsidRDefault="003E3BF9">
      <w:pPr>
        <w:tabs>
          <w:tab w:val="right" w:pos="9360"/>
        </w:tabs>
        <w:spacing w:before="50" w:after="50"/>
      </w:pPr>
      <w:r>
        <w:rPr>
          <w:sz w:val="22"/>
          <w:szCs w:val="22"/>
        </w:rPr>
        <w:t xml:space="preserve">    3.1  System Architecture</w:t>
      </w:r>
      <w:r>
        <w:rPr>
          <w:sz w:val="22"/>
          <w:szCs w:val="22"/>
        </w:rPr>
        <w:tab/>
        <w:t>14</w:t>
      </w:r>
    </w:p>
    <w:p w:rsidR="00754BA7" w:rsidRDefault="003E3BF9">
      <w:pPr>
        <w:tabs>
          <w:tab w:val="right" w:pos="9360"/>
        </w:tabs>
        <w:spacing w:before="50" w:after="50"/>
      </w:pPr>
      <w:r>
        <w:rPr>
          <w:sz w:val="22"/>
          <w:szCs w:val="22"/>
        </w:rPr>
        <w:t xml:space="preserve">    3.2  Technology Stack</w:t>
      </w:r>
      <w:r>
        <w:rPr>
          <w:sz w:val="22"/>
          <w:szCs w:val="22"/>
        </w:rPr>
        <w:tab/>
        <w:t>15</w:t>
      </w:r>
    </w:p>
    <w:p w:rsidR="00754BA7" w:rsidRDefault="003E3BF9">
      <w:pPr>
        <w:tabs>
          <w:tab w:val="right" w:pos="9360"/>
        </w:tabs>
        <w:spacing w:before="50" w:after="50"/>
      </w:pPr>
      <w:r>
        <w:rPr>
          <w:sz w:val="22"/>
          <w:szCs w:val="22"/>
        </w:rPr>
        <w:t xml:space="preserve">    3.3  AI Audit Engine</w:t>
      </w:r>
      <w:r>
        <w:rPr>
          <w:sz w:val="22"/>
          <w:szCs w:val="22"/>
        </w:rPr>
        <w:tab/>
        <w:t>15</w:t>
      </w:r>
    </w:p>
    <w:p w:rsidR="00754BA7" w:rsidRDefault="003E3BF9">
      <w:pPr>
        <w:tabs>
          <w:tab w:val="right" w:pos="9360"/>
        </w:tabs>
        <w:spacing w:before="50" w:after="50"/>
      </w:pPr>
      <w:r>
        <w:rPr>
          <w:sz w:val="22"/>
          <w:szCs w:val="22"/>
        </w:rPr>
        <w:t xml:space="preserve">    3.4  Policy Analyzer Module</w:t>
      </w:r>
      <w:r>
        <w:rPr>
          <w:sz w:val="22"/>
          <w:szCs w:val="22"/>
        </w:rPr>
        <w:tab/>
        <w:t>16</w:t>
      </w:r>
    </w:p>
    <w:p w:rsidR="00754BA7" w:rsidRDefault="003E3BF9">
      <w:pPr>
        <w:tabs>
          <w:tab w:val="right" w:pos="9360"/>
        </w:tabs>
        <w:spacing w:before="50" w:after="50"/>
      </w:pPr>
      <w:r>
        <w:rPr>
          <w:sz w:val="22"/>
          <w:szCs w:val="22"/>
        </w:rPr>
        <w:t xml:space="preserve">    3.5  Compliance Mapping Module</w:t>
      </w:r>
      <w:r>
        <w:rPr>
          <w:sz w:val="22"/>
          <w:szCs w:val="22"/>
        </w:rPr>
        <w:tab/>
        <w:t>17</w:t>
      </w:r>
    </w:p>
    <w:p w:rsidR="00754BA7" w:rsidRDefault="003E3BF9">
      <w:pPr>
        <w:tabs>
          <w:tab w:val="right" w:pos="9360"/>
        </w:tabs>
        <w:spacing w:before="50" w:after="50"/>
      </w:pPr>
      <w:r>
        <w:rPr>
          <w:sz w:val="22"/>
          <w:szCs w:val="22"/>
        </w:rPr>
        <w:t xml:space="preserve">    3.6  Evaluation Approach</w:t>
      </w:r>
      <w:r>
        <w:rPr>
          <w:sz w:val="22"/>
          <w:szCs w:val="22"/>
        </w:rPr>
        <w:tab/>
        <w:t>18</w:t>
      </w:r>
    </w:p>
    <w:p w:rsidR="00754BA7" w:rsidRDefault="003E3BF9">
      <w:pPr>
        <w:tabs>
          <w:tab w:val="right" w:pos="9360"/>
        </w:tabs>
        <w:spacing w:before="50" w:after="50"/>
      </w:pPr>
      <w:r>
        <w:rPr>
          <w:sz w:val="22"/>
          <w:szCs w:val="22"/>
        </w:rPr>
        <w:t>Chapter 4 — Results and Discussion</w:t>
      </w:r>
      <w:r>
        <w:rPr>
          <w:sz w:val="22"/>
          <w:szCs w:val="22"/>
        </w:rPr>
        <w:tab/>
        <w:t>19</w:t>
      </w:r>
    </w:p>
    <w:p w:rsidR="00754BA7" w:rsidRDefault="003E3BF9">
      <w:pPr>
        <w:tabs>
          <w:tab w:val="right" w:pos="9360"/>
        </w:tabs>
        <w:spacing w:before="50" w:after="50"/>
      </w:pPr>
      <w:r>
        <w:rPr>
          <w:sz w:val="22"/>
          <w:szCs w:val="22"/>
        </w:rPr>
        <w:t xml:space="preserve">    4.1  Dashboard &amp; Compliance Scores</w:t>
      </w:r>
      <w:r>
        <w:rPr>
          <w:sz w:val="22"/>
          <w:szCs w:val="22"/>
        </w:rPr>
        <w:tab/>
        <w:t>19</w:t>
      </w:r>
    </w:p>
    <w:p w:rsidR="00754BA7" w:rsidRDefault="003E3BF9">
      <w:pPr>
        <w:tabs>
          <w:tab w:val="right" w:pos="9360"/>
        </w:tabs>
        <w:spacing w:before="50" w:after="50"/>
      </w:pPr>
      <w:r>
        <w:rPr>
          <w:sz w:val="22"/>
          <w:szCs w:val="22"/>
        </w:rPr>
        <w:t xml:space="preserve">    4.2  AI Audit Engine Results</w:t>
      </w:r>
      <w:r>
        <w:rPr>
          <w:sz w:val="22"/>
          <w:szCs w:val="22"/>
        </w:rPr>
        <w:tab/>
        <w:t>20</w:t>
      </w:r>
    </w:p>
    <w:p w:rsidR="00754BA7" w:rsidRDefault="003E3BF9">
      <w:pPr>
        <w:tabs>
          <w:tab w:val="right" w:pos="9360"/>
        </w:tabs>
        <w:spacing w:before="50" w:after="50"/>
      </w:pPr>
      <w:r>
        <w:rPr>
          <w:sz w:val="22"/>
          <w:szCs w:val="22"/>
        </w:rPr>
        <w:t xml:space="preserve">    4.3  Policy Analyzer Results</w:t>
      </w:r>
      <w:r>
        <w:rPr>
          <w:sz w:val="22"/>
          <w:szCs w:val="22"/>
        </w:rPr>
        <w:tab/>
        <w:t>21</w:t>
      </w:r>
    </w:p>
    <w:p w:rsidR="00754BA7" w:rsidRDefault="003E3BF9">
      <w:pPr>
        <w:tabs>
          <w:tab w:val="right" w:pos="9360"/>
        </w:tabs>
        <w:spacing w:before="50" w:after="50"/>
      </w:pPr>
      <w:r>
        <w:rPr>
          <w:sz w:val="22"/>
          <w:szCs w:val="22"/>
        </w:rPr>
        <w:t xml:space="preserve">    4.4  Compliance Map Findings</w:t>
      </w:r>
      <w:r>
        <w:rPr>
          <w:sz w:val="22"/>
          <w:szCs w:val="22"/>
        </w:rPr>
        <w:tab/>
        <w:t>22</w:t>
      </w:r>
    </w:p>
    <w:p w:rsidR="00754BA7" w:rsidRDefault="003E3BF9">
      <w:pPr>
        <w:tabs>
          <w:tab w:val="right" w:pos="9360"/>
        </w:tabs>
        <w:spacing w:before="50" w:after="50"/>
      </w:pPr>
      <w:r>
        <w:rPr>
          <w:sz w:val="22"/>
          <w:szCs w:val="22"/>
        </w:rPr>
        <w:t xml:space="preserve">    4.5  Comparison with Manual Audits</w:t>
      </w:r>
      <w:r>
        <w:rPr>
          <w:sz w:val="22"/>
          <w:szCs w:val="22"/>
        </w:rPr>
        <w:tab/>
        <w:t>22</w:t>
      </w:r>
    </w:p>
    <w:p w:rsidR="00754BA7" w:rsidRDefault="003E3BF9">
      <w:pPr>
        <w:tabs>
          <w:tab w:val="right" w:pos="9360"/>
        </w:tabs>
        <w:spacing w:before="50" w:after="50"/>
      </w:pPr>
      <w:r>
        <w:rPr>
          <w:sz w:val="22"/>
          <w:szCs w:val="22"/>
        </w:rPr>
        <w:t>Chapter 5 — Conclusion and Future Work</w:t>
      </w:r>
      <w:r>
        <w:rPr>
          <w:sz w:val="22"/>
          <w:szCs w:val="22"/>
        </w:rPr>
        <w:tab/>
        <w:t>24</w:t>
      </w:r>
    </w:p>
    <w:p w:rsidR="00754BA7" w:rsidRDefault="003E3BF9">
      <w:pPr>
        <w:tabs>
          <w:tab w:val="right" w:pos="9360"/>
        </w:tabs>
        <w:spacing w:before="50" w:after="50"/>
      </w:pPr>
      <w:r>
        <w:rPr>
          <w:sz w:val="22"/>
          <w:szCs w:val="22"/>
        </w:rPr>
        <w:t xml:space="preserve">    5.1  Summary of Findings</w:t>
      </w:r>
      <w:r>
        <w:rPr>
          <w:sz w:val="22"/>
          <w:szCs w:val="22"/>
        </w:rPr>
        <w:tab/>
        <w:t>24</w:t>
      </w:r>
    </w:p>
    <w:p w:rsidR="00754BA7" w:rsidRDefault="003E3BF9">
      <w:pPr>
        <w:tabs>
          <w:tab w:val="right" w:pos="9360"/>
        </w:tabs>
        <w:spacing w:before="50" w:after="50"/>
      </w:pPr>
      <w:r>
        <w:rPr>
          <w:sz w:val="22"/>
          <w:szCs w:val="22"/>
        </w:rPr>
        <w:t xml:space="preserve">    5.2  Limitations</w:t>
      </w:r>
      <w:r>
        <w:rPr>
          <w:sz w:val="22"/>
          <w:szCs w:val="22"/>
        </w:rPr>
        <w:tab/>
        <w:t>24</w:t>
      </w:r>
    </w:p>
    <w:p w:rsidR="00754BA7" w:rsidRDefault="003E3BF9">
      <w:pPr>
        <w:tabs>
          <w:tab w:val="right" w:pos="9360"/>
        </w:tabs>
        <w:spacing w:before="50" w:after="50"/>
      </w:pPr>
      <w:r>
        <w:rPr>
          <w:sz w:val="22"/>
          <w:szCs w:val="22"/>
        </w:rPr>
        <w:t xml:space="preserve">    5.3  Future Enhancements</w:t>
      </w:r>
      <w:r>
        <w:rPr>
          <w:sz w:val="22"/>
          <w:szCs w:val="22"/>
        </w:rPr>
        <w:tab/>
        <w:t>25</w:t>
      </w:r>
    </w:p>
    <w:p w:rsidR="00754BA7" w:rsidRDefault="003E3BF9">
      <w:pPr>
        <w:tabs>
          <w:tab w:val="right" w:pos="9360"/>
        </w:tabs>
        <w:spacing w:before="50" w:after="50"/>
      </w:pPr>
      <w:r>
        <w:rPr>
          <w:sz w:val="22"/>
          <w:szCs w:val="22"/>
        </w:rPr>
        <w:t>References</w:t>
      </w:r>
      <w:r>
        <w:rPr>
          <w:sz w:val="22"/>
          <w:szCs w:val="22"/>
        </w:rPr>
        <w:tab/>
        <w:t>26</w:t>
      </w:r>
    </w:p>
    <w:p w:rsidR="00754BA7" w:rsidRDefault="003E3BF9">
      <w:r>
        <w:br w:type="page"/>
      </w:r>
    </w:p>
    <w:p w:rsidR="00754BA7" w:rsidRDefault="003E3BF9">
      <w:pPr>
        <w:pStyle w:val="Heading1"/>
      </w:pPr>
      <w:r>
        <w:lastRenderedPageBreak/>
        <w:t>Abstract</w:t>
      </w:r>
    </w:p>
    <w:p w:rsidR="00754BA7" w:rsidRDefault="00754BA7">
      <w:pPr>
        <w:pBdr>
          <w:bottom w:val="single" w:sz="6" w:space="1" w:color="2E74B5"/>
        </w:pBdr>
        <w:spacing w:before="80" w:after="80"/>
      </w:pPr>
    </w:p>
    <w:p w:rsidR="00754BA7" w:rsidRDefault="00754BA7">
      <w:pPr>
        <w:spacing w:line="276" w:lineRule="auto"/>
        <w:jc w:val="both"/>
      </w:pPr>
    </w:p>
    <w:p w:rsidR="00754BA7" w:rsidRDefault="003E3BF9">
      <w:pPr>
        <w:spacing w:before="80" w:after="80" w:line="276" w:lineRule="auto"/>
        <w:jc w:val="both"/>
      </w:pPr>
      <w:r>
        <w:rPr>
          <w:color w:val="000000"/>
        </w:rPr>
        <w:t xml:space="preserve">This project presents an AI-powered privacy compliance audit system designed to help organizations adhere to two major data protection frameworks: the General Data Protection Regulation (GDPR) of the European Union and India's Digital Personal Data Protection (DPDP) Act 2023. The system leverages large language model (LLM) technology — specifically </w:t>
      </w:r>
      <w:r w:rsidR="004260A6">
        <w:rPr>
          <w:color w:val="000000"/>
        </w:rPr>
        <w:t xml:space="preserve">Groq </w:t>
      </w:r>
      <w:r>
        <w:rPr>
          <w:color w:val="000000"/>
        </w:rPr>
        <w:t xml:space="preserve">by </w:t>
      </w:r>
      <w:r w:rsidR="004260A6">
        <w:rPr>
          <w:color w:val="000000"/>
        </w:rPr>
        <w:t>xAI</w:t>
      </w:r>
      <w:r>
        <w:rPr>
          <w:color w:val="000000"/>
        </w:rPr>
        <w:t>— as its core AI engine to perform intelligent, context-aware compliance auditing that previously required significant legal expertise and manual effort.</w:t>
      </w:r>
    </w:p>
    <w:p w:rsidR="00754BA7" w:rsidRDefault="00754BA7">
      <w:pPr>
        <w:spacing w:line="276" w:lineRule="auto"/>
        <w:jc w:val="both"/>
      </w:pPr>
    </w:p>
    <w:p w:rsidR="00754BA7" w:rsidRDefault="003E3BF9">
      <w:pPr>
        <w:spacing w:before="80" w:after="80" w:line="276" w:lineRule="auto"/>
        <w:jc w:val="both"/>
      </w:pPr>
      <w:r>
        <w:rPr>
          <w:color w:val="000000"/>
        </w:rPr>
        <w:t>The platform consists of four integrated modules: (1) an AI Audit Engine that analyzes organizational context and generates structured compliance reports; (2) a Policy Analyzer that reviews privacy policies for gaps, vague language, and missing regulatory elements; (3) a Compliance Map that presents a side-by-side comparison of GDPR and DPDP Act requirements; and (4) a Reports module with an AI-powered compliance consultant chatbot. The system produces risk scores, violation lists with severity ratings, remediation roadmaps, and estimated fine exposures.</w:t>
      </w:r>
    </w:p>
    <w:p w:rsidR="00754BA7" w:rsidRDefault="00754BA7">
      <w:pPr>
        <w:spacing w:line="276" w:lineRule="auto"/>
        <w:jc w:val="both"/>
      </w:pPr>
    </w:p>
    <w:p w:rsidR="00754BA7" w:rsidRDefault="003E3BF9">
      <w:pPr>
        <w:spacing w:before="80" w:after="80" w:line="276" w:lineRule="auto"/>
        <w:jc w:val="both"/>
      </w:pPr>
      <w:r>
        <w:rPr>
          <w:color w:val="000000"/>
        </w:rPr>
        <w:t>Experimental evaluation demonstrates that the AI engine successfully identifies critical compliance gaps including missing Data Protection Officers (DPOs), inadequate consent mechanisms, absent retention policies, and incomplete third-party processor agreements. The system achieves a significant reduction in audit preparation time compared to traditional manual approaches, while providing actionable and regulation-cited remediation guidance. This project demonstrates that modern LLM-based systems can serve as effective first-line compliance tools for organizations operating under multiple data protection regimes.</w:t>
      </w:r>
    </w:p>
    <w:p w:rsidR="00754BA7" w:rsidRDefault="003E3BF9">
      <w:r>
        <w:br w:type="page"/>
      </w:r>
    </w:p>
    <w:p w:rsidR="00754BA7" w:rsidRDefault="003E3BF9">
      <w:pPr>
        <w:pStyle w:val="Heading1"/>
      </w:pPr>
      <w:r>
        <w:lastRenderedPageBreak/>
        <w:t>Acknowledgements</w:t>
      </w:r>
    </w:p>
    <w:p w:rsidR="00754BA7" w:rsidRDefault="00754BA7">
      <w:pPr>
        <w:pBdr>
          <w:bottom w:val="single" w:sz="6" w:space="1" w:color="2E74B5"/>
        </w:pBdr>
        <w:spacing w:before="80" w:after="80"/>
      </w:pPr>
    </w:p>
    <w:p w:rsidR="00754BA7" w:rsidRDefault="00754BA7">
      <w:pPr>
        <w:spacing w:line="276" w:lineRule="auto"/>
        <w:jc w:val="both"/>
      </w:pPr>
    </w:p>
    <w:p w:rsidR="00754BA7" w:rsidRDefault="003E3BF9">
      <w:pPr>
        <w:spacing w:before="80" w:after="80" w:line="276" w:lineRule="auto"/>
        <w:jc w:val="both"/>
      </w:pPr>
      <w:r>
        <w:rPr>
          <w:color w:val="000000"/>
        </w:rPr>
        <w:t>We would like to express our sincere gratitude to our project guide for their continuous support, valuable guidance, and encouragement throughout the development of this project. Their deep knowledge of data protection law and AI systems greatly helped in improving the quality and direction of this work.</w:t>
      </w:r>
    </w:p>
    <w:p w:rsidR="00754BA7" w:rsidRDefault="00754BA7">
      <w:pPr>
        <w:spacing w:line="276" w:lineRule="auto"/>
        <w:jc w:val="both"/>
      </w:pPr>
    </w:p>
    <w:p w:rsidR="00754BA7" w:rsidRDefault="003E3BF9">
      <w:pPr>
        <w:spacing w:before="80" w:after="80" w:line="276" w:lineRule="auto"/>
        <w:jc w:val="both"/>
      </w:pPr>
      <w:r>
        <w:rPr>
          <w:color w:val="000000"/>
        </w:rPr>
        <w:t>We are also thankful to the faculty members of our department for providing the necessary resources and academic environment that made this project possible. Their teachings have played a significant role in building the foundation required to complete this work successfully.</w:t>
      </w:r>
    </w:p>
    <w:p w:rsidR="00754BA7" w:rsidRDefault="00754BA7">
      <w:pPr>
        <w:spacing w:line="276" w:lineRule="auto"/>
        <w:jc w:val="both"/>
      </w:pPr>
    </w:p>
    <w:p w:rsidR="00754BA7" w:rsidRDefault="003E3BF9">
      <w:pPr>
        <w:spacing w:before="80" w:after="80" w:line="276" w:lineRule="auto"/>
        <w:jc w:val="both"/>
      </w:pPr>
      <w:r>
        <w:rPr>
          <w:color w:val="000000"/>
        </w:rPr>
        <w:t xml:space="preserve">We gratefully acknowledge the contributions of the open-source community, particularly the developers of the </w:t>
      </w:r>
      <w:r w:rsidR="002542A4">
        <w:rPr>
          <w:color w:val="000000"/>
        </w:rPr>
        <w:t xml:space="preserve">GROQ </w:t>
      </w:r>
      <w:r>
        <w:rPr>
          <w:color w:val="000000"/>
        </w:rPr>
        <w:t>API, React.js, FastAPI, and various privacy compliance frameworks whose work formed the technical foundation of this system.</w:t>
      </w:r>
    </w:p>
    <w:p w:rsidR="00754BA7" w:rsidRDefault="00754BA7">
      <w:pPr>
        <w:spacing w:line="276" w:lineRule="auto"/>
        <w:jc w:val="both"/>
      </w:pPr>
    </w:p>
    <w:p w:rsidR="00754BA7" w:rsidRDefault="003E3BF9">
      <w:pPr>
        <w:spacing w:before="80" w:after="80" w:line="276" w:lineRule="auto"/>
        <w:jc w:val="both"/>
      </w:pPr>
      <w:r>
        <w:rPr>
          <w:color w:val="000000"/>
        </w:rPr>
        <w:t>We would like to acknowledge our friends and classmates for their support, discussions, and assistance during the project. Their cooperation and motivation were highly valuable.</w:t>
      </w:r>
    </w:p>
    <w:p w:rsidR="00754BA7" w:rsidRDefault="00754BA7">
      <w:pPr>
        <w:spacing w:line="276" w:lineRule="auto"/>
        <w:jc w:val="both"/>
      </w:pPr>
    </w:p>
    <w:p w:rsidR="00754BA7" w:rsidRDefault="003E3BF9">
      <w:pPr>
        <w:spacing w:before="80" w:after="80" w:line="276" w:lineRule="auto"/>
        <w:jc w:val="both"/>
      </w:pPr>
      <w:r>
        <w:rPr>
          <w:color w:val="000000"/>
        </w:rPr>
        <w:t>Finally, we extend our heartfelt thanks to our families for their constant encouragement, patience, and support throughout our academic journey.</w:t>
      </w:r>
    </w:p>
    <w:p w:rsidR="00754BA7" w:rsidRDefault="00754BA7">
      <w:pPr>
        <w:spacing w:line="276" w:lineRule="auto"/>
        <w:jc w:val="both"/>
      </w:pPr>
    </w:p>
    <w:p w:rsidR="00754BA7" w:rsidRDefault="00754BA7">
      <w:pPr>
        <w:spacing w:line="276" w:lineRule="auto"/>
        <w:jc w:val="both"/>
      </w:pPr>
    </w:p>
    <w:p w:rsidR="00754BA7" w:rsidRDefault="003E3BF9">
      <w:pPr>
        <w:spacing w:before="80" w:after="80" w:line="276" w:lineRule="auto"/>
        <w:jc w:val="both"/>
      </w:pPr>
      <w:r>
        <w:rPr>
          <w:b/>
          <w:bCs/>
          <w:color w:val="000000"/>
        </w:rPr>
        <w:t>AKIF DAUD</w:t>
      </w:r>
    </w:p>
    <w:p w:rsidR="00754BA7" w:rsidRDefault="003E3BF9">
      <w:pPr>
        <w:spacing w:before="80" w:after="80" w:line="276" w:lineRule="auto"/>
        <w:jc w:val="both"/>
      </w:pPr>
      <w:r>
        <w:rPr>
          <w:color w:val="000000"/>
        </w:rPr>
        <w:t>23AIBEA267</w:t>
      </w:r>
    </w:p>
    <w:p w:rsidR="00754BA7" w:rsidRDefault="003E3BF9">
      <w:r>
        <w:br w:type="page"/>
      </w:r>
    </w:p>
    <w:p w:rsidR="00754BA7" w:rsidRDefault="003E3BF9">
      <w:pPr>
        <w:pStyle w:val="Heading1"/>
      </w:pPr>
      <w:r>
        <w:lastRenderedPageBreak/>
        <w:t>Acronyms</w:t>
      </w:r>
    </w:p>
    <w:p w:rsidR="00754BA7" w:rsidRDefault="00754BA7">
      <w:pPr>
        <w:pBdr>
          <w:bottom w:val="single" w:sz="6" w:space="1" w:color="2E74B5"/>
        </w:pBdr>
        <w:spacing w:before="80" w:after="80"/>
      </w:pPr>
    </w:p>
    <w:p w:rsidR="00754BA7" w:rsidRDefault="00754BA7">
      <w:pPr>
        <w:spacing w:line="276" w:lineRule="auto"/>
        <w:jc w:val="both"/>
      </w:pPr>
    </w:p>
    <w:p w:rsidR="00754BA7" w:rsidRDefault="003E3BF9">
      <w:pPr>
        <w:pStyle w:val="ListParagraph"/>
        <w:numPr>
          <w:ilvl w:val="0"/>
          <w:numId w:val="2"/>
        </w:numPr>
        <w:spacing w:before="60" w:after="60" w:line="276" w:lineRule="auto"/>
      </w:pPr>
      <w:r>
        <w:rPr>
          <w:color w:val="000000"/>
        </w:rPr>
        <w:t>AI – Artificial Intelligence</w:t>
      </w:r>
    </w:p>
    <w:p w:rsidR="00754BA7" w:rsidRDefault="003E3BF9">
      <w:pPr>
        <w:pStyle w:val="ListParagraph"/>
        <w:numPr>
          <w:ilvl w:val="0"/>
          <w:numId w:val="2"/>
        </w:numPr>
        <w:spacing w:before="60" w:after="60" w:line="276" w:lineRule="auto"/>
      </w:pPr>
      <w:r>
        <w:rPr>
          <w:color w:val="000000"/>
        </w:rPr>
        <w:t>API – Application Programming Interface</w:t>
      </w:r>
    </w:p>
    <w:p w:rsidR="00754BA7" w:rsidRDefault="003E3BF9">
      <w:pPr>
        <w:pStyle w:val="ListParagraph"/>
        <w:numPr>
          <w:ilvl w:val="0"/>
          <w:numId w:val="2"/>
        </w:numPr>
        <w:spacing w:before="60" w:after="60" w:line="276" w:lineRule="auto"/>
      </w:pPr>
      <w:r>
        <w:rPr>
          <w:color w:val="000000"/>
        </w:rPr>
        <w:t>CCPA – California Consumer Privacy Act</w:t>
      </w:r>
    </w:p>
    <w:p w:rsidR="00754BA7" w:rsidRDefault="003E3BF9">
      <w:pPr>
        <w:pStyle w:val="ListParagraph"/>
        <w:numPr>
          <w:ilvl w:val="0"/>
          <w:numId w:val="2"/>
        </w:numPr>
        <w:spacing w:before="60" w:after="60" w:line="276" w:lineRule="auto"/>
      </w:pPr>
      <w:r>
        <w:rPr>
          <w:color w:val="000000"/>
        </w:rPr>
        <w:t>CORS – Cross-Origin Resource Sharing</w:t>
      </w:r>
    </w:p>
    <w:p w:rsidR="00754BA7" w:rsidRDefault="003E3BF9">
      <w:pPr>
        <w:pStyle w:val="ListParagraph"/>
        <w:numPr>
          <w:ilvl w:val="0"/>
          <w:numId w:val="2"/>
        </w:numPr>
        <w:spacing w:before="60" w:after="60" w:line="276" w:lineRule="auto"/>
      </w:pPr>
      <w:r>
        <w:rPr>
          <w:color w:val="000000"/>
        </w:rPr>
        <w:t>CSS – Cascading Style Sheets</w:t>
      </w:r>
    </w:p>
    <w:p w:rsidR="00754BA7" w:rsidRDefault="003E3BF9">
      <w:pPr>
        <w:pStyle w:val="ListParagraph"/>
        <w:numPr>
          <w:ilvl w:val="0"/>
          <w:numId w:val="2"/>
        </w:numPr>
        <w:spacing w:before="60" w:after="60" w:line="276" w:lineRule="auto"/>
      </w:pPr>
      <w:r>
        <w:rPr>
          <w:color w:val="000000"/>
        </w:rPr>
        <w:t>DPA – Data Processing Agreement</w:t>
      </w:r>
    </w:p>
    <w:p w:rsidR="00754BA7" w:rsidRDefault="003E3BF9">
      <w:pPr>
        <w:pStyle w:val="ListParagraph"/>
        <w:numPr>
          <w:ilvl w:val="0"/>
          <w:numId w:val="2"/>
        </w:numPr>
        <w:spacing w:before="60" w:after="60" w:line="276" w:lineRule="auto"/>
      </w:pPr>
      <w:r>
        <w:rPr>
          <w:color w:val="000000"/>
        </w:rPr>
        <w:t>DPDP – Digital Personal Data Protection</w:t>
      </w:r>
    </w:p>
    <w:p w:rsidR="00754BA7" w:rsidRDefault="003E3BF9">
      <w:pPr>
        <w:pStyle w:val="ListParagraph"/>
        <w:numPr>
          <w:ilvl w:val="0"/>
          <w:numId w:val="2"/>
        </w:numPr>
        <w:spacing w:before="60" w:after="60" w:line="276" w:lineRule="auto"/>
      </w:pPr>
      <w:r>
        <w:rPr>
          <w:color w:val="000000"/>
        </w:rPr>
        <w:t>DPO – Data Protection Officer</w:t>
      </w:r>
    </w:p>
    <w:p w:rsidR="00754BA7" w:rsidRDefault="003E3BF9">
      <w:pPr>
        <w:pStyle w:val="ListParagraph"/>
        <w:numPr>
          <w:ilvl w:val="0"/>
          <w:numId w:val="2"/>
        </w:numPr>
        <w:spacing w:before="60" w:after="60" w:line="276" w:lineRule="auto"/>
      </w:pPr>
      <w:r>
        <w:rPr>
          <w:color w:val="000000"/>
        </w:rPr>
        <w:t>DPIA – Data Protection Impact Assessment</w:t>
      </w:r>
    </w:p>
    <w:p w:rsidR="00754BA7" w:rsidRDefault="003E3BF9">
      <w:pPr>
        <w:pStyle w:val="ListParagraph"/>
        <w:numPr>
          <w:ilvl w:val="0"/>
          <w:numId w:val="2"/>
        </w:numPr>
        <w:spacing w:before="60" w:after="60" w:line="276" w:lineRule="auto"/>
      </w:pPr>
      <w:r>
        <w:rPr>
          <w:color w:val="000000"/>
        </w:rPr>
        <w:t>DSR – Data Subject Request</w:t>
      </w:r>
    </w:p>
    <w:p w:rsidR="00754BA7" w:rsidRDefault="003E3BF9">
      <w:pPr>
        <w:pStyle w:val="ListParagraph"/>
        <w:numPr>
          <w:ilvl w:val="0"/>
          <w:numId w:val="2"/>
        </w:numPr>
        <w:spacing w:before="60" w:after="60" w:line="276" w:lineRule="auto"/>
      </w:pPr>
      <w:r>
        <w:rPr>
          <w:color w:val="000000"/>
        </w:rPr>
        <w:t>EU – European Union</w:t>
      </w:r>
    </w:p>
    <w:p w:rsidR="00754BA7" w:rsidRDefault="003E3BF9">
      <w:pPr>
        <w:pStyle w:val="ListParagraph"/>
        <w:numPr>
          <w:ilvl w:val="0"/>
          <w:numId w:val="2"/>
        </w:numPr>
        <w:spacing w:before="60" w:after="60" w:line="276" w:lineRule="auto"/>
      </w:pPr>
      <w:r>
        <w:rPr>
          <w:color w:val="000000"/>
        </w:rPr>
        <w:t>GDPR – General Data Protection Regulation</w:t>
      </w:r>
    </w:p>
    <w:p w:rsidR="00754BA7" w:rsidRDefault="003E3BF9">
      <w:pPr>
        <w:pStyle w:val="ListParagraph"/>
        <w:numPr>
          <w:ilvl w:val="0"/>
          <w:numId w:val="2"/>
        </w:numPr>
        <w:spacing w:before="60" w:after="60" w:line="276" w:lineRule="auto"/>
      </w:pPr>
      <w:r>
        <w:rPr>
          <w:color w:val="000000"/>
        </w:rPr>
        <w:t>HTML – Hypertext Markup Language</w:t>
      </w:r>
    </w:p>
    <w:p w:rsidR="00754BA7" w:rsidRDefault="003E3BF9">
      <w:pPr>
        <w:pStyle w:val="ListParagraph"/>
        <w:numPr>
          <w:ilvl w:val="0"/>
          <w:numId w:val="2"/>
        </w:numPr>
        <w:spacing w:before="60" w:after="60" w:line="276" w:lineRule="auto"/>
      </w:pPr>
      <w:r>
        <w:rPr>
          <w:color w:val="000000"/>
        </w:rPr>
        <w:t>HTTP – Hypertext Transfer Protocol</w:t>
      </w:r>
    </w:p>
    <w:p w:rsidR="00754BA7" w:rsidRDefault="003E3BF9">
      <w:pPr>
        <w:pStyle w:val="ListParagraph"/>
        <w:numPr>
          <w:ilvl w:val="0"/>
          <w:numId w:val="2"/>
        </w:numPr>
        <w:spacing w:before="60" w:after="60" w:line="276" w:lineRule="auto"/>
      </w:pPr>
      <w:r>
        <w:rPr>
          <w:color w:val="000000"/>
        </w:rPr>
        <w:t>ISO – International Organization for Standardization</w:t>
      </w:r>
    </w:p>
    <w:p w:rsidR="00754BA7" w:rsidRDefault="003E3BF9">
      <w:pPr>
        <w:pStyle w:val="ListParagraph"/>
        <w:numPr>
          <w:ilvl w:val="0"/>
          <w:numId w:val="2"/>
        </w:numPr>
        <w:spacing w:before="60" w:after="60" w:line="276" w:lineRule="auto"/>
      </w:pPr>
      <w:r>
        <w:rPr>
          <w:color w:val="000000"/>
        </w:rPr>
        <w:t>JSON – JavaScript Object Notation</w:t>
      </w:r>
    </w:p>
    <w:p w:rsidR="00754BA7" w:rsidRDefault="003E3BF9">
      <w:pPr>
        <w:pStyle w:val="ListParagraph"/>
        <w:numPr>
          <w:ilvl w:val="0"/>
          <w:numId w:val="2"/>
        </w:numPr>
        <w:spacing w:before="60" w:after="60" w:line="276" w:lineRule="auto"/>
      </w:pPr>
      <w:r>
        <w:rPr>
          <w:color w:val="000000"/>
        </w:rPr>
        <w:t>JSX – JavaScript XML</w:t>
      </w:r>
    </w:p>
    <w:p w:rsidR="00754BA7" w:rsidRDefault="003E3BF9">
      <w:pPr>
        <w:pStyle w:val="ListParagraph"/>
        <w:numPr>
          <w:ilvl w:val="0"/>
          <w:numId w:val="2"/>
        </w:numPr>
        <w:spacing w:before="60" w:after="60" w:line="276" w:lineRule="auto"/>
      </w:pPr>
      <w:r>
        <w:rPr>
          <w:color w:val="000000"/>
        </w:rPr>
        <w:t>LLM – Large Language Model</w:t>
      </w:r>
    </w:p>
    <w:p w:rsidR="00754BA7" w:rsidRDefault="003E3BF9">
      <w:pPr>
        <w:pStyle w:val="ListParagraph"/>
        <w:numPr>
          <w:ilvl w:val="0"/>
          <w:numId w:val="2"/>
        </w:numPr>
        <w:spacing w:before="60" w:after="60" w:line="276" w:lineRule="auto"/>
      </w:pPr>
      <w:r>
        <w:rPr>
          <w:color w:val="000000"/>
        </w:rPr>
        <w:t>ML – Machine Learning</w:t>
      </w:r>
    </w:p>
    <w:p w:rsidR="00754BA7" w:rsidRDefault="003E3BF9">
      <w:pPr>
        <w:pStyle w:val="ListParagraph"/>
        <w:numPr>
          <w:ilvl w:val="0"/>
          <w:numId w:val="2"/>
        </w:numPr>
        <w:spacing w:before="60" w:after="60" w:line="276" w:lineRule="auto"/>
      </w:pPr>
      <w:r>
        <w:rPr>
          <w:color w:val="000000"/>
        </w:rPr>
        <w:t>NLP – Natural Language Processing</w:t>
      </w:r>
    </w:p>
    <w:p w:rsidR="00754BA7" w:rsidRDefault="003E3BF9">
      <w:pPr>
        <w:pStyle w:val="ListParagraph"/>
        <w:numPr>
          <w:ilvl w:val="0"/>
          <w:numId w:val="2"/>
        </w:numPr>
        <w:spacing w:before="60" w:after="60" w:line="276" w:lineRule="auto"/>
      </w:pPr>
      <w:r>
        <w:rPr>
          <w:color w:val="000000"/>
        </w:rPr>
        <w:t>PII – Personally Identifiable Information</w:t>
      </w:r>
    </w:p>
    <w:p w:rsidR="00754BA7" w:rsidRDefault="003E3BF9">
      <w:pPr>
        <w:pStyle w:val="ListParagraph"/>
        <w:numPr>
          <w:ilvl w:val="0"/>
          <w:numId w:val="2"/>
        </w:numPr>
        <w:spacing w:before="60" w:after="60" w:line="276" w:lineRule="auto"/>
      </w:pPr>
      <w:r>
        <w:rPr>
          <w:color w:val="000000"/>
        </w:rPr>
        <w:t>REST – Representational State Transfer</w:t>
      </w:r>
    </w:p>
    <w:p w:rsidR="00754BA7" w:rsidRDefault="003E3BF9">
      <w:pPr>
        <w:pStyle w:val="ListParagraph"/>
        <w:numPr>
          <w:ilvl w:val="0"/>
          <w:numId w:val="2"/>
        </w:numPr>
        <w:spacing w:before="60" w:after="60" w:line="276" w:lineRule="auto"/>
      </w:pPr>
      <w:r>
        <w:rPr>
          <w:color w:val="000000"/>
        </w:rPr>
        <w:t>ROPA – Record of Processing Activities</w:t>
      </w:r>
    </w:p>
    <w:p w:rsidR="00754BA7" w:rsidRDefault="003E3BF9">
      <w:pPr>
        <w:pStyle w:val="ListParagraph"/>
        <w:numPr>
          <w:ilvl w:val="0"/>
          <w:numId w:val="2"/>
        </w:numPr>
        <w:spacing w:before="60" w:after="60" w:line="276" w:lineRule="auto"/>
      </w:pPr>
      <w:r>
        <w:rPr>
          <w:color w:val="000000"/>
        </w:rPr>
        <w:t>SCC – Standard Contractual Clauses</w:t>
      </w:r>
    </w:p>
    <w:p w:rsidR="00754BA7" w:rsidRDefault="003E3BF9">
      <w:pPr>
        <w:pStyle w:val="ListParagraph"/>
        <w:numPr>
          <w:ilvl w:val="0"/>
          <w:numId w:val="2"/>
        </w:numPr>
        <w:spacing w:before="60" w:after="60" w:line="276" w:lineRule="auto"/>
      </w:pPr>
      <w:r>
        <w:rPr>
          <w:color w:val="000000"/>
        </w:rPr>
        <w:t>SVM – Support Vector Machine</w:t>
      </w:r>
    </w:p>
    <w:p w:rsidR="00754BA7" w:rsidRDefault="003E3BF9">
      <w:pPr>
        <w:pStyle w:val="ListParagraph"/>
        <w:numPr>
          <w:ilvl w:val="0"/>
          <w:numId w:val="2"/>
        </w:numPr>
        <w:spacing w:before="60" w:after="60" w:line="276" w:lineRule="auto"/>
      </w:pPr>
      <w:r>
        <w:rPr>
          <w:color w:val="000000"/>
        </w:rPr>
        <w:t>UI – User Interface</w:t>
      </w:r>
    </w:p>
    <w:p w:rsidR="00754BA7" w:rsidRDefault="003E3BF9">
      <w:pPr>
        <w:pStyle w:val="ListParagraph"/>
        <w:numPr>
          <w:ilvl w:val="0"/>
          <w:numId w:val="2"/>
        </w:numPr>
        <w:spacing w:before="60" w:after="60" w:line="276" w:lineRule="auto"/>
      </w:pPr>
      <w:r>
        <w:rPr>
          <w:color w:val="000000"/>
        </w:rPr>
        <w:t>UX – User Experience</w:t>
      </w:r>
    </w:p>
    <w:p w:rsidR="00754BA7" w:rsidRDefault="003E3BF9">
      <w:r>
        <w:br w:type="page"/>
      </w:r>
    </w:p>
    <w:p w:rsidR="00754BA7" w:rsidRDefault="003E3BF9">
      <w:pPr>
        <w:pStyle w:val="Heading1"/>
      </w:pPr>
      <w:r>
        <w:lastRenderedPageBreak/>
        <w:t>List of Figures</w:t>
      </w:r>
    </w:p>
    <w:p w:rsidR="00754BA7" w:rsidRDefault="00754BA7">
      <w:pPr>
        <w:pBdr>
          <w:bottom w:val="single" w:sz="6" w:space="1" w:color="2E74B5"/>
        </w:pBdr>
        <w:spacing w:before="80" w:after="80"/>
      </w:pPr>
    </w:p>
    <w:p w:rsidR="00754BA7" w:rsidRDefault="00754BA7">
      <w:pPr>
        <w:spacing w:line="276" w:lineRule="auto"/>
        <w:jc w:val="both"/>
      </w:pPr>
    </w:p>
    <w:p w:rsidR="00754BA7" w:rsidRDefault="003E3BF9">
      <w:pPr>
        <w:pStyle w:val="ListParagraph"/>
        <w:numPr>
          <w:ilvl w:val="0"/>
          <w:numId w:val="2"/>
        </w:numPr>
        <w:spacing w:before="60" w:after="60" w:line="276" w:lineRule="auto"/>
      </w:pPr>
      <w:r>
        <w:rPr>
          <w:color w:val="000000"/>
        </w:rPr>
        <w:t>Figure 1.1 — End-to-End System Architecture Pipeline</w:t>
      </w:r>
    </w:p>
    <w:p w:rsidR="00754BA7" w:rsidRDefault="003E3BF9">
      <w:pPr>
        <w:pStyle w:val="ListParagraph"/>
        <w:numPr>
          <w:ilvl w:val="0"/>
          <w:numId w:val="2"/>
        </w:numPr>
        <w:spacing w:before="60" w:after="60" w:line="276" w:lineRule="auto"/>
      </w:pPr>
      <w:r>
        <w:rPr>
          <w:color w:val="000000"/>
        </w:rPr>
        <w:t>Figure 1.2 — AI Audit Engine Workflow</w:t>
      </w:r>
    </w:p>
    <w:p w:rsidR="00754BA7" w:rsidRDefault="003E3BF9">
      <w:pPr>
        <w:pStyle w:val="ListParagraph"/>
        <w:numPr>
          <w:ilvl w:val="0"/>
          <w:numId w:val="2"/>
        </w:numPr>
        <w:spacing w:before="60" w:after="60" w:line="276" w:lineRule="auto"/>
      </w:pPr>
      <w:r>
        <w:rPr>
          <w:color w:val="000000"/>
        </w:rPr>
        <w:t>Figure 1.3 — Sample Audit Results Dashboard Screenshot</w:t>
      </w:r>
    </w:p>
    <w:p w:rsidR="00754BA7" w:rsidRDefault="003E3BF9">
      <w:pPr>
        <w:pStyle w:val="ListParagraph"/>
        <w:numPr>
          <w:ilvl w:val="0"/>
          <w:numId w:val="2"/>
        </w:numPr>
        <w:spacing w:before="60" w:after="60" w:line="276" w:lineRule="auto"/>
      </w:pPr>
      <w:r>
        <w:rPr>
          <w:color w:val="000000"/>
        </w:rPr>
        <w:t>Figure 1.4 — Policy Analyzer Input/Output Flow</w:t>
      </w:r>
    </w:p>
    <w:p w:rsidR="00754BA7" w:rsidRDefault="003E3BF9">
      <w:pPr>
        <w:pStyle w:val="ListParagraph"/>
        <w:numPr>
          <w:ilvl w:val="0"/>
          <w:numId w:val="2"/>
        </w:numPr>
        <w:spacing w:before="60" w:after="60" w:line="276" w:lineRule="auto"/>
      </w:pPr>
      <w:r>
        <w:rPr>
          <w:color w:val="000000"/>
        </w:rPr>
        <w:t>Figure 1.5 — GDPR vs DPDP Act Compliance Matrix Layout</w:t>
      </w:r>
    </w:p>
    <w:p w:rsidR="00754BA7" w:rsidRDefault="003E3BF9">
      <w:pPr>
        <w:pStyle w:val="ListParagraph"/>
        <w:numPr>
          <w:ilvl w:val="0"/>
          <w:numId w:val="2"/>
        </w:numPr>
        <w:spacing w:before="60" w:after="60" w:line="276" w:lineRule="auto"/>
      </w:pPr>
      <w:r>
        <w:rPr>
          <w:color w:val="000000"/>
        </w:rPr>
        <w:t>Figure 2.1 — Compliance Score Comparison (Pilot Organizations)</w:t>
      </w:r>
    </w:p>
    <w:p w:rsidR="00754BA7" w:rsidRDefault="003E3BF9">
      <w:pPr>
        <w:pStyle w:val="ListParagraph"/>
        <w:numPr>
          <w:ilvl w:val="0"/>
          <w:numId w:val="2"/>
        </w:numPr>
        <w:spacing w:before="60" w:after="60" w:line="276" w:lineRule="auto"/>
      </w:pPr>
      <w:r>
        <w:rPr>
          <w:color w:val="000000"/>
        </w:rPr>
        <w:t>Figure 2.2 — Violation Category Distribution</w:t>
      </w:r>
    </w:p>
    <w:p w:rsidR="00754BA7" w:rsidRDefault="00754BA7">
      <w:pPr>
        <w:spacing w:line="276" w:lineRule="auto"/>
        <w:jc w:val="both"/>
      </w:pPr>
    </w:p>
    <w:p w:rsidR="00754BA7" w:rsidRDefault="003E3BF9">
      <w:pPr>
        <w:pStyle w:val="Heading1"/>
      </w:pPr>
      <w:r>
        <w:t>List of Tables</w:t>
      </w:r>
    </w:p>
    <w:p w:rsidR="00754BA7" w:rsidRDefault="00754BA7">
      <w:pPr>
        <w:pBdr>
          <w:bottom w:val="single" w:sz="6" w:space="1" w:color="2E74B5"/>
        </w:pBdr>
        <w:spacing w:before="80" w:after="80"/>
      </w:pPr>
    </w:p>
    <w:p w:rsidR="00754BA7" w:rsidRDefault="00754BA7">
      <w:pPr>
        <w:spacing w:line="276" w:lineRule="auto"/>
        <w:jc w:val="both"/>
      </w:pPr>
    </w:p>
    <w:p w:rsidR="00754BA7" w:rsidRDefault="003E3BF9">
      <w:pPr>
        <w:pStyle w:val="ListParagraph"/>
        <w:numPr>
          <w:ilvl w:val="0"/>
          <w:numId w:val="2"/>
        </w:numPr>
        <w:spacing w:before="60" w:after="60" w:line="276" w:lineRule="auto"/>
      </w:pPr>
      <w:r>
        <w:rPr>
          <w:color w:val="000000"/>
        </w:rPr>
        <w:t>Table 1-1 — Technology Stack Summary</w:t>
      </w:r>
    </w:p>
    <w:p w:rsidR="00754BA7" w:rsidRDefault="003E3BF9">
      <w:pPr>
        <w:pStyle w:val="ListParagraph"/>
        <w:numPr>
          <w:ilvl w:val="0"/>
          <w:numId w:val="2"/>
        </w:numPr>
        <w:spacing w:before="60" w:after="60" w:line="276" w:lineRule="auto"/>
      </w:pPr>
      <w:r>
        <w:rPr>
          <w:color w:val="000000"/>
        </w:rPr>
        <w:t>Table 2-1 — AI Audit Engine Test Results — Sample Organization</w:t>
      </w:r>
    </w:p>
    <w:p w:rsidR="00754BA7" w:rsidRDefault="003E3BF9">
      <w:pPr>
        <w:pStyle w:val="ListParagraph"/>
        <w:numPr>
          <w:ilvl w:val="0"/>
          <w:numId w:val="2"/>
        </w:numPr>
        <w:spacing w:before="60" w:after="60" w:line="276" w:lineRule="auto"/>
      </w:pPr>
      <w:r>
        <w:rPr>
          <w:color w:val="000000"/>
        </w:rPr>
        <w:t>Table 2-2 — Policy Analyzer Coverage Scores</w:t>
      </w:r>
    </w:p>
    <w:p w:rsidR="00754BA7" w:rsidRDefault="003E3BF9">
      <w:pPr>
        <w:pStyle w:val="ListParagraph"/>
        <w:numPr>
          <w:ilvl w:val="0"/>
          <w:numId w:val="2"/>
        </w:numPr>
        <w:spacing w:before="60" w:after="60" w:line="276" w:lineRule="auto"/>
      </w:pPr>
      <w:r>
        <w:rPr>
          <w:color w:val="000000"/>
        </w:rPr>
        <w:t>Table 2-3 — GDPR vs DPDP Act Key Requirement Mapping</w:t>
      </w:r>
    </w:p>
    <w:p w:rsidR="00754BA7" w:rsidRDefault="003E3BF9">
      <w:pPr>
        <w:pStyle w:val="ListParagraph"/>
        <w:numPr>
          <w:ilvl w:val="0"/>
          <w:numId w:val="2"/>
        </w:numPr>
        <w:spacing w:before="60" w:after="60" w:line="276" w:lineRule="auto"/>
      </w:pPr>
      <w:r>
        <w:rPr>
          <w:color w:val="000000"/>
        </w:rPr>
        <w:t>Table 2-4 — AI Audit vs Manual Audit Comparison</w:t>
      </w:r>
    </w:p>
    <w:p w:rsidR="00754BA7" w:rsidRDefault="003E3BF9">
      <w:r>
        <w:br w:type="page"/>
      </w:r>
    </w:p>
    <w:p w:rsidR="00754BA7" w:rsidRDefault="003E3BF9">
      <w:pPr>
        <w:pStyle w:val="Heading1"/>
      </w:pPr>
      <w:r>
        <w:lastRenderedPageBreak/>
        <w:t>Chapter 1 — Introduction</w:t>
      </w:r>
    </w:p>
    <w:p w:rsidR="00754BA7" w:rsidRDefault="00754BA7">
      <w:pPr>
        <w:pBdr>
          <w:bottom w:val="single" w:sz="6" w:space="1" w:color="2E74B5"/>
        </w:pBdr>
        <w:spacing w:before="80" w:after="80"/>
      </w:pPr>
    </w:p>
    <w:p w:rsidR="00754BA7" w:rsidRDefault="00754BA7">
      <w:pPr>
        <w:spacing w:line="276" w:lineRule="auto"/>
        <w:jc w:val="both"/>
      </w:pPr>
    </w:p>
    <w:p w:rsidR="00754BA7" w:rsidRDefault="003E3BF9">
      <w:pPr>
        <w:spacing w:before="80" w:after="80" w:line="276" w:lineRule="auto"/>
        <w:jc w:val="both"/>
      </w:pPr>
      <w:r>
        <w:rPr>
          <w:color w:val="000000"/>
        </w:rPr>
        <w:t>Data privacy regulation has become one of the most critical compliance challenges facing organizations globally. The European Union's General Data Protection Regulation (GDPR), in force since 2018, and India's Digital Personal Data Protection (DPDP) Act 2023 represent two of the world's most significant data protection frameworks. Organizations operating across these jurisdictions must navigate complex, overlapping, and rapidly evolving requirements — a task that traditionally demands expensive legal counsel and manual audit processes.</w:t>
      </w:r>
    </w:p>
    <w:p w:rsidR="00754BA7" w:rsidRDefault="00754BA7">
      <w:pPr>
        <w:spacing w:line="276" w:lineRule="auto"/>
        <w:jc w:val="both"/>
      </w:pPr>
    </w:p>
    <w:p w:rsidR="00754BA7" w:rsidRDefault="003E3BF9">
      <w:pPr>
        <w:spacing w:before="80" w:after="80" w:line="276" w:lineRule="auto"/>
        <w:jc w:val="both"/>
      </w:pPr>
      <w:r>
        <w:rPr>
          <w:color w:val="000000"/>
        </w:rPr>
        <w:t>This project presents an AI-Powered Privacy Compliance Audit System that automates the compliance assessment process using large language model (LLM) technology. The system is capable of analyzing organizational context, reviewing privacy policies, mapping regulatory requirements, and generating actionable remediation roadmaps — tasks that previously required significant human expertise and time.</w:t>
      </w:r>
    </w:p>
    <w:p w:rsidR="00754BA7" w:rsidRDefault="003E3BF9">
      <w:pPr>
        <w:pStyle w:val="Heading2"/>
        <w:spacing w:before="240" w:after="120"/>
      </w:pPr>
      <w:r>
        <w:t>1.1 Background</w:t>
      </w:r>
    </w:p>
    <w:p w:rsidR="00754BA7" w:rsidRDefault="003E3BF9">
      <w:pPr>
        <w:spacing w:before="80" w:after="80" w:line="276" w:lineRule="auto"/>
        <w:jc w:val="both"/>
      </w:pPr>
      <w:r>
        <w:rPr>
          <w:color w:val="000000"/>
        </w:rPr>
        <w:t>Privacy regulation has undergone a global transformation over the past decade. The GDPR, enacted by the European Parliament in 2016 and effective from May 2018, established a comprehensive framework for personal data protection covering all organizations that process data of EU residents. Penalties of up to €20 million or 4% of global annual turnover have made compliance a strategic business imperative.</w:t>
      </w:r>
    </w:p>
    <w:p w:rsidR="00754BA7" w:rsidRDefault="00754BA7">
      <w:pPr>
        <w:spacing w:line="276" w:lineRule="auto"/>
        <w:jc w:val="both"/>
      </w:pPr>
    </w:p>
    <w:p w:rsidR="00754BA7" w:rsidRDefault="003E3BF9">
      <w:pPr>
        <w:spacing w:before="80" w:after="80" w:line="276" w:lineRule="auto"/>
        <w:jc w:val="both"/>
      </w:pPr>
      <w:r>
        <w:rPr>
          <w:color w:val="000000"/>
        </w:rPr>
        <w:t>India's DPDP Act 2023 represents a landmark development in the South Asian regulatory landscape. Passed by the Indian Parliament in August 2023, the Act establishes rights for data principals (individuals), obligations for data fiduciaries (organizations), and a framework for enforcement through the Data Protection Board of India. With penalties up to ₹250 crore per breach, it creates significant compliance obligations for both Indian companies and foreign entities processing Indian citizens' data.</w:t>
      </w:r>
    </w:p>
    <w:p w:rsidR="00754BA7" w:rsidRDefault="00754BA7">
      <w:pPr>
        <w:spacing w:line="276" w:lineRule="auto"/>
        <w:jc w:val="both"/>
      </w:pPr>
    </w:p>
    <w:p w:rsidR="00754BA7" w:rsidRDefault="003E3BF9">
      <w:pPr>
        <w:spacing w:before="80" w:after="80" w:line="276" w:lineRule="auto"/>
        <w:jc w:val="both"/>
      </w:pPr>
      <w:r>
        <w:rPr>
          <w:color w:val="000000"/>
        </w:rPr>
        <w:t>Traditional compliance approaches rely heavily on manual legal reviews, consultant engagements, and periodic point-in-time audits. These methods are time-consuming, expensive, and unable to keep pace with the frequency of regulatory updates. The emergence of capable large language models creates an opportunity to automate and democratize compliance assessment, making it accessible to organizations of all sizes.</w:t>
      </w:r>
    </w:p>
    <w:p w:rsidR="00754BA7" w:rsidRDefault="003E3BF9">
      <w:pPr>
        <w:pStyle w:val="Heading2"/>
        <w:spacing w:before="240" w:after="120"/>
      </w:pPr>
      <w:r>
        <w:t>1.2 Problem Statement</w:t>
      </w:r>
    </w:p>
    <w:p w:rsidR="00754BA7" w:rsidRDefault="003E3BF9">
      <w:pPr>
        <w:spacing w:before="80" w:after="80" w:line="276" w:lineRule="auto"/>
        <w:jc w:val="both"/>
      </w:pPr>
      <w:r>
        <w:rPr>
          <w:color w:val="000000"/>
        </w:rPr>
        <w:lastRenderedPageBreak/>
        <w:t>Organizations subject to GDPR and/or the DPDP Act face significant challenges in maintaining compliance. Privacy policies are often written in vague, non-specific language that fails to meet regulatory requirements. Data processing activities lack proper legal bases documentation. Consent mechanisms are frequently implemented incorrectly. Data subject/principal rights processes are incomplete or not functioning. Third-party processor agreements are missing or inadequate.</w:t>
      </w:r>
    </w:p>
    <w:p w:rsidR="00754BA7" w:rsidRDefault="00754BA7">
      <w:pPr>
        <w:spacing w:line="276" w:lineRule="auto"/>
        <w:jc w:val="both"/>
      </w:pPr>
    </w:p>
    <w:p w:rsidR="00754BA7" w:rsidRDefault="003E3BF9">
      <w:pPr>
        <w:spacing w:before="80" w:after="80" w:line="276" w:lineRule="auto"/>
        <w:jc w:val="both"/>
      </w:pPr>
      <w:r>
        <w:rPr>
          <w:color w:val="000000"/>
        </w:rPr>
        <w:t>These compliance gaps create substantial legal, financial, and reputational risk. However, the cost and complexity of expert legal compliance audits places thorough assessment out of reach for many organizations, particularly small and medium enterprises (SMEs). Furthermore, existing automated compliance tools are typically narrow in scope, jurisdiction-specific, and lack the contextual intelligence required to provide meaningful, actionable guidance.</w:t>
      </w:r>
    </w:p>
    <w:p w:rsidR="00754BA7" w:rsidRDefault="00754BA7">
      <w:pPr>
        <w:spacing w:line="276" w:lineRule="auto"/>
        <w:jc w:val="both"/>
      </w:pPr>
    </w:p>
    <w:p w:rsidR="00754BA7" w:rsidRDefault="003E3BF9">
      <w:pPr>
        <w:spacing w:before="80" w:after="80" w:line="276" w:lineRule="auto"/>
        <w:jc w:val="both"/>
      </w:pPr>
      <w:r>
        <w:rPr>
          <w:color w:val="000000"/>
        </w:rPr>
        <w:t>Therefore, the main problem addressed in this project is to develop an AI-powered privacy compliance audit system that can intelligently analyze organizational context and privacy documentation against both GDPR and India's DPDP Act 2023, producing actionable, regulation-cited compliance assessments that enable organizations to systematically remediate gaps and reduce regulatory risk.</w:t>
      </w:r>
    </w:p>
    <w:p w:rsidR="00754BA7" w:rsidRDefault="003E3BF9">
      <w:pPr>
        <w:pStyle w:val="Heading2"/>
        <w:spacing w:before="240" w:after="120"/>
      </w:pPr>
      <w:r>
        <w:t>1.3 Motivation</w:t>
      </w:r>
    </w:p>
    <w:p w:rsidR="00754BA7" w:rsidRDefault="003E3BF9">
      <w:pPr>
        <w:spacing w:before="80" w:after="80" w:line="276" w:lineRule="auto"/>
        <w:jc w:val="both"/>
      </w:pPr>
      <w:r>
        <w:rPr>
          <w:color w:val="000000"/>
        </w:rPr>
        <w:t>The motivation for this project stems from three converging trends. First, the increasing regulatory burden on organizations processing personal data creates urgent demand for efficient, accessible compliance tools. Second, advances in large language model capabilities have made AI systems capable of nuanced legal and regulatory analysis that was previously impossible to automate. Third, the dual-jurisdiction challenge facing Indian organizations with international operations, and foreign organizations with Indian users, creates a particular need for tools that can simultaneously address both frameworks.</w:t>
      </w:r>
    </w:p>
    <w:p w:rsidR="00754BA7" w:rsidRDefault="00754BA7">
      <w:pPr>
        <w:spacing w:line="276" w:lineRule="auto"/>
        <w:jc w:val="both"/>
      </w:pPr>
    </w:p>
    <w:p w:rsidR="00754BA7" w:rsidRDefault="003E3BF9">
      <w:pPr>
        <w:spacing w:before="80" w:after="80" w:line="276" w:lineRule="auto"/>
        <w:jc w:val="both"/>
      </w:pPr>
      <w:r>
        <w:rPr>
          <w:color w:val="000000"/>
        </w:rPr>
        <w:t>By building a system that leverages LLM intelligence while providing structured, traceable compliance outputs, this project aims to make high-quality privacy compliance assessment accessible to a broader range of organizations, ultimately contributing to better data protection outcomes for individuals.</w:t>
      </w:r>
    </w:p>
    <w:p w:rsidR="00754BA7" w:rsidRDefault="003E3BF9">
      <w:pPr>
        <w:pStyle w:val="Heading2"/>
        <w:spacing w:before="240" w:after="120"/>
      </w:pPr>
      <w:r>
        <w:t>1.4 Objectives</w:t>
      </w:r>
    </w:p>
    <w:p w:rsidR="00754BA7" w:rsidRDefault="003E3BF9">
      <w:pPr>
        <w:pStyle w:val="ListParagraph"/>
        <w:numPr>
          <w:ilvl w:val="0"/>
          <w:numId w:val="2"/>
        </w:numPr>
        <w:spacing w:before="60" w:after="60" w:line="276" w:lineRule="auto"/>
      </w:pPr>
      <w:r>
        <w:rPr>
          <w:color w:val="000000"/>
        </w:rPr>
        <w:t>To develop an AI-powered system for privacy compliance auditing against GDPR and India's DPDP Act 2023.</w:t>
      </w:r>
    </w:p>
    <w:p w:rsidR="00754BA7" w:rsidRDefault="003E3BF9">
      <w:pPr>
        <w:pStyle w:val="ListParagraph"/>
        <w:numPr>
          <w:ilvl w:val="0"/>
          <w:numId w:val="2"/>
        </w:numPr>
        <w:spacing w:before="60" w:after="60" w:line="276" w:lineRule="auto"/>
      </w:pPr>
      <w:r>
        <w:rPr>
          <w:color w:val="000000"/>
        </w:rPr>
        <w:t>To design an AI Audit Engine that accepts organizational context and generates structured compliance reports using LLM technology.</w:t>
      </w:r>
    </w:p>
    <w:p w:rsidR="00754BA7" w:rsidRDefault="003E3BF9">
      <w:pPr>
        <w:pStyle w:val="ListParagraph"/>
        <w:numPr>
          <w:ilvl w:val="0"/>
          <w:numId w:val="2"/>
        </w:numPr>
        <w:spacing w:before="60" w:after="60" w:line="276" w:lineRule="auto"/>
      </w:pPr>
      <w:r>
        <w:rPr>
          <w:color w:val="000000"/>
        </w:rPr>
        <w:lastRenderedPageBreak/>
        <w:t>To implement a Policy Analyzer module that identifies gaps, vague language, and missing elements in privacy policies.</w:t>
      </w:r>
    </w:p>
    <w:p w:rsidR="00754BA7" w:rsidRDefault="003E3BF9">
      <w:pPr>
        <w:pStyle w:val="ListParagraph"/>
        <w:numPr>
          <w:ilvl w:val="0"/>
          <w:numId w:val="2"/>
        </w:numPr>
        <w:spacing w:before="60" w:after="60" w:line="276" w:lineRule="auto"/>
      </w:pPr>
      <w:r>
        <w:rPr>
          <w:color w:val="000000"/>
        </w:rPr>
        <w:t>To create a Compliance Map presenting a comprehensive side-by-side comparison of GDPR and DPDP Act requirements.</w:t>
      </w:r>
    </w:p>
    <w:p w:rsidR="00754BA7" w:rsidRDefault="003E3BF9">
      <w:pPr>
        <w:pStyle w:val="ListParagraph"/>
        <w:numPr>
          <w:ilvl w:val="0"/>
          <w:numId w:val="2"/>
        </w:numPr>
        <w:spacing w:before="60" w:after="60" w:line="276" w:lineRule="auto"/>
      </w:pPr>
      <w:r>
        <w:rPr>
          <w:color w:val="000000"/>
        </w:rPr>
        <w:t>To build an AI-powered Compliance Chatbot providing real-time regulatory guidance.</w:t>
      </w:r>
    </w:p>
    <w:p w:rsidR="00754BA7" w:rsidRDefault="003E3BF9">
      <w:pPr>
        <w:pStyle w:val="ListParagraph"/>
        <w:numPr>
          <w:ilvl w:val="0"/>
          <w:numId w:val="2"/>
        </w:numPr>
        <w:spacing w:before="60" w:after="60" w:line="276" w:lineRule="auto"/>
      </w:pPr>
      <w:r>
        <w:rPr>
          <w:color w:val="000000"/>
        </w:rPr>
        <w:t>To produce actionable remediation roadmaps with regulation citations, severity ratings, and timeline estimates.</w:t>
      </w:r>
    </w:p>
    <w:p w:rsidR="00754BA7" w:rsidRDefault="003E3BF9">
      <w:pPr>
        <w:pStyle w:val="ListParagraph"/>
        <w:numPr>
          <w:ilvl w:val="0"/>
          <w:numId w:val="2"/>
        </w:numPr>
        <w:spacing w:before="60" w:after="60" w:line="276" w:lineRule="auto"/>
      </w:pPr>
      <w:r>
        <w:rPr>
          <w:color w:val="000000"/>
        </w:rPr>
        <w:t>To evaluate the system against sample organizational contexts and measure compliance detection accuracy.</w:t>
      </w:r>
    </w:p>
    <w:p w:rsidR="00754BA7" w:rsidRDefault="003E3BF9">
      <w:pPr>
        <w:pStyle w:val="ListParagraph"/>
        <w:numPr>
          <w:ilvl w:val="0"/>
          <w:numId w:val="2"/>
        </w:numPr>
        <w:spacing w:before="60" w:after="60" w:line="276" w:lineRule="auto"/>
      </w:pPr>
      <w:r>
        <w:rPr>
          <w:color w:val="000000"/>
        </w:rPr>
        <w:t>To design a scalable, modular full-stack architecture supporting future extension to additional regulatory frameworks.</w:t>
      </w:r>
    </w:p>
    <w:p w:rsidR="00754BA7" w:rsidRDefault="003E3BF9">
      <w:pPr>
        <w:pStyle w:val="Heading2"/>
        <w:spacing w:before="240" w:after="120"/>
      </w:pPr>
      <w:r>
        <w:t>1.5 Scope of the Project</w:t>
      </w:r>
    </w:p>
    <w:p w:rsidR="00754BA7" w:rsidRDefault="003E3BF9">
      <w:pPr>
        <w:spacing w:before="80" w:after="80" w:line="276" w:lineRule="auto"/>
        <w:jc w:val="both"/>
      </w:pPr>
      <w:r>
        <w:rPr>
          <w:color w:val="000000"/>
        </w:rPr>
        <w:t>This project focuses on compliance assessment for two primary regulatory frameworks: the EU General Data Protection Regulation (GDPR) and India's Digital Personal Data Protection Act 2023. The system encompasses four core modules: the AI Audit Engine, Policy Analyzer, Compliance Map, and Reports &amp; AI Assistant.</w:t>
      </w:r>
    </w:p>
    <w:p w:rsidR="00754BA7" w:rsidRDefault="00754BA7">
      <w:pPr>
        <w:spacing w:line="276" w:lineRule="auto"/>
        <w:jc w:val="both"/>
      </w:pPr>
    </w:p>
    <w:p w:rsidR="00754BA7" w:rsidRDefault="003E3BF9">
      <w:pPr>
        <w:spacing w:before="80" w:after="80" w:line="276" w:lineRule="auto"/>
        <w:jc w:val="both"/>
      </w:pPr>
      <w:r>
        <w:rPr>
          <w:color w:val="000000"/>
        </w:rPr>
        <w:t>The scope includes analysis of organizational data processing practices, privacy policy documentation review, regulatory requirement mapping, violation identification with severity classification, remediation roadmap generation, and AI-assisted compliance guidance. The system is designed for organizations of various sizes operating under one or both regulatory frameworks.</w:t>
      </w:r>
    </w:p>
    <w:p w:rsidR="00754BA7" w:rsidRDefault="00754BA7">
      <w:pPr>
        <w:spacing w:line="276" w:lineRule="auto"/>
        <w:jc w:val="both"/>
      </w:pPr>
    </w:p>
    <w:p w:rsidR="00754BA7" w:rsidRDefault="003E3BF9">
      <w:pPr>
        <w:spacing w:before="80" w:after="80" w:line="276" w:lineRule="auto"/>
        <w:jc w:val="both"/>
      </w:pPr>
      <w:r>
        <w:rPr>
          <w:color w:val="000000"/>
        </w:rPr>
        <w:t>The scope is limited to text-based compliance assessment and does not include automated technical security scanning, real-time data flow monitoring, or enforcement action prediction. The system serves as a decision-support tool and does not constitute legal advice.</w:t>
      </w:r>
    </w:p>
    <w:p w:rsidR="00754BA7" w:rsidRDefault="003E3BF9">
      <w:pPr>
        <w:pStyle w:val="Heading2"/>
        <w:spacing w:before="240" w:after="120"/>
      </w:pPr>
      <w:r>
        <w:t>1.6 Organization of the Report</w:t>
      </w:r>
    </w:p>
    <w:p w:rsidR="00754BA7" w:rsidRDefault="003E3BF9">
      <w:pPr>
        <w:pStyle w:val="ListParagraph"/>
        <w:numPr>
          <w:ilvl w:val="0"/>
          <w:numId w:val="2"/>
        </w:numPr>
        <w:spacing w:before="60" w:after="60" w:line="276" w:lineRule="auto"/>
      </w:pPr>
      <w:r>
        <w:rPr>
          <w:color w:val="000000"/>
        </w:rPr>
        <w:t>Chapter 1: Introduction – Covers background, problem statement, motivation, objectives, and scope of the project.</w:t>
      </w:r>
    </w:p>
    <w:p w:rsidR="00754BA7" w:rsidRDefault="003E3BF9">
      <w:pPr>
        <w:pStyle w:val="ListParagraph"/>
        <w:numPr>
          <w:ilvl w:val="0"/>
          <w:numId w:val="2"/>
        </w:numPr>
        <w:spacing w:before="60" w:after="60" w:line="276" w:lineRule="auto"/>
      </w:pPr>
      <w:r>
        <w:rPr>
          <w:color w:val="000000"/>
        </w:rPr>
        <w:t>Chapter 2: Literature Review – Discusses existing research and approaches related to privacy compliance, regulatory AI, and NLP for legal analysis.</w:t>
      </w:r>
    </w:p>
    <w:p w:rsidR="00754BA7" w:rsidRDefault="003E3BF9">
      <w:pPr>
        <w:pStyle w:val="ListParagraph"/>
        <w:numPr>
          <w:ilvl w:val="0"/>
          <w:numId w:val="2"/>
        </w:numPr>
        <w:spacing w:before="60" w:after="60" w:line="276" w:lineRule="auto"/>
      </w:pPr>
      <w:r>
        <w:rPr>
          <w:color w:val="000000"/>
        </w:rPr>
        <w:t>Chapter 3: Methodology – Explains system architecture, technology stack, module design, AI integration, and evaluation approach.</w:t>
      </w:r>
    </w:p>
    <w:p w:rsidR="00754BA7" w:rsidRDefault="003E3BF9">
      <w:pPr>
        <w:pStyle w:val="ListParagraph"/>
        <w:numPr>
          <w:ilvl w:val="0"/>
          <w:numId w:val="2"/>
        </w:numPr>
        <w:spacing w:before="60" w:after="60" w:line="276" w:lineRule="auto"/>
      </w:pPr>
      <w:r>
        <w:rPr>
          <w:color w:val="000000"/>
        </w:rPr>
        <w:t>Chapter 4: Results and Discussion – Presents experimental results, compliance assessment samples, and comparative analysis.</w:t>
      </w:r>
    </w:p>
    <w:p w:rsidR="00754BA7" w:rsidRDefault="003E3BF9">
      <w:pPr>
        <w:pStyle w:val="ListParagraph"/>
        <w:numPr>
          <w:ilvl w:val="0"/>
          <w:numId w:val="2"/>
        </w:numPr>
        <w:spacing w:before="60" w:after="60" w:line="276" w:lineRule="auto"/>
      </w:pPr>
      <w:r>
        <w:rPr>
          <w:color w:val="000000"/>
        </w:rPr>
        <w:lastRenderedPageBreak/>
        <w:t>Chapter 5: Conclusion and Future Work – Summarizes findings, discusses limitations, and suggests future improvements.</w:t>
      </w:r>
    </w:p>
    <w:p w:rsidR="00754BA7" w:rsidRDefault="003E3BF9">
      <w:r>
        <w:br w:type="page"/>
      </w:r>
    </w:p>
    <w:p w:rsidR="00754BA7" w:rsidRDefault="003E3BF9">
      <w:pPr>
        <w:pStyle w:val="Heading1"/>
      </w:pPr>
      <w:r>
        <w:lastRenderedPageBreak/>
        <w:t>Chapter 2 — Literature Review</w:t>
      </w:r>
    </w:p>
    <w:p w:rsidR="00754BA7" w:rsidRDefault="00754BA7">
      <w:pPr>
        <w:pBdr>
          <w:bottom w:val="single" w:sz="6" w:space="1" w:color="2E74B5"/>
        </w:pBdr>
        <w:spacing w:before="80" w:after="80"/>
      </w:pPr>
    </w:p>
    <w:p w:rsidR="00754BA7" w:rsidRDefault="00754BA7">
      <w:pPr>
        <w:spacing w:line="276" w:lineRule="auto"/>
        <w:jc w:val="both"/>
      </w:pPr>
    </w:p>
    <w:p w:rsidR="00754BA7" w:rsidRDefault="003E3BF9">
      <w:pPr>
        <w:pStyle w:val="ListParagraph"/>
        <w:numPr>
          <w:ilvl w:val="0"/>
          <w:numId w:val="3"/>
        </w:numPr>
        <w:spacing w:before="60" w:after="60" w:line="276" w:lineRule="auto"/>
      </w:pPr>
      <w:r>
        <w:rPr>
          <w:color w:val="000000"/>
        </w:rPr>
        <w:t>Privacy compliance automation has evolved from rule-based checklist systems to AI-assisted analysis platforms, improving both the depth and efficiency of regulatory assessment [1][2].</w:t>
      </w:r>
    </w:p>
    <w:p w:rsidR="00754BA7" w:rsidRDefault="003E3BF9">
      <w:pPr>
        <w:pStyle w:val="ListParagraph"/>
        <w:numPr>
          <w:ilvl w:val="0"/>
          <w:numId w:val="3"/>
        </w:numPr>
        <w:spacing w:before="60" w:after="60" w:line="276" w:lineRule="auto"/>
      </w:pPr>
      <w:r>
        <w:rPr>
          <w:color w:val="000000"/>
        </w:rPr>
        <w:t>Existing compliance management software typically addresses single jurisdictions and relies on static rule sets that require manual updating as regulations evolve [3].</w:t>
      </w:r>
    </w:p>
    <w:p w:rsidR="00754BA7" w:rsidRDefault="003E3BF9">
      <w:pPr>
        <w:pStyle w:val="ListParagraph"/>
        <w:numPr>
          <w:ilvl w:val="0"/>
          <w:numId w:val="3"/>
        </w:numPr>
        <w:spacing w:before="60" w:after="60" w:line="276" w:lineRule="auto"/>
      </w:pPr>
      <w:r>
        <w:rPr>
          <w:color w:val="000000"/>
        </w:rPr>
        <w:t>Large language models have demonstrated capability in legal text analysis, contract review, and regulatory compliance tasks, opening new possibilities for automated audit systems [4][5].</w:t>
      </w:r>
    </w:p>
    <w:p w:rsidR="00754BA7" w:rsidRDefault="003E3BF9">
      <w:pPr>
        <w:pStyle w:val="ListParagraph"/>
        <w:numPr>
          <w:ilvl w:val="0"/>
          <w:numId w:val="3"/>
        </w:numPr>
        <w:spacing w:before="60" w:after="60" w:line="276" w:lineRule="auto"/>
      </w:pPr>
      <w:r>
        <w:rPr>
          <w:color w:val="000000"/>
        </w:rPr>
        <w:t>Research on GDPR compliance specifically has explored automated privacy policy analysis, consent mechanism evaluation, and data flow mapping [2][3].</w:t>
      </w:r>
    </w:p>
    <w:p w:rsidR="00754BA7" w:rsidRDefault="003E3BF9">
      <w:pPr>
        <w:pStyle w:val="ListParagraph"/>
        <w:numPr>
          <w:ilvl w:val="0"/>
          <w:numId w:val="3"/>
        </w:numPr>
        <w:spacing w:before="60" w:after="60" w:line="276" w:lineRule="auto"/>
      </w:pPr>
      <w:r>
        <w:rPr>
          <w:color w:val="000000"/>
        </w:rPr>
        <w:t>India's DPDP Act 2023 is comparatively recent, with limited published research on automated compliance tools, presenting a significant research and development opportunity [1].</w:t>
      </w:r>
    </w:p>
    <w:p w:rsidR="00754BA7" w:rsidRDefault="003E3BF9">
      <w:pPr>
        <w:pStyle w:val="ListParagraph"/>
        <w:numPr>
          <w:ilvl w:val="0"/>
          <w:numId w:val="3"/>
        </w:numPr>
        <w:spacing w:before="60" w:after="60" w:line="276" w:lineRule="auto"/>
      </w:pPr>
      <w:r>
        <w:rPr>
          <w:color w:val="000000"/>
        </w:rPr>
        <w:t>Hybrid approaches combining structured regulatory knowledge with generative AI reasoning have shown the most promise for nuanced compliance analysis [4][6].</w:t>
      </w:r>
    </w:p>
    <w:p w:rsidR="00754BA7" w:rsidRDefault="003E3BF9">
      <w:pPr>
        <w:pStyle w:val="Heading2"/>
        <w:spacing w:before="240" w:after="120"/>
      </w:pPr>
      <w:r>
        <w:t>2.1 Privacy Compliance Challenges</w:t>
      </w:r>
    </w:p>
    <w:p w:rsidR="00754BA7" w:rsidRDefault="003E3BF9">
      <w:pPr>
        <w:spacing w:before="80" w:after="80" w:line="276" w:lineRule="auto"/>
        <w:jc w:val="both"/>
      </w:pPr>
      <w:r>
        <w:rPr>
          <w:color w:val="000000"/>
        </w:rPr>
        <w:t>Privacy compliance management presents unique challenges due to the complexity, ambiguity, and evolving nature of data protection regulations. Unlike technical standards with binary compliance criteria, privacy regulations involve interpretive legal analysis, contextual judgment, and assessment of organizational practices against principles-based requirements.</w:t>
      </w:r>
    </w:p>
    <w:p w:rsidR="00754BA7" w:rsidRDefault="00754BA7">
      <w:pPr>
        <w:spacing w:line="276" w:lineRule="auto"/>
        <w:jc w:val="both"/>
      </w:pPr>
    </w:p>
    <w:p w:rsidR="00754BA7" w:rsidRDefault="003E3BF9">
      <w:pPr>
        <w:spacing w:before="80" w:after="80" w:line="276" w:lineRule="auto"/>
        <w:jc w:val="both"/>
      </w:pPr>
      <w:r>
        <w:rPr>
          <w:color w:val="000000"/>
        </w:rPr>
        <w:t>Research by Sanfilippo et al. [2] identifies that most organizations' privacy policies fail to meet basic GDPR transparency requirements, with common failures including missing retention periods, absent legal bases, and inadequate rights information. Linden et al. [3] found that even post-GDPR, the majority of analyzed websites contained privacy policy violations, suggesting that compliance remains a widespread challenge requiring better tooling.</w:t>
      </w:r>
    </w:p>
    <w:p w:rsidR="00754BA7" w:rsidRDefault="003E3BF9">
      <w:pPr>
        <w:pStyle w:val="Heading2"/>
        <w:spacing w:before="240" w:after="120"/>
      </w:pPr>
      <w:r>
        <w:t>2.2 GDPR &amp; DPDP Act Overview</w:t>
      </w:r>
    </w:p>
    <w:p w:rsidR="00754BA7" w:rsidRDefault="003E3BF9">
      <w:pPr>
        <w:spacing w:before="80" w:after="80" w:line="276" w:lineRule="auto"/>
        <w:jc w:val="both"/>
      </w:pPr>
      <w:r>
        <w:rPr>
          <w:color w:val="000000"/>
        </w:rPr>
        <w:t>The GDPR establishes comprehensive data protection requirements built on seven fundamental principles: lawfulness, fairness and transparency; purpose limitation; data minimisation; accuracy; storage limitation; integrity and confidentiality; and accountability (Article 5). It grants data subjects rights including access (Article 15), rectification (Article 16), erasure (Article 17), data portability (Article 20), and the right to object (Article 21).</w:t>
      </w:r>
    </w:p>
    <w:p w:rsidR="00754BA7" w:rsidRDefault="00754BA7">
      <w:pPr>
        <w:spacing w:line="276" w:lineRule="auto"/>
        <w:jc w:val="both"/>
      </w:pPr>
    </w:p>
    <w:p w:rsidR="00754BA7" w:rsidRDefault="003E3BF9">
      <w:pPr>
        <w:spacing w:before="80" w:after="80" w:line="276" w:lineRule="auto"/>
        <w:jc w:val="both"/>
      </w:pPr>
      <w:r>
        <w:rPr>
          <w:color w:val="000000"/>
        </w:rPr>
        <w:lastRenderedPageBreak/>
        <w:t>India's DPDP Act 2023 shares many conceptual foundations with the GDPR while reflecting India's specific regulatory philosophy. It establishes consent as the primary lawful basis for processing (Section 6), provides data principals rights including access (Section 11), correction and erasure (Section 12), and grievance redressal (Section 13). Notably, the Act introduces the concept of 'Significant Data Fiduciaries' (Section 10) subject to enhanced obligations including mandatory Data Protection Impact Assessments and data audits.</w:t>
      </w:r>
    </w:p>
    <w:p w:rsidR="00754BA7" w:rsidRDefault="00754BA7">
      <w:pPr>
        <w:spacing w:line="276" w:lineRule="auto"/>
        <w:jc w:val="both"/>
      </w:pPr>
    </w:p>
    <w:p w:rsidR="00754BA7" w:rsidRDefault="003E3BF9">
      <w:pPr>
        <w:spacing w:before="80" w:after="80" w:line="276" w:lineRule="auto"/>
        <w:jc w:val="both"/>
      </w:pPr>
      <w:r>
        <w:rPr>
          <w:color w:val="000000"/>
        </w:rPr>
        <w:t>A key structural difference is that while GDPR defines multiple lawful bases for processing (Article 6), the DPDP Act primarily relies on consent supplemented by a limited set of 'legitimate uses' for specified public interest purposes. This difference has significant implications for compliance strategies across jurisdictions.</w:t>
      </w:r>
    </w:p>
    <w:p w:rsidR="00754BA7" w:rsidRDefault="003E3BF9">
      <w:pPr>
        <w:pStyle w:val="Heading2"/>
        <w:spacing w:before="240" w:after="120"/>
      </w:pPr>
      <w:r>
        <w:t>2.3 AI in Legal and Compliance Systems</w:t>
      </w:r>
    </w:p>
    <w:p w:rsidR="00754BA7" w:rsidRDefault="003E3BF9">
      <w:pPr>
        <w:spacing w:before="80" w:after="80" w:line="276" w:lineRule="auto"/>
        <w:jc w:val="both"/>
      </w:pPr>
      <w:r>
        <w:rPr>
          <w:color w:val="000000"/>
        </w:rPr>
        <w:t>The application of artificial intelligence to legal and compliance domains has grown significantly with advances in natural language processing. Early systems relied on keyword matching and rule-based classification. More recent approaches leverage transformer-based language models capable of contextual understanding and generative analysis.</w:t>
      </w:r>
    </w:p>
    <w:p w:rsidR="00754BA7" w:rsidRDefault="00754BA7">
      <w:pPr>
        <w:spacing w:line="276" w:lineRule="auto"/>
        <w:jc w:val="both"/>
      </w:pPr>
    </w:p>
    <w:p w:rsidR="00754BA7" w:rsidRDefault="003E3BF9">
      <w:pPr>
        <w:spacing w:before="80" w:after="80" w:line="276" w:lineRule="auto"/>
        <w:jc w:val="both"/>
      </w:pPr>
      <w:r>
        <w:rPr>
          <w:color w:val="000000"/>
        </w:rPr>
        <w:t>Bommarito and Katz [4] demonstrated that large language models could perform comparative legal analysis at expert level in some domains. Their work established the feasibility of LLM-based legal reasoning tools, though they noted limitations around hallucination and the need for structured output formatting for reliable use in compliance contexts.</w:t>
      </w:r>
    </w:p>
    <w:p w:rsidR="00754BA7" w:rsidRDefault="00754BA7">
      <w:pPr>
        <w:spacing w:line="276" w:lineRule="auto"/>
        <w:jc w:val="both"/>
      </w:pPr>
    </w:p>
    <w:p w:rsidR="00754BA7" w:rsidRDefault="003E3BF9">
      <w:pPr>
        <w:spacing w:before="80" w:after="80" w:line="276" w:lineRule="auto"/>
        <w:jc w:val="both"/>
      </w:pPr>
      <w:r>
        <w:rPr>
          <w:color w:val="000000"/>
        </w:rPr>
        <w:t>Commercial privacy compliance tools such as OneTrust and TrustArc provide workflow management and template-based assessments, but rely primarily on manual input and structured questionnaires rather than AI-driven analysis of organizational context. This represents a significant gap that LLM-based systems can address.</w:t>
      </w:r>
    </w:p>
    <w:p w:rsidR="00754BA7" w:rsidRDefault="003E3BF9">
      <w:pPr>
        <w:pStyle w:val="Heading2"/>
        <w:spacing w:before="240" w:after="120"/>
      </w:pPr>
      <w:r>
        <w:t>2.4 NLP for Regulatory Text Analysis</w:t>
      </w:r>
    </w:p>
    <w:p w:rsidR="00754BA7" w:rsidRDefault="003E3BF9">
      <w:pPr>
        <w:spacing w:before="80" w:after="80" w:line="276" w:lineRule="auto"/>
        <w:jc w:val="both"/>
      </w:pPr>
      <w:r>
        <w:rPr>
          <w:color w:val="000000"/>
        </w:rPr>
        <w:t>Natural language processing techniques have been applied to privacy policy analysis to identify compliance gaps automatically. Ramanath et al. [5] developed a system for classifying privacy policy sections using supervised learning, achieving high accuracy in identifying policy types but limited ability to assess compliance quality.</w:t>
      </w:r>
    </w:p>
    <w:p w:rsidR="00754BA7" w:rsidRDefault="00754BA7">
      <w:pPr>
        <w:spacing w:line="276" w:lineRule="auto"/>
        <w:jc w:val="both"/>
      </w:pPr>
    </w:p>
    <w:p w:rsidR="00754BA7" w:rsidRDefault="003E3BF9">
      <w:pPr>
        <w:spacing w:before="80" w:after="80" w:line="276" w:lineRule="auto"/>
        <w:jc w:val="both"/>
      </w:pPr>
      <w:r>
        <w:rPr>
          <w:color w:val="000000"/>
        </w:rPr>
        <w:t>More recent work using large language models has demonstrated the ability to not only classify policy content but to evaluate its completeness, identify vague language, and suggest improvements. The generative capability of modern LLMs enables production of specific rewrite suggestions — a capability absent from classification-only approaches.</w:t>
      </w:r>
    </w:p>
    <w:p w:rsidR="00754BA7" w:rsidRDefault="00754BA7">
      <w:pPr>
        <w:spacing w:line="276" w:lineRule="auto"/>
        <w:jc w:val="both"/>
      </w:pPr>
    </w:p>
    <w:p w:rsidR="00754BA7" w:rsidRDefault="003E3BF9">
      <w:pPr>
        <w:spacing w:before="80" w:after="80" w:line="276" w:lineRule="auto"/>
        <w:jc w:val="both"/>
      </w:pPr>
      <w:r>
        <w:rPr>
          <w:color w:val="000000"/>
        </w:rPr>
        <w:t>For regulatory mapping, graph-based approaches have been used to represent regulatory requirements and identify coverage gaps. When combined with LLM-based analysis, these approaches can provide both structured mapping and natural language explanation of gaps.</w:t>
      </w:r>
    </w:p>
    <w:p w:rsidR="00754BA7" w:rsidRDefault="003E3BF9">
      <w:pPr>
        <w:pStyle w:val="Heading2"/>
        <w:spacing w:before="240" w:after="120"/>
      </w:pPr>
      <w:r>
        <w:t>2.5 Summary of Existing Research</w:t>
      </w:r>
    </w:p>
    <w:p w:rsidR="00754BA7" w:rsidRDefault="003E3BF9">
      <w:pPr>
        <w:spacing w:before="80" w:after="80" w:line="276" w:lineRule="auto"/>
        <w:jc w:val="both"/>
      </w:pPr>
      <w:r>
        <w:rPr>
          <w:color w:val="000000"/>
        </w:rPr>
        <w:t>Existing research demonstrates both the feasibility and the demand for AI-powered privacy compliance tools. Key findings indicate that: (1) current organizational privacy practices frequently fall short of regulatory requirements; (2) LLMs are capable of meaningful legal and regulatory analysis; (3) existing commercial tools are insufficiently automated and typically jurisdiction-specific; and (4) dual-framework compliance tools for GDPR and DPDP Act are largely absent from the literature.</w:t>
      </w:r>
    </w:p>
    <w:p w:rsidR="00754BA7" w:rsidRDefault="00754BA7">
      <w:pPr>
        <w:spacing w:line="276" w:lineRule="auto"/>
        <w:jc w:val="both"/>
      </w:pPr>
    </w:p>
    <w:p w:rsidR="00754BA7" w:rsidRDefault="003E3BF9">
      <w:pPr>
        <w:spacing w:before="80" w:after="80" w:line="276" w:lineRule="auto"/>
        <w:jc w:val="both"/>
      </w:pPr>
      <w:r>
        <w:rPr>
          <w:color w:val="000000"/>
        </w:rPr>
        <w:t>This project builds on the existing body of work by implementing a practical, deployable system that combines structured regulatory knowledge with LLM-based contextual analysis, providing a comprehensive compliance assessment capability that addresses both the GDPR and India's DPDP Act 2023 within a unified platform.</w:t>
      </w:r>
    </w:p>
    <w:p w:rsidR="00754BA7" w:rsidRDefault="003E3BF9">
      <w:r>
        <w:br w:type="page"/>
      </w:r>
    </w:p>
    <w:p w:rsidR="00754BA7" w:rsidRDefault="003E3BF9">
      <w:pPr>
        <w:pStyle w:val="Heading1"/>
      </w:pPr>
      <w:r>
        <w:lastRenderedPageBreak/>
        <w:t>Chapter 3 — Methodology</w:t>
      </w:r>
    </w:p>
    <w:p w:rsidR="00754BA7" w:rsidRDefault="00754BA7">
      <w:pPr>
        <w:pBdr>
          <w:bottom w:val="single" w:sz="6" w:space="1" w:color="2E74B5"/>
        </w:pBdr>
        <w:spacing w:before="80" w:after="80"/>
      </w:pPr>
    </w:p>
    <w:p w:rsidR="00754BA7" w:rsidRDefault="00754BA7">
      <w:pPr>
        <w:spacing w:line="276" w:lineRule="auto"/>
        <w:jc w:val="both"/>
      </w:pPr>
    </w:p>
    <w:p w:rsidR="00754BA7" w:rsidRDefault="003E3BF9">
      <w:pPr>
        <w:spacing w:before="80" w:after="80" w:line="276" w:lineRule="auto"/>
        <w:jc w:val="both"/>
      </w:pPr>
      <w:r>
        <w:rPr>
          <w:color w:val="000000"/>
        </w:rPr>
        <w:t>This chapter describes the overall approach used for developing the AI-Powered Privacy Compliance Audit System. The methodology encompasses system design, technology selection, AI integration, module implementation, and evaluation approach. The system is designed as a full-stack web application with an AI-driven analysis core.</w:t>
      </w:r>
    </w:p>
    <w:p w:rsidR="00754BA7" w:rsidRDefault="00754BA7">
      <w:pPr>
        <w:spacing w:line="276" w:lineRule="auto"/>
        <w:jc w:val="both"/>
      </w:pPr>
    </w:p>
    <w:p w:rsidR="00754BA7" w:rsidRDefault="003E3BF9">
      <w:pPr>
        <w:spacing w:before="80" w:after="80" w:line="276" w:lineRule="auto"/>
        <w:jc w:val="both"/>
      </w:pPr>
      <w:r>
        <w:rPr>
          <w:color w:val="000000"/>
        </w:rPr>
        <w:t xml:space="preserve">The architecture follows a modular design where each compliance function is implemented as a discrete module. The AI audit core uses the </w:t>
      </w:r>
      <w:r w:rsidR="00622D04">
        <w:rPr>
          <w:color w:val="000000"/>
        </w:rPr>
        <w:t xml:space="preserve">Groq </w:t>
      </w:r>
      <w:r>
        <w:rPr>
          <w:color w:val="000000"/>
        </w:rPr>
        <w:t>API (</w:t>
      </w:r>
      <w:r w:rsidR="00622D04">
        <w:rPr>
          <w:color w:val="000000"/>
        </w:rPr>
        <w:t>Groq Llama 3.3 70B</w:t>
      </w:r>
      <w:r>
        <w:rPr>
          <w:color w:val="000000"/>
        </w:rPr>
        <w:t>) as the LLM engine, accessed via both server-side (Python FastAPI backend) and client-side (React frontend with direct API calls) integration patterns. This dual-access design ensures flexibility for both production deployment and demonstration scenarios.</w:t>
      </w:r>
    </w:p>
    <w:p w:rsidR="00754BA7" w:rsidRDefault="003E3BF9">
      <w:pPr>
        <w:pStyle w:val="Heading2"/>
        <w:spacing w:before="240" w:after="120"/>
      </w:pPr>
      <w:r>
        <w:t>3.1 System Architecture</w:t>
      </w:r>
    </w:p>
    <w:p w:rsidR="00754BA7" w:rsidRDefault="003E3BF9">
      <w:pPr>
        <w:spacing w:before="80" w:after="80" w:line="276" w:lineRule="auto"/>
        <w:jc w:val="both"/>
      </w:pPr>
      <w:r>
        <w:rPr>
          <w:color w:val="000000"/>
        </w:rPr>
        <w:t>The proposed system architecture is designed as a multi-tier web application with four functional layers: the presentation layer (React.js frontend), the application layer (FastAPI Python backend), the AI reasoning layer (</w:t>
      </w:r>
      <w:r w:rsidR="00622D04">
        <w:rPr>
          <w:color w:val="000000"/>
        </w:rPr>
        <w:t xml:space="preserve">Groq </w:t>
      </w:r>
      <w:r>
        <w:rPr>
          <w:color w:val="000000"/>
        </w:rPr>
        <w:t>LLM), and the data persistence layer (in-memory store with database extension path).</w:t>
      </w:r>
    </w:p>
    <w:p w:rsidR="00754BA7" w:rsidRDefault="00754BA7">
      <w:pPr>
        <w:spacing w:line="276" w:lineRule="auto"/>
        <w:jc w:val="both"/>
      </w:pPr>
    </w:p>
    <w:p w:rsidR="00754BA7" w:rsidRDefault="003E3BF9">
      <w:pPr>
        <w:spacing w:before="80" w:after="80" w:line="276" w:lineRule="auto"/>
        <w:jc w:val="both"/>
      </w:pPr>
      <w:r>
        <w:rPr>
          <w:color w:val="000000"/>
        </w:rPr>
        <w:t>The frontend provides a dark-theme, professional dashboard interface with five main views: Dashboard (overview metrics and violation alerts), AI Audit Engine (interactive audit configuration and results), Policy Analyzer (privacy policy review), Compliance Map (GDPR vs DPDP comparison matrix), and Reports (history, exports, and AI chatbot). The UI is built with React.js using custom CSS variables for theming and Space Mono / DM Sans typography for professional aesthetics.</w:t>
      </w:r>
    </w:p>
    <w:p w:rsidR="00754BA7" w:rsidRDefault="00754BA7">
      <w:pPr>
        <w:spacing w:line="276" w:lineRule="auto"/>
        <w:jc w:val="both"/>
      </w:pPr>
    </w:p>
    <w:p w:rsidR="00754BA7" w:rsidRDefault="003E3BF9">
      <w:pPr>
        <w:spacing w:before="80" w:after="80" w:line="276" w:lineRule="auto"/>
        <w:jc w:val="both"/>
      </w:pPr>
      <w:r>
        <w:rPr>
          <w:color w:val="000000"/>
        </w:rPr>
        <w:t xml:space="preserve">The backend exposes a RESTful API providing endpoints for audit execution, policy analysis, compliance chat, and regulatory reference data. Both synchronous and streaming response modes are supported, enabling real-time display of AI analysis as it generates. The backend architecture supports both direct API key usage and server-mediated access to the </w:t>
      </w:r>
      <w:r w:rsidR="00DA72A0">
        <w:rPr>
          <w:color w:val="000000"/>
        </w:rPr>
        <w:t xml:space="preserve">Groq </w:t>
      </w:r>
      <w:r>
        <w:rPr>
          <w:color w:val="000000"/>
        </w:rPr>
        <w:t>API.</w:t>
      </w:r>
    </w:p>
    <w:p w:rsidR="00754BA7" w:rsidRDefault="00754BA7">
      <w:pPr>
        <w:spacing w:line="276" w:lineRule="auto"/>
        <w:jc w:val="both"/>
      </w:pPr>
    </w:p>
    <w:p w:rsidR="00754BA7" w:rsidRDefault="003E3BF9">
      <w:pPr>
        <w:spacing w:before="60" w:after="120"/>
        <w:jc w:val="center"/>
      </w:pPr>
      <w:r>
        <w:rPr>
          <w:b/>
          <w:bCs/>
          <w:i/>
          <w:iCs/>
          <w:color w:val="404040"/>
          <w:sz w:val="22"/>
          <w:szCs w:val="22"/>
        </w:rPr>
        <w:t>Fig 1.4: System Architecture Pipeline</w:t>
      </w:r>
    </w:p>
    <w:p w:rsidR="00754BA7" w:rsidRDefault="003E3BF9">
      <w:pPr>
        <w:pStyle w:val="Heading2"/>
        <w:spacing w:before="240" w:after="120"/>
      </w:pPr>
      <w:r>
        <w:t>3.2 Technology Stack</w:t>
      </w:r>
    </w:p>
    <w:p w:rsidR="00754BA7" w:rsidRDefault="00754BA7">
      <w:pPr>
        <w:spacing w:line="276" w:lineRule="auto"/>
        <w:jc w:val="both"/>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2800"/>
        <w:gridCol w:w="4160"/>
      </w:tblGrid>
      <w:tr w:rsidR="00754BA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vAlign w:val="center"/>
          </w:tcPr>
          <w:p w:rsidR="00754BA7" w:rsidRDefault="003E3BF9">
            <w:pPr>
              <w:jc w:val="center"/>
            </w:pPr>
            <w:r>
              <w:rPr>
                <w:b/>
                <w:bCs/>
                <w:color w:val="FFFFFF"/>
                <w:sz w:val="22"/>
                <w:szCs w:val="22"/>
              </w:rPr>
              <w:t>Layer</w:t>
            </w:r>
          </w:p>
        </w:tc>
        <w:tc>
          <w:tcPr>
            <w:tcW w:w="28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vAlign w:val="center"/>
          </w:tcPr>
          <w:p w:rsidR="00754BA7" w:rsidRDefault="003E3BF9">
            <w:pPr>
              <w:jc w:val="center"/>
            </w:pPr>
            <w:r>
              <w:rPr>
                <w:b/>
                <w:bCs/>
                <w:color w:val="FFFFFF"/>
                <w:sz w:val="22"/>
                <w:szCs w:val="22"/>
              </w:rPr>
              <w:t>Technology</w:t>
            </w:r>
          </w:p>
        </w:tc>
        <w:tc>
          <w:tcPr>
            <w:tcW w:w="41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vAlign w:val="center"/>
          </w:tcPr>
          <w:p w:rsidR="00754BA7" w:rsidRDefault="003E3BF9">
            <w:pPr>
              <w:jc w:val="center"/>
            </w:pPr>
            <w:r>
              <w:rPr>
                <w:b/>
                <w:bCs/>
                <w:color w:val="FFFFFF"/>
                <w:sz w:val="22"/>
                <w:szCs w:val="22"/>
              </w:rPr>
              <w:t>Purpose</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lastRenderedPageBreak/>
              <w:t>Frontend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React.js 18 + Vite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Component-based UI with hot reload</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Styling</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Custom CSS Variables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Dark-theme design system</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AI Engine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DA72A0">
            <w:pPr>
              <w:jc w:val="center"/>
            </w:pPr>
            <w:r>
              <w:rPr>
                <w:sz w:val="22"/>
                <w:szCs w:val="22"/>
              </w:rPr>
              <w:t xml:space="preserve">Groq </w:t>
            </w:r>
            <w:r w:rsidR="003E3BF9">
              <w:rPr>
                <w:sz w:val="22"/>
                <w:szCs w:val="22"/>
              </w:rPr>
              <w:t>API</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LLM-based compliance analysis</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Backend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FastAPI (Python 3.11)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REST API + streaming endpoints</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Data</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In-Memory / JSON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Audit result persistence</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Streaming</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Server-Sent Events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Real-time audit progress display</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Auth</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API Key (env var)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DA72A0">
            <w:pPr>
              <w:jc w:val="center"/>
            </w:pPr>
            <w:r>
              <w:rPr>
                <w:sz w:val="22"/>
                <w:szCs w:val="22"/>
              </w:rPr>
              <w:t xml:space="preserve">Groq </w:t>
            </w:r>
            <w:r w:rsidR="003E3BF9">
              <w:rPr>
                <w:sz w:val="22"/>
                <w:szCs w:val="22"/>
              </w:rPr>
              <w:t>API authentication</w:t>
            </w:r>
          </w:p>
        </w:tc>
      </w:tr>
    </w:tbl>
    <w:p w:rsidR="00754BA7" w:rsidRDefault="003E3BF9">
      <w:pPr>
        <w:spacing w:before="60" w:after="120"/>
        <w:jc w:val="center"/>
      </w:pPr>
      <w:r>
        <w:rPr>
          <w:b/>
          <w:bCs/>
          <w:i/>
          <w:iCs/>
          <w:color w:val="404040"/>
          <w:sz w:val="22"/>
          <w:szCs w:val="22"/>
        </w:rPr>
        <w:t>Table 1-1: Technology Stack Summary</w:t>
      </w:r>
    </w:p>
    <w:p w:rsidR="00754BA7" w:rsidRDefault="00754BA7">
      <w:pPr>
        <w:spacing w:line="276" w:lineRule="auto"/>
        <w:jc w:val="both"/>
      </w:pPr>
    </w:p>
    <w:p w:rsidR="00754BA7" w:rsidRDefault="003E3BF9">
      <w:pPr>
        <w:pStyle w:val="Heading2"/>
        <w:spacing w:before="240" w:after="120"/>
      </w:pPr>
      <w:r>
        <w:t>3.3 AI Audit Engine</w:t>
      </w:r>
    </w:p>
    <w:p w:rsidR="00754BA7" w:rsidRDefault="003E3BF9">
      <w:pPr>
        <w:spacing w:before="80" w:after="80" w:line="276" w:lineRule="auto"/>
        <w:jc w:val="both"/>
      </w:pPr>
      <w:r>
        <w:rPr>
          <w:color w:val="000000"/>
        </w:rPr>
        <w:t>The AI Audit Engine is the core innovation of the system. It accepts a free-text organizational context description and a set of audit configuration parameters (framework selection, audit category scope) and produces a comprehensive, structured compliance report.</w:t>
      </w:r>
    </w:p>
    <w:p w:rsidR="00754BA7" w:rsidRDefault="00754BA7">
      <w:pPr>
        <w:spacing w:line="276" w:lineRule="auto"/>
        <w:jc w:val="both"/>
      </w:pPr>
    </w:p>
    <w:p w:rsidR="00754BA7" w:rsidRDefault="003E3BF9">
      <w:pPr>
        <w:spacing w:before="80" w:after="80" w:line="276" w:lineRule="auto"/>
        <w:jc w:val="both"/>
      </w:pPr>
      <w:r>
        <w:rPr>
          <w:color w:val="000000"/>
        </w:rPr>
        <w:t>The engine constructs a detailed system prompt encoding the role of a senior privacy compliance auditor, the selected regulatory framework(s), the organizational context, and a precise JSON output schema. This prompt engineering approach ensures that the LLM output is structured, consistent, and directly consumable by the frontend rendering logic.</w:t>
      </w:r>
    </w:p>
    <w:p w:rsidR="00754BA7" w:rsidRDefault="00754BA7">
      <w:pPr>
        <w:spacing w:line="276" w:lineRule="auto"/>
        <w:jc w:val="both"/>
      </w:pPr>
    </w:p>
    <w:p w:rsidR="00754BA7" w:rsidRDefault="003E3BF9">
      <w:pPr>
        <w:spacing w:before="80" w:after="80" w:line="276" w:lineRule="auto"/>
        <w:jc w:val="both"/>
      </w:pPr>
      <w:r>
        <w:rPr>
          <w:color w:val="000000"/>
        </w:rPr>
        <w:t>The output schema includes: overall and per-framework compliance scores (0–100); risk level classification (Critical, High, Medium, Low); executive summary; a violations array with severity, regulation citation, category, remediation steps, and timeline; compliant areas; a data mapping section; remediation roadmap phased across three horizons; key recommendations; per-category score breakdown; DPO requirement assessment; and estimated fine exposure in applicable currencies.</w:t>
      </w:r>
    </w:p>
    <w:p w:rsidR="00754BA7" w:rsidRDefault="00754BA7">
      <w:pPr>
        <w:spacing w:line="276" w:lineRule="auto"/>
        <w:jc w:val="both"/>
      </w:pPr>
    </w:p>
    <w:p w:rsidR="00754BA7" w:rsidRDefault="003E3BF9">
      <w:pPr>
        <w:spacing w:before="80" w:after="80" w:line="276" w:lineRule="auto"/>
        <w:jc w:val="both"/>
      </w:pPr>
      <w:r>
        <w:rPr>
          <w:color w:val="000000"/>
        </w:rPr>
        <w:t>The engine supports streaming output mode, where tokens are progressively delivered to the frontend via Server-Sent Events, enabling real-time display of the analysis as it generates. A progress indicator provides visual feedback across 12 simulated processing stages corresponding to the logical phases of a compliance audit.</w:t>
      </w:r>
    </w:p>
    <w:p w:rsidR="00754BA7" w:rsidRDefault="00754BA7">
      <w:pPr>
        <w:spacing w:line="276" w:lineRule="auto"/>
        <w:jc w:val="both"/>
      </w:pPr>
    </w:p>
    <w:p w:rsidR="00754BA7" w:rsidRDefault="003E3BF9">
      <w:pPr>
        <w:pStyle w:val="ListParagraph"/>
        <w:numPr>
          <w:ilvl w:val="0"/>
          <w:numId w:val="2"/>
        </w:numPr>
        <w:spacing w:before="60" w:after="60" w:line="276" w:lineRule="auto"/>
      </w:pPr>
      <w:r>
        <w:rPr>
          <w:color w:val="000000"/>
        </w:rPr>
        <w:t>Accepts organizational context including data types, processing activities, existing privacy infrastructure, and jurisdiction.</w:t>
      </w:r>
    </w:p>
    <w:p w:rsidR="00754BA7" w:rsidRDefault="003E3BF9">
      <w:pPr>
        <w:pStyle w:val="ListParagraph"/>
        <w:numPr>
          <w:ilvl w:val="0"/>
          <w:numId w:val="2"/>
        </w:numPr>
        <w:spacing w:before="60" w:after="60" w:line="276" w:lineRule="auto"/>
      </w:pPr>
      <w:r>
        <w:rPr>
          <w:color w:val="000000"/>
        </w:rPr>
        <w:lastRenderedPageBreak/>
        <w:t>Supports single-framework (GDPR only or DPDP Act only) and dual-framework audit modes.</w:t>
      </w:r>
    </w:p>
    <w:p w:rsidR="00754BA7" w:rsidRDefault="003E3BF9">
      <w:pPr>
        <w:pStyle w:val="ListParagraph"/>
        <w:numPr>
          <w:ilvl w:val="0"/>
          <w:numId w:val="2"/>
        </w:numPr>
        <w:spacing w:before="60" w:after="60" w:line="276" w:lineRule="auto"/>
      </w:pPr>
      <w:r>
        <w:rPr>
          <w:color w:val="000000"/>
        </w:rPr>
        <w:t>Produces structured JSON output with 10+ top-level fields for comprehensive reporting.</w:t>
      </w:r>
    </w:p>
    <w:p w:rsidR="00754BA7" w:rsidRDefault="003E3BF9">
      <w:pPr>
        <w:pStyle w:val="ListParagraph"/>
        <w:numPr>
          <w:ilvl w:val="0"/>
          <w:numId w:val="2"/>
        </w:numPr>
        <w:spacing w:before="60" w:after="60" w:line="276" w:lineRule="auto"/>
      </w:pPr>
      <w:r>
        <w:rPr>
          <w:color w:val="000000"/>
        </w:rPr>
        <w:t>Cites specific regulation articles and sections for every identified violation.</w:t>
      </w:r>
    </w:p>
    <w:p w:rsidR="00754BA7" w:rsidRDefault="003E3BF9">
      <w:pPr>
        <w:pStyle w:val="ListParagraph"/>
        <w:numPr>
          <w:ilvl w:val="0"/>
          <w:numId w:val="2"/>
        </w:numPr>
        <w:spacing w:before="60" w:after="60" w:line="276" w:lineRule="auto"/>
      </w:pPr>
      <w:r>
        <w:rPr>
          <w:color w:val="000000"/>
        </w:rPr>
        <w:t>Provides severity-tiered violations (critical, high, medium, low) with remediation timelines.</w:t>
      </w:r>
    </w:p>
    <w:p w:rsidR="00754BA7" w:rsidRDefault="003E3BF9">
      <w:pPr>
        <w:pStyle w:val="ListParagraph"/>
        <w:numPr>
          <w:ilvl w:val="0"/>
          <w:numId w:val="2"/>
        </w:numPr>
        <w:spacing w:before="60" w:after="60" w:line="276" w:lineRule="auto"/>
      </w:pPr>
      <w:r>
        <w:rPr>
          <w:color w:val="000000"/>
        </w:rPr>
        <w:t>Generates three-phase remediation roadmaps aligned to immediate, short-term, and long-term actions.</w:t>
      </w:r>
    </w:p>
    <w:p w:rsidR="00754BA7" w:rsidRDefault="003E3BF9">
      <w:pPr>
        <w:pStyle w:val="ListParagraph"/>
        <w:numPr>
          <w:ilvl w:val="0"/>
          <w:numId w:val="2"/>
        </w:numPr>
        <w:spacing w:before="60" w:after="60" w:line="276" w:lineRule="auto"/>
      </w:pPr>
      <w:r>
        <w:rPr>
          <w:color w:val="000000"/>
        </w:rPr>
        <w:t>Estimates financial exposure for GDPR (EUR) and DPDP Act (INR) based on violation severity.</w:t>
      </w:r>
    </w:p>
    <w:p w:rsidR="00754BA7" w:rsidRDefault="003E3BF9">
      <w:pPr>
        <w:pStyle w:val="Heading2"/>
        <w:spacing w:before="240" w:after="120"/>
      </w:pPr>
      <w:r>
        <w:t>3.4 Policy Analyzer Module</w:t>
      </w:r>
    </w:p>
    <w:p w:rsidR="00754BA7" w:rsidRDefault="003E3BF9">
      <w:pPr>
        <w:spacing w:before="80" w:after="80" w:line="276" w:lineRule="auto"/>
        <w:jc w:val="both"/>
      </w:pPr>
      <w:r>
        <w:rPr>
          <w:color w:val="000000"/>
        </w:rPr>
        <w:t>The Policy Analyzer module accepts the full text of an organization's privacy policy and performs a multi-dimensional compliance analysis. It evaluates the policy against GDPR Articles 12–14 (transparency and notice requirements) and DPDP Act 2023 Section 5 (notice to data principals), as well as relevant provisions on rights (Articles 15–22, DPDP Sections 11–13), cross-border transfers (Article 46, DPDP Section 16), and security (Article 32, DPDP Section 8).</w:t>
      </w:r>
    </w:p>
    <w:p w:rsidR="00754BA7" w:rsidRDefault="00754BA7">
      <w:pPr>
        <w:spacing w:line="276" w:lineRule="auto"/>
        <w:jc w:val="both"/>
      </w:pPr>
    </w:p>
    <w:p w:rsidR="00754BA7" w:rsidRDefault="003E3BF9">
      <w:pPr>
        <w:spacing w:before="80" w:after="80" w:line="276" w:lineRule="auto"/>
        <w:jc w:val="both"/>
      </w:pPr>
      <w:r>
        <w:rPr>
          <w:color w:val="000000"/>
        </w:rPr>
        <w:t>The analysis produces an overall quality rating (Poor, Fair, Good, Excellent), per-framework coverage scores, a list of missing required elements with regulation citations and severity ratings, identification of vague or non-compliant clauses with specific quotes and improvement suggestions, a compliance checklist (8 binary checks), and AI-generated rewrite suggestions for key policy sections.</w:t>
      </w:r>
    </w:p>
    <w:p w:rsidR="00754BA7" w:rsidRDefault="00754BA7">
      <w:pPr>
        <w:spacing w:line="276" w:lineRule="auto"/>
        <w:jc w:val="both"/>
      </w:pPr>
    </w:p>
    <w:p w:rsidR="00754BA7" w:rsidRDefault="003E3BF9">
      <w:pPr>
        <w:spacing w:before="80" w:after="80" w:line="276" w:lineRule="auto"/>
        <w:jc w:val="both"/>
      </w:pPr>
      <w:r>
        <w:rPr>
          <w:color w:val="000000"/>
        </w:rPr>
        <w:t>The module includes a compliance checklist evaluating eight key policy elements: presence of legal basis documentation, retention period specifications, data subject rights information, controller/fiduciary contact details, international transfer disclosures, cookie and tracking policies, Grievance Officer contact (DPDP), and DPO contact (GDPR). This binary checklist provides a quick-scan overview complementing the detailed qualitative analysis.</w:t>
      </w:r>
    </w:p>
    <w:p w:rsidR="00754BA7" w:rsidRDefault="00754BA7">
      <w:pPr>
        <w:spacing w:line="276" w:lineRule="auto"/>
        <w:jc w:val="both"/>
      </w:pPr>
    </w:p>
    <w:p w:rsidR="00754BA7" w:rsidRDefault="003E3BF9">
      <w:pPr>
        <w:spacing w:before="60" w:after="120"/>
        <w:jc w:val="center"/>
      </w:pPr>
      <w:r>
        <w:rPr>
          <w:b/>
          <w:bCs/>
          <w:i/>
          <w:iCs/>
          <w:color w:val="404040"/>
          <w:sz w:val="22"/>
          <w:szCs w:val="22"/>
        </w:rPr>
        <w:t>Fig 1.5: Policy Analyzer Input/Output Flow</w:t>
      </w:r>
    </w:p>
    <w:p w:rsidR="00754BA7" w:rsidRDefault="003E3BF9">
      <w:pPr>
        <w:pStyle w:val="Heading2"/>
        <w:spacing w:before="240" w:after="120"/>
      </w:pPr>
      <w:r>
        <w:t>3.5 Compliance Mapping Module</w:t>
      </w:r>
    </w:p>
    <w:p w:rsidR="00754BA7" w:rsidRDefault="003E3BF9">
      <w:pPr>
        <w:spacing w:before="80" w:after="80" w:line="276" w:lineRule="auto"/>
        <w:jc w:val="both"/>
      </w:pPr>
      <w:r>
        <w:rPr>
          <w:color w:val="000000"/>
        </w:rPr>
        <w:t>The Compliance Map module provides a comprehensive side-by-side comparison of GDPR and DPDP Act 2023 requirements across ten regulatory categories. Each category entry includes the specific regulatory references, requirement lists for both frameworks, maturity status indicators, and a gap analysis section highlighting key differences and compliance implications.</w:t>
      </w:r>
    </w:p>
    <w:p w:rsidR="00754BA7" w:rsidRDefault="00754BA7">
      <w:pPr>
        <w:spacing w:line="276" w:lineRule="auto"/>
        <w:jc w:val="both"/>
      </w:pPr>
    </w:p>
    <w:p w:rsidR="00754BA7" w:rsidRDefault="003E3BF9">
      <w:pPr>
        <w:spacing w:before="80" w:after="80" w:line="276" w:lineRule="auto"/>
        <w:jc w:val="both"/>
      </w:pPr>
      <w:r>
        <w:rPr>
          <w:color w:val="000000"/>
        </w:rPr>
        <w:lastRenderedPageBreak/>
        <w:t>The ten categories covered are: Lawful Basis for Processing, Consent Requirements, Data Subject/Principal Rights, Data Retention, Controller/Fiduciary Obligations, DPO/Grievance Officer, Breach Notification, Cross-Border Transfers, Special/Sensitive Data Categories, and Penalties and Enforcement. Each category is presented in an expandable row format, enabling users to drill down into full requirement lists and gap analysis on demand.</w:t>
      </w:r>
    </w:p>
    <w:p w:rsidR="00754BA7" w:rsidRDefault="00754BA7">
      <w:pPr>
        <w:spacing w:line="276" w:lineRule="auto"/>
        <w:jc w:val="both"/>
      </w:pPr>
    </w:p>
    <w:p w:rsidR="00754BA7" w:rsidRDefault="003E3BF9">
      <w:pPr>
        <w:spacing w:before="80" w:after="80" w:line="276" w:lineRule="auto"/>
        <w:jc w:val="both"/>
      </w:pPr>
      <w:r>
        <w:rPr>
          <w:color w:val="000000"/>
        </w:rPr>
        <w:t>Maturity status indicators classify each framework's position on a given requirement as 'Mature' (established with case law and enforcement history), 'Comparable' (similar requirements at similar maturity), 'Developing' (new or pending implementing rules), or 'Simplified' (fewer or narrower requirements than the other framework). This classification helps organizations understand where they can align their compliance programs and where framework-specific approaches are required.</w:t>
      </w:r>
    </w:p>
    <w:p w:rsidR="00754BA7" w:rsidRDefault="00754BA7">
      <w:pPr>
        <w:spacing w:line="276" w:lineRule="auto"/>
        <w:jc w:val="both"/>
      </w:pPr>
    </w:p>
    <w:p w:rsidR="00754BA7" w:rsidRDefault="003E3BF9">
      <w:pPr>
        <w:pStyle w:val="Heading2"/>
        <w:spacing w:before="240" w:after="120"/>
      </w:pPr>
      <w:r>
        <w:t>3.6 Evaluation Approach</w:t>
      </w:r>
    </w:p>
    <w:p w:rsidR="00754BA7" w:rsidRDefault="003E3BF9">
      <w:pPr>
        <w:spacing w:before="80" w:after="80" w:line="276" w:lineRule="auto"/>
        <w:jc w:val="both"/>
      </w:pPr>
      <w:r>
        <w:rPr>
          <w:color w:val="000000"/>
        </w:rPr>
        <w:t>The system is evaluated using three complementary methods. First, functional testing with sample organizational profiles representing different industry sectors (SaaS/HR technology, e-commerce, healthcare, financial services) assesses the AI engine's ability to identify relevant violations and produce accurate regulatory citations.</w:t>
      </w:r>
    </w:p>
    <w:p w:rsidR="00754BA7" w:rsidRDefault="00754BA7">
      <w:pPr>
        <w:spacing w:line="276" w:lineRule="auto"/>
        <w:jc w:val="both"/>
      </w:pPr>
    </w:p>
    <w:p w:rsidR="00754BA7" w:rsidRDefault="003E3BF9">
      <w:pPr>
        <w:spacing w:before="80" w:after="80" w:line="276" w:lineRule="auto"/>
        <w:jc w:val="both"/>
      </w:pPr>
      <w:r>
        <w:rPr>
          <w:color w:val="000000"/>
        </w:rPr>
        <w:t>Second, policy analysis testing uses privacy policies with known compliance gaps to assess the Policy Analyzer's detection accuracy. Ground truth is established through manual legal review of the same policies.</w:t>
      </w:r>
    </w:p>
    <w:p w:rsidR="00754BA7" w:rsidRDefault="00754BA7">
      <w:pPr>
        <w:spacing w:line="276" w:lineRule="auto"/>
        <w:jc w:val="both"/>
      </w:pPr>
    </w:p>
    <w:p w:rsidR="00754BA7" w:rsidRDefault="003E3BF9">
      <w:pPr>
        <w:spacing w:before="80" w:after="80" w:line="276" w:lineRule="auto"/>
        <w:jc w:val="both"/>
      </w:pPr>
      <w:r>
        <w:rPr>
          <w:color w:val="000000"/>
        </w:rPr>
        <w:t>Third, expert review by individuals with knowledge of GDPR and DPDP Act requirements is used to validate the accuracy of compliance map entries and assess the quality of AI-generated remediation guidance.</w:t>
      </w:r>
    </w:p>
    <w:p w:rsidR="00754BA7" w:rsidRDefault="00754BA7">
      <w:pPr>
        <w:spacing w:line="276" w:lineRule="auto"/>
        <w:jc w:val="both"/>
      </w:pPr>
    </w:p>
    <w:p w:rsidR="00754BA7" w:rsidRDefault="003E3BF9">
      <w:pPr>
        <w:spacing w:before="80" w:after="80" w:line="276" w:lineRule="auto"/>
        <w:jc w:val="both"/>
      </w:pPr>
      <w:r>
        <w:rPr>
          <w:color w:val="000000"/>
        </w:rPr>
        <w:t>Evaluation metrics include: violation detection rate (proportion of actual violations identified), false positive rate (identified violations that are not actual violations), citation accuracy (proportion of regulation citations that are correct), and remediation quality (expert-rated quality of remediation guidance).</w:t>
      </w:r>
    </w:p>
    <w:p w:rsidR="00754BA7" w:rsidRDefault="003E3BF9">
      <w:r>
        <w:br w:type="page"/>
      </w:r>
    </w:p>
    <w:p w:rsidR="00754BA7" w:rsidRDefault="003E3BF9">
      <w:pPr>
        <w:pStyle w:val="Heading1"/>
      </w:pPr>
      <w:r>
        <w:lastRenderedPageBreak/>
        <w:t>Chapter 4 — Results and Discussion</w:t>
      </w:r>
    </w:p>
    <w:p w:rsidR="00754BA7" w:rsidRDefault="00754BA7">
      <w:pPr>
        <w:pBdr>
          <w:bottom w:val="single" w:sz="6" w:space="1" w:color="2E74B5"/>
        </w:pBdr>
        <w:spacing w:before="80" w:after="80"/>
      </w:pPr>
    </w:p>
    <w:p w:rsidR="00754BA7" w:rsidRDefault="00754BA7">
      <w:pPr>
        <w:spacing w:line="276" w:lineRule="auto"/>
        <w:jc w:val="both"/>
      </w:pPr>
    </w:p>
    <w:p w:rsidR="00754BA7" w:rsidRDefault="003E3BF9">
      <w:pPr>
        <w:spacing w:before="80" w:after="80" w:line="276" w:lineRule="auto"/>
        <w:jc w:val="both"/>
      </w:pPr>
      <w:r>
        <w:rPr>
          <w:color w:val="000000"/>
        </w:rPr>
        <w:t>This chapter presents the results obtained from the implemented system and analyzes its performance in detecting privacy compliance gaps across GDPR and India's DPDP Act 2023. The AI Audit Engine, Policy Analyzer, and Compliance Map modules are evaluated using representative organizational profiles and sample privacy policies.</w:t>
      </w:r>
    </w:p>
    <w:p w:rsidR="00754BA7" w:rsidRDefault="00754BA7">
      <w:pPr>
        <w:spacing w:line="276" w:lineRule="auto"/>
        <w:jc w:val="both"/>
      </w:pPr>
    </w:p>
    <w:p w:rsidR="00754BA7" w:rsidRDefault="003E3BF9">
      <w:pPr>
        <w:spacing w:before="80" w:after="80" w:line="276" w:lineRule="auto"/>
        <w:jc w:val="both"/>
      </w:pPr>
      <w:r>
        <w:rPr>
          <w:color w:val="000000"/>
        </w:rPr>
        <w:t>The results demonstrate that the AI-powered approach successfully identifies critical compliance violations, produces accurate regulatory citations, and generates actionable remediation guidance. Performance is compared across different organizational types to assess generalization capability.</w:t>
      </w:r>
    </w:p>
    <w:p w:rsidR="00754BA7" w:rsidRDefault="003E3BF9">
      <w:pPr>
        <w:pStyle w:val="Heading2"/>
        <w:spacing w:before="240" w:after="120"/>
      </w:pPr>
      <w:r>
        <w:t>4.1 Dashboard &amp; Compliance Scores</w:t>
      </w:r>
    </w:p>
    <w:p w:rsidR="00754BA7" w:rsidRDefault="003E3BF9">
      <w:pPr>
        <w:spacing w:before="80" w:after="80" w:line="276" w:lineRule="auto"/>
        <w:jc w:val="both"/>
      </w:pPr>
      <w:r>
        <w:rPr>
          <w:color w:val="000000"/>
        </w:rPr>
        <w:t>The system dashboard provides real-time compliance metrics for the assessed organization. In testing with the primary sample organization (a SaaS/HR technology company operating across India and the EU), the system produced the following overall compliance scores:</w:t>
      </w:r>
    </w:p>
    <w:p w:rsidR="00754BA7" w:rsidRDefault="00754BA7">
      <w:pPr>
        <w:spacing w:line="276" w:lineRule="auto"/>
        <w:jc w:val="both"/>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3120"/>
        <w:gridCol w:w="3120"/>
      </w:tblGrid>
      <w:tr w:rsidR="00754BA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vAlign w:val="center"/>
          </w:tcPr>
          <w:p w:rsidR="00754BA7" w:rsidRDefault="003E3BF9">
            <w:pPr>
              <w:jc w:val="center"/>
            </w:pPr>
            <w:r>
              <w:rPr>
                <w:b/>
                <w:bCs/>
                <w:color w:val="FFFFFF"/>
                <w:sz w:val="22"/>
                <w:szCs w:val="22"/>
              </w:rPr>
              <w:t>Compliance Framework</w:t>
            </w:r>
          </w:p>
        </w:tc>
        <w:tc>
          <w:tcPr>
            <w:tcW w:w="312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vAlign w:val="center"/>
          </w:tcPr>
          <w:p w:rsidR="00754BA7" w:rsidRDefault="003E3BF9">
            <w:pPr>
              <w:jc w:val="center"/>
            </w:pPr>
            <w:r>
              <w:rPr>
                <w:b/>
                <w:bCs/>
                <w:color w:val="FFFFFF"/>
                <w:sz w:val="22"/>
                <w:szCs w:val="22"/>
              </w:rPr>
              <w:t>Score</w:t>
            </w:r>
          </w:p>
        </w:tc>
        <w:tc>
          <w:tcPr>
            <w:tcW w:w="312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vAlign w:val="center"/>
          </w:tcPr>
          <w:p w:rsidR="00754BA7" w:rsidRDefault="003E3BF9">
            <w:pPr>
              <w:jc w:val="center"/>
            </w:pPr>
            <w:r>
              <w:rPr>
                <w:b/>
                <w:bCs/>
                <w:color w:val="FFFFFF"/>
                <w:sz w:val="22"/>
                <w:szCs w:val="22"/>
              </w:rPr>
              <w:t>Risk Level</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GDPR (EU)</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58 / 100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High</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DPDP Act 2023 (India)</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50 / 100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High</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Overall Combined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54 / 100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High</w:t>
            </w:r>
          </w:p>
        </w:tc>
      </w:tr>
    </w:tbl>
    <w:p w:rsidR="00754BA7" w:rsidRDefault="003E3BF9">
      <w:pPr>
        <w:spacing w:before="60" w:after="120"/>
        <w:jc w:val="center"/>
      </w:pPr>
      <w:r>
        <w:rPr>
          <w:b/>
          <w:bCs/>
          <w:i/>
          <w:iCs/>
          <w:color w:val="404040"/>
          <w:sz w:val="22"/>
          <w:szCs w:val="22"/>
        </w:rPr>
        <w:t>Table 2-1: AI Audit Engine Test Results — Sample Organization (SaaS/HR)</w:t>
      </w:r>
    </w:p>
    <w:p w:rsidR="00754BA7" w:rsidRDefault="00754BA7">
      <w:pPr>
        <w:spacing w:line="276" w:lineRule="auto"/>
        <w:jc w:val="both"/>
      </w:pPr>
    </w:p>
    <w:p w:rsidR="00754BA7" w:rsidRDefault="003E3BF9">
      <w:pPr>
        <w:spacing w:before="80" w:after="80" w:line="276" w:lineRule="auto"/>
        <w:jc w:val="both"/>
      </w:pPr>
      <w:r>
        <w:rPr>
          <w:color w:val="000000"/>
        </w:rPr>
        <w:t>The dashboard identified 6 critical/high violations requiring immediate attention, with an estimated fine exposure of up to €20M (GDPR) and ₹250 crore (DPDP Act). The scores reflect the organization's primary compliance gaps: outdated privacy policy, absence of DPO/Grievance Officer, biometric data processing without explicit consent, and incomplete third-party processor agreements.</w:t>
      </w:r>
    </w:p>
    <w:p w:rsidR="00754BA7" w:rsidRDefault="00754BA7">
      <w:pPr>
        <w:spacing w:line="276" w:lineRule="auto"/>
        <w:jc w:val="both"/>
      </w:pPr>
    </w:p>
    <w:p w:rsidR="00754BA7" w:rsidRDefault="003E3BF9">
      <w:pPr>
        <w:spacing w:before="80" w:after="80" w:line="276" w:lineRule="auto"/>
        <w:jc w:val="both"/>
      </w:pPr>
      <w:r>
        <w:rPr>
          <w:color w:val="000000"/>
        </w:rPr>
        <w:t>Per-category compliance scores reveal the distribution of compliance gaps across dimensions:</w:t>
      </w:r>
    </w:p>
    <w:p w:rsidR="00754BA7" w:rsidRDefault="00754BA7">
      <w:pPr>
        <w:spacing w:line="276" w:lineRule="auto"/>
        <w:jc w:val="both"/>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160"/>
        <w:gridCol w:w="2600"/>
        <w:gridCol w:w="2600"/>
      </w:tblGrid>
      <w:tr w:rsidR="00754BA7">
        <w:trPr>
          <w:tblHeader/>
        </w:trPr>
        <w:tc>
          <w:tcPr>
            <w:tcW w:w="41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vAlign w:val="center"/>
          </w:tcPr>
          <w:p w:rsidR="00754BA7" w:rsidRDefault="003E3BF9">
            <w:pPr>
              <w:jc w:val="center"/>
            </w:pPr>
            <w:r>
              <w:rPr>
                <w:b/>
                <w:bCs/>
                <w:color w:val="FFFFFF"/>
                <w:sz w:val="22"/>
                <w:szCs w:val="22"/>
              </w:rPr>
              <w:t>Compliance Category</w:t>
            </w:r>
          </w:p>
        </w:tc>
        <w:tc>
          <w:tcPr>
            <w:tcW w:w="26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vAlign w:val="center"/>
          </w:tcPr>
          <w:p w:rsidR="00754BA7" w:rsidRDefault="003E3BF9">
            <w:pPr>
              <w:jc w:val="center"/>
            </w:pPr>
            <w:r>
              <w:rPr>
                <w:b/>
                <w:bCs/>
                <w:color w:val="FFFFFF"/>
                <w:sz w:val="22"/>
                <w:szCs w:val="22"/>
              </w:rPr>
              <w:t>GDPR Score</w:t>
            </w:r>
          </w:p>
        </w:tc>
        <w:tc>
          <w:tcPr>
            <w:tcW w:w="26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vAlign w:val="center"/>
          </w:tcPr>
          <w:p w:rsidR="00754BA7" w:rsidRDefault="003E3BF9">
            <w:pPr>
              <w:jc w:val="center"/>
            </w:pPr>
            <w:r>
              <w:rPr>
                <w:b/>
                <w:bCs/>
                <w:color w:val="FFFFFF"/>
                <w:sz w:val="22"/>
                <w:szCs w:val="22"/>
              </w:rPr>
              <w:t>DPDP Score</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Data Collection &amp; Purpose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65%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60%</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Consent Management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45%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40%</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lastRenderedPageBreak/>
              <w:t>Data Subject/Principal Rights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70%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65%</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Data Retention &amp; Deletion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30%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35%</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Security Measures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75%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72%</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Third-Party Management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40%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45%</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Breach Notification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55%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50%</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Documentation &amp; Accountability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35%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28%</w:t>
            </w:r>
          </w:p>
        </w:tc>
      </w:tr>
    </w:tbl>
    <w:p w:rsidR="00754BA7" w:rsidRDefault="003E3BF9">
      <w:pPr>
        <w:spacing w:before="60" w:after="120"/>
        <w:jc w:val="center"/>
      </w:pPr>
      <w:r>
        <w:rPr>
          <w:b/>
          <w:bCs/>
          <w:i/>
          <w:iCs/>
          <w:color w:val="404040"/>
          <w:sz w:val="22"/>
          <w:szCs w:val="22"/>
        </w:rPr>
        <w:t>Table 2-2: Per-Category Compliance Score Breakdown</w:t>
      </w:r>
    </w:p>
    <w:p w:rsidR="00754BA7" w:rsidRDefault="00754BA7">
      <w:pPr>
        <w:spacing w:line="276" w:lineRule="auto"/>
        <w:jc w:val="both"/>
      </w:pPr>
    </w:p>
    <w:p w:rsidR="00754BA7" w:rsidRDefault="003E3BF9">
      <w:pPr>
        <w:pStyle w:val="Heading2"/>
        <w:spacing w:before="240" w:after="120"/>
      </w:pPr>
      <w:r>
        <w:t>4.2 AI Audit Engine Results</w:t>
      </w:r>
    </w:p>
    <w:p w:rsidR="00754BA7" w:rsidRDefault="003E3BF9">
      <w:pPr>
        <w:spacing w:before="80" w:after="80" w:line="276" w:lineRule="auto"/>
        <w:jc w:val="both"/>
      </w:pPr>
      <w:r>
        <w:rPr>
          <w:color w:val="000000"/>
        </w:rPr>
        <w:t>The AI Audit Engine successfully identified the following critical violations in the sample organization, with accurate regulatory citations:</w:t>
      </w:r>
    </w:p>
    <w:p w:rsidR="00754BA7" w:rsidRDefault="00754BA7">
      <w:pPr>
        <w:spacing w:line="276" w:lineRule="auto"/>
        <w:jc w:val="both"/>
      </w:pPr>
    </w:p>
    <w:p w:rsidR="00754BA7" w:rsidRDefault="003E3BF9">
      <w:pPr>
        <w:pStyle w:val="ListParagraph"/>
        <w:numPr>
          <w:ilvl w:val="0"/>
          <w:numId w:val="2"/>
        </w:numPr>
        <w:spacing w:before="60" w:after="60" w:line="276" w:lineRule="auto"/>
      </w:pPr>
      <w:r>
        <w:rPr>
          <w:color w:val="000000"/>
        </w:rPr>
        <w:t>No Data Protection Officer (DPO) Appointed — GDPR Art. 37 requires DPO appointment for large-scale processing of special category data including biometrics. DPDP Act Section 13 requires a Grievance Officer for all data fiduciaries. Both requirements are unmet. [Severity: Critical]</w:t>
      </w:r>
    </w:p>
    <w:p w:rsidR="00754BA7" w:rsidRDefault="003E3BF9">
      <w:pPr>
        <w:pStyle w:val="ListParagraph"/>
        <w:numPr>
          <w:ilvl w:val="0"/>
          <w:numId w:val="2"/>
        </w:numPr>
        <w:spacing w:before="60" w:after="60" w:line="276" w:lineRule="auto"/>
      </w:pPr>
      <w:r>
        <w:rPr>
          <w:color w:val="000000"/>
        </w:rPr>
        <w:t>Privacy Policy Outdated (2022) — The 2022 privacy notice predates the DPDP Act 2023 and fails to meet GDPR Art. 13/14 disclosure requirements. Missing: legal bases, retention periods, rights information, DPO contact, international transfer details. [Severity: Critical]</w:t>
      </w:r>
    </w:p>
    <w:p w:rsidR="00754BA7" w:rsidRDefault="003E3BF9">
      <w:pPr>
        <w:pStyle w:val="ListParagraph"/>
        <w:numPr>
          <w:ilvl w:val="0"/>
          <w:numId w:val="2"/>
        </w:numPr>
        <w:spacing w:before="60" w:after="60" w:line="276" w:lineRule="auto"/>
      </w:pPr>
      <w:r>
        <w:rPr>
          <w:color w:val="000000"/>
        </w:rPr>
        <w:t>Biometric Data Processed Without Explicit Consent — Biometric data for attendance tracking constitutes special category data under GDPR Art. 9 and sensitive personal data under DPDP rules. Explicit consent with granular controls not obtained. [Severity: Critical]</w:t>
      </w:r>
    </w:p>
    <w:p w:rsidR="00754BA7" w:rsidRDefault="003E3BF9">
      <w:pPr>
        <w:pStyle w:val="ListParagraph"/>
        <w:numPr>
          <w:ilvl w:val="0"/>
          <w:numId w:val="2"/>
        </w:numPr>
        <w:spacing w:before="60" w:after="60" w:line="276" w:lineRule="auto"/>
      </w:pPr>
      <w:r>
        <w:rPr>
          <w:color w:val="000000"/>
        </w:rPr>
        <w:t>No Data Retention Schedule — No documented retention periods for any data category, violating GDPR Art. 5(1)(e) storage limitation principle and DPDP Act Section 8(7). Data may be retained indefinitely. [Severity: High]</w:t>
      </w:r>
    </w:p>
    <w:p w:rsidR="00754BA7" w:rsidRDefault="003E3BF9">
      <w:pPr>
        <w:pStyle w:val="ListParagraph"/>
        <w:numPr>
          <w:ilvl w:val="0"/>
          <w:numId w:val="2"/>
        </w:numPr>
        <w:spacing w:before="60" w:after="60" w:line="276" w:lineRule="auto"/>
      </w:pPr>
      <w:r>
        <w:rPr>
          <w:color w:val="000000"/>
        </w:rPr>
        <w:t>Cookie Consent Non-Compliant — Basic popup without category-level granularity violates GDPR Art. 7 and ePrivacy Directive requirements. Pre-ticked boxes and bundled consent detected. [Severity: High]</w:t>
      </w:r>
    </w:p>
    <w:p w:rsidR="00754BA7" w:rsidRDefault="003E3BF9">
      <w:pPr>
        <w:pStyle w:val="ListParagraph"/>
        <w:numPr>
          <w:ilvl w:val="0"/>
          <w:numId w:val="2"/>
        </w:numPr>
        <w:spacing w:before="60" w:after="60" w:line="276" w:lineRule="auto"/>
      </w:pPr>
      <w:r>
        <w:rPr>
          <w:color w:val="000000"/>
        </w:rPr>
        <w:t>Missing Data Processing Agreements — No signed DPAs with AWS (cloud), Razorpay (payments), or Mailchimp (email marketing), violating GDPR Art. 28 and DPDP Act Section 9. [Severity: High]</w:t>
      </w:r>
    </w:p>
    <w:p w:rsidR="00754BA7" w:rsidRDefault="00754BA7">
      <w:pPr>
        <w:spacing w:line="276" w:lineRule="auto"/>
        <w:jc w:val="both"/>
      </w:pPr>
    </w:p>
    <w:p w:rsidR="00754BA7" w:rsidRDefault="003E3BF9">
      <w:pPr>
        <w:spacing w:before="80" w:after="80" w:line="276" w:lineRule="auto"/>
        <w:jc w:val="both"/>
      </w:pPr>
      <w:r>
        <w:rPr>
          <w:color w:val="000000"/>
        </w:rPr>
        <w:lastRenderedPageBreak/>
        <w:t>The engine demonstrated strong regulatory citation accuracy, with all identified violations correctly mapped to specific GDPR articles and/or DPDP Act sections. The three-phase remediation roadmap appropriately prioritized DPO appointment and privacy notice update as immediate (0–30 day) actions, with consent management platform implementation and DPA execution in the short-term (30–90 day) phase.</w:t>
      </w:r>
    </w:p>
    <w:p w:rsidR="00754BA7" w:rsidRDefault="003E3BF9">
      <w:pPr>
        <w:pStyle w:val="Heading2"/>
        <w:spacing w:before="240" w:after="120"/>
      </w:pPr>
      <w:r>
        <w:t>4.3 Policy Analyzer Results</w:t>
      </w:r>
    </w:p>
    <w:p w:rsidR="00754BA7" w:rsidRDefault="003E3BF9">
      <w:pPr>
        <w:spacing w:before="80" w:after="80" w:line="276" w:lineRule="auto"/>
        <w:jc w:val="both"/>
      </w:pPr>
      <w:r>
        <w:rPr>
          <w:color w:val="000000"/>
        </w:rPr>
        <w:t>The Policy Analyzer was tested against a sample privacy policy representing common deficiencies observed in real-world organizational policies. The analysis produced the following results:</w:t>
      </w:r>
    </w:p>
    <w:p w:rsidR="00754BA7" w:rsidRDefault="00754BA7">
      <w:pPr>
        <w:spacing w:line="276" w:lineRule="auto"/>
        <w:jc w:val="both"/>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3120"/>
        <w:gridCol w:w="3120"/>
      </w:tblGrid>
      <w:tr w:rsidR="00754BA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vAlign w:val="center"/>
          </w:tcPr>
          <w:p w:rsidR="00754BA7" w:rsidRDefault="003E3BF9">
            <w:pPr>
              <w:jc w:val="center"/>
            </w:pPr>
            <w:r>
              <w:rPr>
                <w:b/>
                <w:bCs/>
                <w:color w:val="FFFFFF"/>
                <w:sz w:val="22"/>
                <w:szCs w:val="22"/>
              </w:rPr>
              <w:t>Metric</w:t>
            </w:r>
          </w:p>
        </w:tc>
        <w:tc>
          <w:tcPr>
            <w:tcW w:w="312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vAlign w:val="center"/>
          </w:tcPr>
          <w:p w:rsidR="00754BA7" w:rsidRDefault="003E3BF9">
            <w:pPr>
              <w:jc w:val="center"/>
            </w:pPr>
            <w:r>
              <w:rPr>
                <w:b/>
                <w:bCs/>
                <w:color w:val="FFFFFF"/>
                <w:sz w:val="22"/>
                <w:szCs w:val="22"/>
              </w:rPr>
              <w:t>Score</w:t>
            </w:r>
          </w:p>
        </w:tc>
        <w:tc>
          <w:tcPr>
            <w:tcW w:w="312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vAlign w:val="center"/>
          </w:tcPr>
          <w:p w:rsidR="00754BA7" w:rsidRDefault="003E3BF9">
            <w:pPr>
              <w:jc w:val="center"/>
            </w:pPr>
            <w:r>
              <w:rPr>
                <w:b/>
                <w:bCs/>
                <w:color w:val="FFFFFF"/>
                <w:sz w:val="22"/>
                <w:szCs w:val="22"/>
              </w:rPr>
              <w:t>Assessment</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Overall Rating</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Poor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Fails basic requirements</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Readability Score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5 / 10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Moderately readable</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GDPR Coverage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28%</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Severely deficient</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DPDP Act Coverage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15%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Critical gaps</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Missing Elements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7 identified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All critical/high</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Vague Clauses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3 identified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Requiring rewrite</w:t>
            </w:r>
          </w:p>
        </w:tc>
      </w:tr>
    </w:tbl>
    <w:p w:rsidR="00754BA7" w:rsidRDefault="003E3BF9">
      <w:pPr>
        <w:spacing w:before="60" w:after="120"/>
        <w:jc w:val="center"/>
      </w:pPr>
      <w:r>
        <w:rPr>
          <w:b/>
          <w:bCs/>
          <w:i/>
          <w:iCs/>
          <w:color w:val="404040"/>
          <w:sz w:val="22"/>
          <w:szCs w:val="22"/>
        </w:rPr>
        <w:t>Table 2-3: Policy Analyzer Coverage Scores — Sample Policy</w:t>
      </w:r>
    </w:p>
    <w:p w:rsidR="00754BA7" w:rsidRDefault="00754BA7">
      <w:pPr>
        <w:spacing w:line="276" w:lineRule="auto"/>
        <w:jc w:val="both"/>
      </w:pPr>
    </w:p>
    <w:p w:rsidR="00754BA7" w:rsidRDefault="003E3BF9">
      <w:pPr>
        <w:spacing w:before="80" w:after="80" w:line="276" w:lineRule="auto"/>
        <w:jc w:val="both"/>
      </w:pPr>
      <w:r>
        <w:rPr>
          <w:color w:val="000000"/>
        </w:rPr>
        <w:t>The analyzer correctly identified the most critical deficiencies including absence of legal basis documentation, missing retention periods, conditional rights language, and failure to designate a Grievance Officer as required by DPDP Act Section 13. The AI-generated rewrite suggestions for the 'How We Use Your Information' and 'Your Rights' sections were evaluated by subject matter reviewers as substantively accurate and significantly improving compliance.</w:t>
      </w:r>
    </w:p>
    <w:p w:rsidR="00754BA7" w:rsidRDefault="003E3BF9">
      <w:pPr>
        <w:pStyle w:val="Heading2"/>
        <w:spacing w:before="240" w:after="120"/>
      </w:pPr>
      <w:r>
        <w:t>4.4 Compliance Map Findings</w:t>
      </w:r>
    </w:p>
    <w:p w:rsidR="00754BA7" w:rsidRDefault="003E3BF9">
      <w:pPr>
        <w:spacing w:before="80" w:after="80" w:line="276" w:lineRule="auto"/>
        <w:jc w:val="both"/>
      </w:pPr>
      <w:r>
        <w:rPr>
          <w:color w:val="000000"/>
        </w:rPr>
        <w:t>The Compliance Map module's GDPR vs DPDP Act comparison reveals several important structural differences with implications for dual-framework compliance programs:</w:t>
      </w:r>
    </w:p>
    <w:p w:rsidR="00754BA7" w:rsidRDefault="00754BA7">
      <w:pPr>
        <w:spacing w:line="276" w:lineRule="auto"/>
        <w:jc w:val="both"/>
      </w:pPr>
    </w:p>
    <w:p w:rsidR="00754BA7" w:rsidRDefault="003E3BF9">
      <w:pPr>
        <w:pStyle w:val="ListParagraph"/>
        <w:numPr>
          <w:ilvl w:val="0"/>
          <w:numId w:val="2"/>
        </w:numPr>
        <w:spacing w:before="60" w:after="60" w:line="276" w:lineRule="auto"/>
      </w:pPr>
      <w:r>
        <w:rPr>
          <w:color w:val="000000"/>
        </w:rPr>
        <w:t>Lawful Basis: GDPR provides six lawful bases while DPDP Act primarily relies on consent supplemented by limited legitimate uses. Organizations must identify separate legal bases for each framework.</w:t>
      </w:r>
    </w:p>
    <w:p w:rsidR="00754BA7" w:rsidRDefault="003E3BF9">
      <w:pPr>
        <w:pStyle w:val="ListParagraph"/>
        <w:numPr>
          <w:ilvl w:val="0"/>
          <w:numId w:val="2"/>
        </w:numPr>
        <w:spacing w:before="60" w:after="60" w:line="276" w:lineRule="auto"/>
      </w:pPr>
      <w:r>
        <w:rPr>
          <w:color w:val="000000"/>
        </w:rPr>
        <w:t xml:space="preserve">Special Categories: A critical divergence — GDPR defines explicit special categories with enhanced protection requirements (Art. 9) while DPDP Act does not yet define </w:t>
      </w:r>
      <w:r>
        <w:rPr>
          <w:color w:val="000000"/>
        </w:rPr>
        <w:lastRenderedPageBreak/>
        <w:t>sensitive data categories in the base Act. Sector-specific regulations (RBI, IRDAI) fill partial gaps.</w:t>
      </w:r>
    </w:p>
    <w:p w:rsidR="00754BA7" w:rsidRDefault="003E3BF9">
      <w:pPr>
        <w:pStyle w:val="ListParagraph"/>
        <w:numPr>
          <w:ilvl w:val="0"/>
          <w:numId w:val="2"/>
        </w:numPr>
        <w:spacing w:before="60" w:after="60" w:line="276" w:lineRule="auto"/>
      </w:pPr>
      <w:r>
        <w:rPr>
          <w:color w:val="000000"/>
        </w:rPr>
        <w:t>Data Portability: GDPR grants data portability rights (Art. 20); DPDP Act does not include an equivalent right in the 2023 Act. Organizations serving GDPR-covered individuals must provide portability regardless.</w:t>
      </w:r>
    </w:p>
    <w:p w:rsidR="00754BA7" w:rsidRDefault="003E3BF9">
      <w:pPr>
        <w:pStyle w:val="ListParagraph"/>
        <w:numPr>
          <w:ilvl w:val="0"/>
          <w:numId w:val="2"/>
        </w:numPr>
        <w:spacing w:before="60" w:after="60" w:line="276" w:lineRule="auto"/>
      </w:pPr>
      <w:r>
        <w:rPr>
          <w:color w:val="000000"/>
        </w:rPr>
        <w:t>Breach Notification: GDPR mandates 72-hour notification to supervisory authority (Art. 33). DPDP Act breach timeline is pending Rules notification. Organizations should build 72-hour capability to satisfy both.</w:t>
      </w:r>
    </w:p>
    <w:p w:rsidR="00754BA7" w:rsidRDefault="003E3BF9">
      <w:pPr>
        <w:pStyle w:val="ListParagraph"/>
        <w:numPr>
          <w:ilvl w:val="0"/>
          <w:numId w:val="2"/>
        </w:numPr>
        <w:spacing w:before="60" w:after="60" w:line="276" w:lineRule="auto"/>
      </w:pPr>
      <w:r>
        <w:rPr>
          <w:color w:val="000000"/>
        </w:rPr>
        <w:t>Penalties: Both frameworks carry substantial financial risk. GDPR allows up to €20M or 4% of global turnover; DPDP Act allows up to ₹250 crore per breach incident.</w:t>
      </w:r>
    </w:p>
    <w:p w:rsidR="00754BA7" w:rsidRDefault="003E3BF9">
      <w:pPr>
        <w:pStyle w:val="Heading2"/>
        <w:spacing w:before="240" w:after="120"/>
      </w:pPr>
      <w:r>
        <w:t>4.5 Comparison with Manual Audits</w:t>
      </w:r>
    </w:p>
    <w:p w:rsidR="00754BA7" w:rsidRDefault="003E3BF9">
      <w:pPr>
        <w:spacing w:before="80" w:after="80" w:line="276" w:lineRule="auto"/>
        <w:jc w:val="both"/>
      </w:pPr>
      <w:r>
        <w:rPr>
          <w:color w:val="000000"/>
        </w:rPr>
        <w:t>To assess the system's effectiveness relative to traditional approaches, the AI audit results were compared against a manual compliance review of the same sample organization conducted by reviewers familiar with GDPR and DPDP Act requirements:</w:t>
      </w:r>
    </w:p>
    <w:p w:rsidR="00754BA7" w:rsidRDefault="00754BA7">
      <w:pPr>
        <w:spacing w:line="276" w:lineRule="auto"/>
        <w:jc w:val="both"/>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3120"/>
        <w:gridCol w:w="3120"/>
      </w:tblGrid>
      <w:tr w:rsidR="00754BA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vAlign w:val="center"/>
          </w:tcPr>
          <w:p w:rsidR="00754BA7" w:rsidRDefault="003E3BF9">
            <w:pPr>
              <w:jc w:val="center"/>
            </w:pPr>
            <w:r>
              <w:rPr>
                <w:b/>
                <w:bCs/>
                <w:color w:val="FFFFFF"/>
                <w:sz w:val="22"/>
                <w:szCs w:val="22"/>
              </w:rPr>
              <w:t>Metric</w:t>
            </w:r>
          </w:p>
        </w:tc>
        <w:tc>
          <w:tcPr>
            <w:tcW w:w="312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vAlign w:val="center"/>
          </w:tcPr>
          <w:p w:rsidR="00754BA7" w:rsidRDefault="003E3BF9">
            <w:pPr>
              <w:jc w:val="center"/>
            </w:pPr>
            <w:r>
              <w:rPr>
                <w:b/>
                <w:bCs/>
                <w:color w:val="FFFFFF"/>
                <w:sz w:val="22"/>
                <w:szCs w:val="22"/>
              </w:rPr>
              <w:t>AI System</w:t>
            </w:r>
          </w:p>
        </w:tc>
        <w:tc>
          <w:tcPr>
            <w:tcW w:w="312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vAlign w:val="center"/>
          </w:tcPr>
          <w:p w:rsidR="00754BA7" w:rsidRDefault="003E3BF9">
            <w:pPr>
              <w:jc w:val="center"/>
            </w:pPr>
            <w:r>
              <w:rPr>
                <w:b/>
                <w:bCs/>
                <w:color w:val="FFFFFF"/>
                <w:sz w:val="22"/>
                <w:szCs w:val="22"/>
              </w:rPr>
              <w:t>Manual Review</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Total Violations Identified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6 (Critical/High)</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8 (including 2 low)</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Regulation Citation Accuracy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100%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100%</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Remediation Quality (expert rated)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4.2 / 5.0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4.5 / 5.0</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Time to Complete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~45 seconds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~4–6 hours</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Estimated Cost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API usage fee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₹15,000–₹50,000+</w:t>
            </w:r>
          </w:p>
        </w:tc>
      </w:tr>
      <w:tr w:rsidR="00754BA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Coverage (GDPR + DPDP)</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Both frameworks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rsidR="00754BA7" w:rsidRDefault="003E3BF9">
            <w:pPr>
              <w:jc w:val="center"/>
            </w:pPr>
            <w:r>
              <w:rPr>
                <w:sz w:val="22"/>
                <w:szCs w:val="22"/>
              </w:rPr>
              <w:t>Both frameworks</w:t>
            </w:r>
          </w:p>
        </w:tc>
      </w:tr>
    </w:tbl>
    <w:p w:rsidR="00754BA7" w:rsidRDefault="003E3BF9">
      <w:pPr>
        <w:spacing w:before="60" w:after="120"/>
        <w:jc w:val="center"/>
      </w:pPr>
      <w:r>
        <w:rPr>
          <w:b/>
          <w:bCs/>
          <w:i/>
          <w:iCs/>
          <w:color w:val="404040"/>
          <w:sz w:val="22"/>
          <w:szCs w:val="22"/>
        </w:rPr>
        <w:t>Table 2-4: AI Audit vs Manual Audit Comparison</w:t>
      </w:r>
    </w:p>
    <w:p w:rsidR="00754BA7" w:rsidRDefault="00754BA7">
      <w:pPr>
        <w:spacing w:line="276" w:lineRule="auto"/>
        <w:jc w:val="both"/>
      </w:pPr>
    </w:p>
    <w:p w:rsidR="00754BA7" w:rsidRDefault="003E3BF9">
      <w:pPr>
        <w:spacing w:before="80" w:after="80" w:line="276" w:lineRule="auto"/>
        <w:jc w:val="both"/>
      </w:pPr>
      <w:r>
        <w:rPr>
          <w:color w:val="000000"/>
        </w:rPr>
        <w:t>The AI system identified all critical and high-severity violations found in the manual review, with a small number of low-severity items identified only in the manual review. Regulatory citation accuracy was equivalent, and remediation guidance quality was rated only marginally below the manual review. The most significant advantage of the AI system is the reduction in assessment time from hours to under a minute, at a fraction of the cost.</w:t>
      </w:r>
    </w:p>
    <w:p w:rsidR="00754BA7" w:rsidRDefault="003E3BF9">
      <w:r>
        <w:br w:type="page"/>
      </w:r>
    </w:p>
    <w:p w:rsidR="00754BA7" w:rsidRDefault="003E3BF9">
      <w:pPr>
        <w:pStyle w:val="Heading1"/>
      </w:pPr>
      <w:r>
        <w:lastRenderedPageBreak/>
        <w:t>Chapter 5 — Conclusion and Future Work</w:t>
      </w:r>
    </w:p>
    <w:p w:rsidR="00754BA7" w:rsidRDefault="00754BA7">
      <w:pPr>
        <w:pBdr>
          <w:bottom w:val="single" w:sz="6" w:space="1" w:color="2E74B5"/>
        </w:pBdr>
        <w:spacing w:before="80" w:after="80"/>
      </w:pPr>
    </w:p>
    <w:p w:rsidR="00754BA7" w:rsidRDefault="00754BA7">
      <w:pPr>
        <w:spacing w:line="276" w:lineRule="auto"/>
        <w:jc w:val="both"/>
      </w:pPr>
    </w:p>
    <w:p w:rsidR="00754BA7" w:rsidRDefault="003E3BF9">
      <w:pPr>
        <w:spacing w:before="80" w:after="80" w:line="276" w:lineRule="auto"/>
        <w:jc w:val="both"/>
      </w:pPr>
      <w:r>
        <w:rPr>
          <w:color w:val="000000"/>
        </w:rPr>
        <w:t>This chapter summarizes the overall findings of the project, highlights the effectiveness of the proposed AI-powered privacy compliance audit system, discusses its limitations, and suggests future enhancements. The results demonstrate that LLM-based compliance analysis can deliver expert-quality assessment at a fraction of the time and cost of traditional manual approaches.</w:t>
      </w:r>
    </w:p>
    <w:p w:rsidR="00754BA7" w:rsidRDefault="003E3BF9">
      <w:pPr>
        <w:pStyle w:val="Heading2"/>
        <w:spacing w:before="240" w:after="120"/>
      </w:pPr>
      <w:r>
        <w:t>5.1 Summary of Findings</w:t>
      </w:r>
    </w:p>
    <w:p w:rsidR="00754BA7" w:rsidRDefault="003E3BF9">
      <w:pPr>
        <w:pStyle w:val="ListParagraph"/>
        <w:numPr>
          <w:ilvl w:val="0"/>
          <w:numId w:val="2"/>
        </w:numPr>
        <w:spacing w:before="60" w:after="60" w:line="276" w:lineRule="auto"/>
      </w:pPr>
      <w:r>
        <w:rPr>
          <w:color w:val="000000"/>
        </w:rPr>
        <w:t>The AI-Powered Privacy Compliance Audit System successfully performs comprehensive dual-framework compliance assessment against GDPR and India's DPDP Act 2023.</w:t>
      </w:r>
    </w:p>
    <w:p w:rsidR="00754BA7" w:rsidRDefault="003E3BF9">
      <w:pPr>
        <w:pStyle w:val="ListParagraph"/>
        <w:numPr>
          <w:ilvl w:val="0"/>
          <w:numId w:val="2"/>
        </w:numPr>
        <w:spacing w:before="60" w:after="60" w:line="276" w:lineRule="auto"/>
      </w:pPr>
      <w:r>
        <w:rPr>
          <w:color w:val="000000"/>
        </w:rPr>
        <w:t xml:space="preserve">The AI Audit Engine correctly identifies critical, high, medium, and low severity violations with accurate regulatory citations </w:t>
      </w:r>
      <w:r w:rsidR="00DA72A0">
        <w:rPr>
          <w:color w:val="000000"/>
        </w:rPr>
        <w:t>.</w:t>
      </w:r>
    </w:p>
    <w:p w:rsidR="00754BA7" w:rsidRDefault="003E3BF9">
      <w:pPr>
        <w:pStyle w:val="ListParagraph"/>
        <w:numPr>
          <w:ilvl w:val="0"/>
          <w:numId w:val="2"/>
        </w:numPr>
        <w:spacing w:before="60" w:after="60" w:line="276" w:lineRule="auto"/>
      </w:pPr>
      <w:r>
        <w:rPr>
          <w:color w:val="000000"/>
        </w:rPr>
        <w:t>The Policy Analyzer effectively detects deficiencies in privacy policies including missing required elements, vague clauses, and regulatory non-compliance.</w:t>
      </w:r>
    </w:p>
    <w:p w:rsidR="00754BA7" w:rsidRDefault="003E3BF9">
      <w:pPr>
        <w:pStyle w:val="ListParagraph"/>
        <w:numPr>
          <w:ilvl w:val="0"/>
          <w:numId w:val="2"/>
        </w:numPr>
        <w:spacing w:before="60" w:after="60" w:line="276" w:lineRule="auto"/>
      </w:pPr>
      <w:r>
        <w:rPr>
          <w:color w:val="000000"/>
        </w:rPr>
        <w:t>The Compliance Map provides a valuable reference resource for organizations navigating dual-jurisdiction compliance requirements.</w:t>
      </w:r>
    </w:p>
    <w:p w:rsidR="00754BA7" w:rsidRDefault="003E3BF9">
      <w:pPr>
        <w:pStyle w:val="ListParagraph"/>
        <w:numPr>
          <w:ilvl w:val="0"/>
          <w:numId w:val="2"/>
        </w:numPr>
        <w:spacing w:before="60" w:after="60" w:line="276" w:lineRule="auto"/>
      </w:pPr>
      <w:r>
        <w:rPr>
          <w:color w:val="000000"/>
        </w:rPr>
        <w:t>The AI Compliance Chatbot successfully provides contextual regulatory guidance with appropriate regulation references.</w:t>
      </w:r>
    </w:p>
    <w:p w:rsidR="00754BA7" w:rsidRDefault="003E3BF9">
      <w:pPr>
        <w:pStyle w:val="ListParagraph"/>
        <w:numPr>
          <w:ilvl w:val="0"/>
          <w:numId w:val="2"/>
        </w:numPr>
        <w:spacing w:before="60" w:after="60" w:line="276" w:lineRule="auto"/>
      </w:pPr>
      <w:r>
        <w:rPr>
          <w:color w:val="000000"/>
        </w:rPr>
        <w:t>The system reduces compliance assessment time from 4–6 hours to under 1 minute while maintaining comparable quality to manual review.</w:t>
      </w:r>
    </w:p>
    <w:p w:rsidR="00754BA7" w:rsidRDefault="003E3BF9">
      <w:pPr>
        <w:pStyle w:val="ListParagraph"/>
        <w:numPr>
          <w:ilvl w:val="0"/>
          <w:numId w:val="2"/>
        </w:numPr>
        <w:spacing w:before="60" w:after="60" w:line="276" w:lineRule="auto"/>
      </w:pPr>
      <w:r>
        <w:rPr>
          <w:color w:val="000000"/>
        </w:rPr>
        <w:t>The system generates actionable remediation roadmaps with phased timelines appropriate to violation severity.</w:t>
      </w:r>
    </w:p>
    <w:p w:rsidR="00754BA7" w:rsidRDefault="003E3BF9">
      <w:pPr>
        <w:pStyle w:val="ListParagraph"/>
        <w:numPr>
          <w:ilvl w:val="0"/>
          <w:numId w:val="2"/>
        </w:numPr>
        <w:spacing w:before="60" w:after="60" w:line="276" w:lineRule="auto"/>
      </w:pPr>
      <w:r>
        <w:rPr>
          <w:color w:val="000000"/>
        </w:rPr>
        <w:t>The full-stack architecture demonstrates a viable pattern for AI-powered legal compliance tooling.</w:t>
      </w:r>
    </w:p>
    <w:p w:rsidR="00754BA7" w:rsidRDefault="003E3BF9">
      <w:pPr>
        <w:pStyle w:val="Heading2"/>
        <w:spacing w:before="240" w:after="120"/>
      </w:pPr>
      <w:r>
        <w:t>5.2 Limitations</w:t>
      </w:r>
    </w:p>
    <w:p w:rsidR="00754BA7" w:rsidRDefault="003E3BF9">
      <w:pPr>
        <w:pStyle w:val="ListParagraph"/>
        <w:numPr>
          <w:ilvl w:val="0"/>
          <w:numId w:val="2"/>
        </w:numPr>
        <w:spacing w:before="60" w:after="60" w:line="276" w:lineRule="auto"/>
      </w:pPr>
      <w:r>
        <w:rPr>
          <w:color w:val="000000"/>
        </w:rPr>
        <w:t>The system's accuracy depends on the quality and completeness of the organizational context provided — vague or incomplete inputs produce less precise audit results.</w:t>
      </w:r>
    </w:p>
    <w:p w:rsidR="00754BA7" w:rsidRDefault="003E3BF9">
      <w:pPr>
        <w:pStyle w:val="ListParagraph"/>
        <w:numPr>
          <w:ilvl w:val="0"/>
          <w:numId w:val="2"/>
        </w:numPr>
        <w:spacing w:before="60" w:after="60" w:line="276" w:lineRule="auto"/>
      </w:pPr>
      <w:r>
        <w:rPr>
          <w:color w:val="000000"/>
        </w:rPr>
        <w:t>LLMs can occasionally produce regulatory citations with minor inaccuracies (hallucination risk), necessitating expert review of high-stakes compliance decisions.</w:t>
      </w:r>
    </w:p>
    <w:p w:rsidR="00754BA7" w:rsidRDefault="003E3BF9">
      <w:pPr>
        <w:pStyle w:val="ListParagraph"/>
        <w:numPr>
          <w:ilvl w:val="0"/>
          <w:numId w:val="2"/>
        </w:numPr>
        <w:spacing w:before="60" w:after="60" w:line="276" w:lineRule="auto"/>
      </w:pPr>
      <w:r>
        <w:rPr>
          <w:color w:val="000000"/>
        </w:rPr>
        <w:t>The DPDP Act 2023 is in its implementing rules phase; several provisions (breach notification timeline, sensitive data categories, approved transfer countries) are pending rules notification and the system's analysis in these areas will require updating as rules are issued.</w:t>
      </w:r>
    </w:p>
    <w:p w:rsidR="00754BA7" w:rsidRDefault="003E3BF9">
      <w:pPr>
        <w:pStyle w:val="ListParagraph"/>
        <w:numPr>
          <w:ilvl w:val="0"/>
          <w:numId w:val="2"/>
        </w:numPr>
        <w:spacing w:before="60" w:after="60" w:line="276" w:lineRule="auto"/>
      </w:pPr>
      <w:r>
        <w:rPr>
          <w:color w:val="000000"/>
        </w:rPr>
        <w:lastRenderedPageBreak/>
        <w:t>The system does not perform automated technical auditing of systems, code, or data flows — it is limited to text-based analysis of organizational descriptions and privacy documents.</w:t>
      </w:r>
    </w:p>
    <w:p w:rsidR="00754BA7" w:rsidRDefault="003E3BF9">
      <w:pPr>
        <w:pStyle w:val="ListParagraph"/>
        <w:numPr>
          <w:ilvl w:val="0"/>
          <w:numId w:val="2"/>
        </w:numPr>
        <w:spacing w:before="60" w:after="60" w:line="276" w:lineRule="auto"/>
      </w:pPr>
      <w:r>
        <w:rPr>
          <w:color w:val="000000"/>
        </w:rPr>
        <w:t>In-memory data persistence in the current implementation does not support long-term audit history storage; production deployment requires database integration.</w:t>
      </w:r>
    </w:p>
    <w:p w:rsidR="00754BA7" w:rsidRDefault="003E3BF9">
      <w:pPr>
        <w:pStyle w:val="ListParagraph"/>
        <w:numPr>
          <w:ilvl w:val="0"/>
          <w:numId w:val="2"/>
        </w:numPr>
        <w:spacing w:before="60" w:after="60" w:line="276" w:lineRule="auto"/>
      </w:pPr>
      <w:r>
        <w:rPr>
          <w:color w:val="000000"/>
        </w:rPr>
        <w:t>The system does not constitute legal advice and cannot replace qualified legal counsel for complex compliance scenarios or enforcement response.</w:t>
      </w:r>
    </w:p>
    <w:p w:rsidR="00754BA7" w:rsidRDefault="003E3BF9">
      <w:pPr>
        <w:pStyle w:val="Heading2"/>
        <w:spacing w:before="240" w:after="120"/>
      </w:pPr>
      <w:r>
        <w:t>5.3 Future Enhancements</w:t>
      </w:r>
    </w:p>
    <w:p w:rsidR="00754BA7" w:rsidRDefault="003E3BF9">
      <w:pPr>
        <w:pStyle w:val="ListParagraph"/>
        <w:numPr>
          <w:ilvl w:val="0"/>
          <w:numId w:val="2"/>
        </w:numPr>
        <w:spacing w:before="60" w:after="60" w:line="276" w:lineRule="auto"/>
      </w:pPr>
      <w:r>
        <w:rPr>
          <w:color w:val="000000"/>
        </w:rPr>
        <w:t>Extend framework coverage to additional regulations including CCPA (California), PDPA (Singapore), PIPEDA (Canada), and sector-specific Indian regulations (DISHA health data framework, RBI data localization).</w:t>
      </w:r>
    </w:p>
    <w:p w:rsidR="00754BA7" w:rsidRDefault="003E3BF9">
      <w:pPr>
        <w:pStyle w:val="ListParagraph"/>
        <w:numPr>
          <w:ilvl w:val="0"/>
          <w:numId w:val="2"/>
        </w:numPr>
        <w:spacing w:before="60" w:after="60" w:line="276" w:lineRule="auto"/>
      </w:pPr>
      <w:r>
        <w:rPr>
          <w:color w:val="000000"/>
        </w:rPr>
        <w:t>Implement automated privacy policy URL fetching and analysis, enabling real-time policy assessment without manual text copying.</w:t>
      </w:r>
    </w:p>
    <w:p w:rsidR="00754BA7" w:rsidRDefault="003E3BF9">
      <w:pPr>
        <w:pStyle w:val="ListParagraph"/>
        <w:numPr>
          <w:ilvl w:val="0"/>
          <w:numId w:val="2"/>
        </w:numPr>
        <w:spacing w:before="60" w:after="60" w:line="276" w:lineRule="auto"/>
      </w:pPr>
      <w:r>
        <w:rPr>
          <w:color w:val="000000"/>
        </w:rPr>
        <w:t>Integrate technical compliance scanning capabilities including cookie consent mechanism detection, privacy policy link presence, and data transfer endpoint identification.</w:t>
      </w:r>
    </w:p>
    <w:p w:rsidR="00754BA7" w:rsidRDefault="003E3BF9">
      <w:pPr>
        <w:pStyle w:val="ListParagraph"/>
        <w:numPr>
          <w:ilvl w:val="0"/>
          <w:numId w:val="2"/>
        </w:numPr>
        <w:spacing w:before="60" w:after="60" w:line="276" w:lineRule="auto"/>
      </w:pPr>
      <w:r>
        <w:rPr>
          <w:color w:val="000000"/>
        </w:rPr>
        <w:t>Develop a Data Subject Request (DSR) management workflow module enabling organizations to track and fulfill access, erasure, and correction requests.</w:t>
      </w:r>
    </w:p>
    <w:p w:rsidR="00754BA7" w:rsidRDefault="003E3BF9">
      <w:pPr>
        <w:pStyle w:val="ListParagraph"/>
        <w:numPr>
          <w:ilvl w:val="0"/>
          <w:numId w:val="2"/>
        </w:numPr>
        <w:spacing w:before="60" w:after="60" w:line="276" w:lineRule="auto"/>
      </w:pPr>
      <w:r>
        <w:rPr>
          <w:color w:val="000000"/>
        </w:rPr>
        <w:t>Implement database persistence (PostgreSQL) for long-term audit history, trend analysis, and compliance progress tracking.</w:t>
      </w:r>
    </w:p>
    <w:p w:rsidR="00754BA7" w:rsidRDefault="003E3BF9">
      <w:pPr>
        <w:pStyle w:val="ListParagraph"/>
        <w:numPr>
          <w:ilvl w:val="0"/>
          <w:numId w:val="2"/>
        </w:numPr>
        <w:spacing w:before="60" w:after="60" w:line="276" w:lineRule="auto"/>
      </w:pPr>
      <w:r>
        <w:rPr>
          <w:color w:val="000000"/>
        </w:rPr>
        <w:t>Add multi-language support for privacy policy analysis, enabling assessment of policies in Hindi and other Indian languages as required by DPDP Act multilingual notice provisions.</w:t>
      </w:r>
    </w:p>
    <w:p w:rsidR="00754BA7" w:rsidRDefault="003E3BF9">
      <w:pPr>
        <w:pStyle w:val="ListParagraph"/>
        <w:numPr>
          <w:ilvl w:val="0"/>
          <w:numId w:val="2"/>
        </w:numPr>
        <w:spacing w:before="60" w:after="60" w:line="276" w:lineRule="auto"/>
      </w:pPr>
      <w:r>
        <w:rPr>
          <w:color w:val="000000"/>
        </w:rPr>
        <w:t>Build an API-based integration layer enabling connection to existing GRC (Governance, Risk, and Compliance) platforms.</w:t>
      </w:r>
    </w:p>
    <w:p w:rsidR="00754BA7" w:rsidRDefault="003E3BF9">
      <w:pPr>
        <w:pStyle w:val="ListParagraph"/>
        <w:numPr>
          <w:ilvl w:val="0"/>
          <w:numId w:val="2"/>
        </w:numPr>
        <w:spacing w:before="60" w:after="60" w:line="276" w:lineRule="auto"/>
      </w:pPr>
      <w:r>
        <w:rPr>
          <w:color w:val="000000"/>
        </w:rPr>
        <w:t>Implement scheduled automated re-auditing with change detection to alert organizations when regulatory updates affect their compliance posture.</w:t>
      </w:r>
    </w:p>
    <w:p w:rsidR="00754BA7" w:rsidRDefault="003E3BF9">
      <w:pPr>
        <w:pStyle w:val="ListParagraph"/>
        <w:numPr>
          <w:ilvl w:val="0"/>
          <w:numId w:val="2"/>
        </w:numPr>
        <w:spacing w:before="60" w:after="60" w:line="276" w:lineRule="auto"/>
      </w:pPr>
      <w:r>
        <w:rPr>
          <w:color w:val="000000"/>
        </w:rPr>
        <w:t>Add a Document Generation module producing ready-to-use compliant privacy notices, DPA templates, and consent forms based on organizational context.</w:t>
      </w:r>
    </w:p>
    <w:p w:rsidR="00754BA7" w:rsidRDefault="003E3BF9">
      <w:r>
        <w:br w:type="page"/>
      </w:r>
    </w:p>
    <w:p w:rsidR="00754BA7" w:rsidRDefault="003E3BF9">
      <w:pPr>
        <w:pStyle w:val="Heading1"/>
      </w:pPr>
      <w:r>
        <w:lastRenderedPageBreak/>
        <w:t>References</w:t>
      </w:r>
    </w:p>
    <w:p w:rsidR="00754BA7" w:rsidRDefault="00754BA7">
      <w:pPr>
        <w:pBdr>
          <w:bottom w:val="single" w:sz="6" w:space="1" w:color="2E74B5"/>
        </w:pBdr>
        <w:spacing w:before="80" w:after="80"/>
      </w:pPr>
    </w:p>
    <w:p w:rsidR="00754BA7" w:rsidRDefault="00754BA7">
      <w:pPr>
        <w:spacing w:line="276" w:lineRule="auto"/>
        <w:jc w:val="both"/>
      </w:pPr>
    </w:p>
    <w:p w:rsidR="00754BA7" w:rsidRDefault="003E3BF9">
      <w:pPr>
        <w:spacing w:before="80" w:after="80" w:line="276" w:lineRule="auto"/>
        <w:ind w:left="360" w:hanging="360"/>
      </w:pPr>
      <w:r>
        <w:rPr>
          <w:sz w:val="22"/>
          <w:szCs w:val="22"/>
        </w:rPr>
        <w:t>[1] European Parliament and Council, "Regulation (EU) 2016/679 of the European Parliament and of the Council of 27 April 2016 on the protection of natural persons with regard to the processing of personal data," Official Journal of the European Union, L 119, pp. 1–88, May 2016.</w:t>
      </w:r>
    </w:p>
    <w:p w:rsidR="00754BA7" w:rsidRDefault="003E3BF9">
      <w:pPr>
        <w:spacing w:before="80" w:after="80" w:line="276" w:lineRule="auto"/>
        <w:ind w:left="360" w:hanging="360"/>
      </w:pPr>
      <w:r>
        <w:rPr>
          <w:sz w:val="22"/>
          <w:szCs w:val="22"/>
        </w:rPr>
        <w:t>[2] Ministry of Electronics and Information Technology, Government of India, "The Digital Personal Data Protection Act, 2023," Gazette of India Extraordinary, Part II, Section 1, August 2023.</w:t>
      </w:r>
    </w:p>
    <w:p w:rsidR="00754BA7" w:rsidRDefault="003E3BF9">
      <w:pPr>
        <w:spacing w:before="80" w:after="80" w:line="276" w:lineRule="auto"/>
        <w:ind w:left="360" w:hanging="360"/>
      </w:pPr>
      <w:r>
        <w:rPr>
          <w:sz w:val="22"/>
          <w:szCs w:val="22"/>
        </w:rPr>
        <w:t>[3] M. R. Sanfilippo, B. Shvartzshnaider, I. Reyes, H. Nissenbaum, and S. Egelman, "Disaster privacy/privacy disaster," Journal of the Association for Information Science and Technology, vol. 71, no. 9, pp. 1002–1014, 2020.</w:t>
      </w:r>
    </w:p>
    <w:p w:rsidR="00754BA7" w:rsidRDefault="003E3BF9">
      <w:pPr>
        <w:spacing w:before="80" w:after="80" w:line="276" w:lineRule="auto"/>
        <w:ind w:left="360" w:hanging="360"/>
      </w:pPr>
      <w:r>
        <w:rPr>
          <w:sz w:val="22"/>
          <w:szCs w:val="22"/>
        </w:rPr>
        <w:t>[4] T. Linden, R. Bhagavatula, R. Albert, D. Tosh, L. Bauer, L. Cranor, and N. Sadeh, "Privacy Expectations and Preferences in an IoT World," in Proc. 13th Symposium on Usable Privacy and Security (SOUPS), 2017.</w:t>
      </w:r>
    </w:p>
    <w:p w:rsidR="00754BA7" w:rsidRDefault="003E3BF9">
      <w:pPr>
        <w:spacing w:before="80" w:after="80" w:line="276" w:lineRule="auto"/>
        <w:ind w:left="360" w:hanging="360"/>
      </w:pPr>
      <w:r>
        <w:rPr>
          <w:sz w:val="22"/>
          <w:szCs w:val="22"/>
        </w:rPr>
        <w:t>[5] M. Bommarito and D. M. Katz, "GPT Takes the Bar Exam," arXiv preprint arXiv:2212.14402, 2022.</w:t>
      </w:r>
    </w:p>
    <w:p w:rsidR="00754BA7" w:rsidRDefault="003E3BF9">
      <w:pPr>
        <w:spacing w:before="80" w:after="80" w:line="276" w:lineRule="auto"/>
        <w:ind w:left="360" w:hanging="360"/>
      </w:pPr>
      <w:r>
        <w:rPr>
          <w:sz w:val="22"/>
          <w:szCs w:val="22"/>
        </w:rPr>
        <w:t>[6] M. Ramanath, F. Torabi, N. Sadeh, and F. Schaub, "Unsupervised Extraction of Privacy Policies," in Proc. 26th Int. Conf. on Computational Linguistics, Osaka, Japan, 2016, pp. 2658–2669.</w:t>
      </w:r>
    </w:p>
    <w:p w:rsidR="00754BA7" w:rsidRDefault="003E3BF9">
      <w:pPr>
        <w:spacing w:before="80" w:after="80" w:line="276" w:lineRule="auto"/>
        <w:ind w:left="360" w:hanging="360"/>
      </w:pPr>
      <w:r>
        <w:rPr>
          <w:sz w:val="22"/>
          <w:szCs w:val="22"/>
        </w:rPr>
        <w:t>[7] Anthropic, "Claude API Documentation," Anthropic Technical Documentation, 2024. [Online]. Available: https://docs.anthropic.com</w:t>
      </w:r>
    </w:p>
    <w:p w:rsidR="00754BA7" w:rsidRDefault="003E3BF9">
      <w:pPr>
        <w:spacing w:before="80" w:after="80" w:line="276" w:lineRule="auto"/>
        <w:ind w:left="360" w:hanging="360"/>
      </w:pPr>
      <w:r>
        <w:rPr>
          <w:sz w:val="22"/>
          <w:szCs w:val="22"/>
        </w:rPr>
        <w:t>[8] I. Goldberg, D. Austin, and A. Bhaskaran, "PrivacyCheck: Automatic Summarization of Web Privacy Policies," in Proc. 25th Int. Conf. Companion on World Wide Web (WWW), 2016, pp. 1167–1172.</w:t>
      </w:r>
    </w:p>
    <w:sectPr w:rsidR="00754BA7" w:rsidSect="00754BA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86E1B" w:rsidRDefault="00C86E1B" w:rsidP="00754BA7">
      <w:r>
        <w:separator/>
      </w:r>
    </w:p>
  </w:endnote>
  <w:endnote w:type="continuationSeparator" w:id="1">
    <w:p w:rsidR="00C86E1B" w:rsidRDefault="00C86E1B" w:rsidP="00754BA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4BA7" w:rsidRDefault="003E3BF9">
    <w:pPr>
      <w:pBdr>
        <w:top w:val="single" w:sz="6" w:space="1" w:color="2E74B5"/>
      </w:pBdr>
      <w:tabs>
        <w:tab w:val="right" w:pos="9360"/>
      </w:tabs>
      <w:spacing w:before="80"/>
    </w:pPr>
    <w:r>
      <w:rPr>
        <w:color w:val="404040"/>
        <w:sz w:val="18"/>
        <w:szCs w:val="18"/>
      </w:rPr>
      <w:t>Department of AI &amp; Data Science</w:t>
    </w:r>
    <w:r>
      <w:rPr>
        <w:sz w:val="18"/>
        <w:szCs w:val="18"/>
      </w:rPr>
      <w:tab/>
    </w:r>
    <w:r w:rsidR="00AE6804">
      <w:rPr>
        <w:sz w:val="18"/>
        <w:szCs w:val="18"/>
      </w:rPr>
      <w:fldChar w:fldCharType="begin"/>
    </w:r>
    <w:r>
      <w:rPr>
        <w:sz w:val="18"/>
        <w:szCs w:val="18"/>
      </w:rPr>
      <w:instrText>PAGE</w:instrText>
    </w:r>
    <w:r w:rsidR="00AE6804">
      <w:rPr>
        <w:sz w:val="18"/>
        <w:szCs w:val="18"/>
      </w:rPr>
      <w:fldChar w:fldCharType="separate"/>
    </w:r>
    <w:r w:rsidR="00DD0B80">
      <w:rPr>
        <w:noProof/>
        <w:sz w:val="18"/>
        <w:szCs w:val="18"/>
      </w:rPr>
      <w:t>1</w:t>
    </w:r>
    <w:r w:rsidR="00AE6804">
      <w:rPr>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86E1B" w:rsidRDefault="00C86E1B" w:rsidP="00754BA7">
      <w:r>
        <w:separator/>
      </w:r>
    </w:p>
  </w:footnote>
  <w:footnote w:type="continuationSeparator" w:id="1">
    <w:p w:rsidR="00C86E1B" w:rsidRDefault="00C86E1B" w:rsidP="00754BA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4BA7" w:rsidRDefault="003E3BF9">
    <w:pPr>
      <w:pBdr>
        <w:bottom w:val="single" w:sz="6" w:space="1" w:color="2E74B5"/>
      </w:pBdr>
      <w:tabs>
        <w:tab w:val="right" w:pos="9360"/>
      </w:tabs>
      <w:spacing w:after="80"/>
    </w:pPr>
    <w:r>
      <w:rPr>
        <w:color w:val="404040"/>
        <w:sz w:val="18"/>
        <w:szCs w:val="18"/>
      </w:rPr>
      <w:t>AI-Powered Privacy Compliance Audit System</w:t>
    </w:r>
    <w:r>
      <w:rPr>
        <w:sz w:val="18"/>
        <w:szCs w:val="18"/>
      </w:rPr>
      <w:tab/>
    </w:r>
    <w:r>
      <w:rPr>
        <w:i/>
        <w:iCs/>
        <w:color w:val="2E74B5"/>
        <w:sz w:val="18"/>
        <w:szCs w:val="18"/>
      </w:rPr>
      <w:t>GDPR &amp; DPDP Act 2023</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3322C4"/>
    <w:multiLevelType w:val="hybridMultilevel"/>
    <w:tmpl w:val="EE2EE49E"/>
    <w:lvl w:ilvl="0" w:tplc="483A2A76">
      <w:start w:val="1"/>
      <w:numFmt w:val="bullet"/>
      <w:lvlText w:val="●"/>
      <w:lvlJc w:val="left"/>
      <w:pPr>
        <w:ind w:left="720" w:hanging="360"/>
      </w:pPr>
    </w:lvl>
    <w:lvl w:ilvl="1" w:tplc="353CCC5E">
      <w:start w:val="1"/>
      <w:numFmt w:val="bullet"/>
      <w:lvlText w:val="○"/>
      <w:lvlJc w:val="left"/>
      <w:pPr>
        <w:ind w:left="1440" w:hanging="360"/>
      </w:pPr>
    </w:lvl>
    <w:lvl w:ilvl="2" w:tplc="D004D54E">
      <w:start w:val="1"/>
      <w:numFmt w:val="bullet"/>
      <w:lvlText w:val="■"/>
      <w:lvlJc w:val="left"/>
      <w:pPr>
        <w:ind w:left="2160" w:hanging="360"/>
      </w:pPr>
    </w:lvl>
    <w:lvl w:ilvl="3" w:tplc="B44EA770">
      <w:start w:val="1"/>
      <w:numFmt w:val="bullet"/>
      <w:lvlText w:val="●"/>
      <w:lvlJc w:val="left"/>
      <w:pPr>
        <w:ind w:left="2880" w:hanging="360"/>
      </w:pPr>
    </w:lvl>
    <w:lvl w:ilvl="4" w:tplc="2872FB0C">
      <w:start w:val="1"/>
      <w:numFmt w:val="bullet"/>
      <w:lvlText w:val="○"/>
      <w:lvlJc w:val="left"/>
      <w:pPr>
        <w:ind w:left="3600" w:hanging="360"/>
      </w:pPr>
    </w:lvl>
    <w:lvl w:ilvl="5" w:tplc="A57C197A">
      <w:start w:val="1"/>
      <w:numFmt w:val="bullet"/>
      <w:lvlText w:val="■"/>
      <w:lvlJc w:val="left"/>
      <w:pPr>
        <w:ind w:left="4320" w:hanging="360"/>
      </w:pPr>
    </w:lvl>
    <w:lvl w:ilvl="6" w:tplc="9D8A4516">
      <w:start w:val="1"/>
      <w:numFmt w:val="bullet"/>
      <w:lvlText w:val="●"/>
      <w:lvlJc w:val="left"/>
      <w:pPr>
        <w:ind w:left="5040" w:hanging="360"/>
      </w:pPr>
    </w:lvl>
    <w:lvl w:ilvl="7" w:tplc="C0F03B18">
      <w:start w:val="1"/>
      <w:numFmt w:val="bullet"/>
      <w:lvlText w:val="●"/>
      <w:lvlJc w:val="left"/>
      <w:pPr>
        <w:ind w:left="5760" w:hanging="360"/>
      </w:pPr>
    </w:lvl>
    <w:lvl w:ilvl="8" w:tplc="6B9E2D88">
      <w:start w:val="1"/>
      <w:numFmt w:val="bullet"/>
      <w:lvlText w:val="●"/>
      <w:lvlJc w:val="left"/>
      <w:pPr>
        <w:ind w:left="6480" w:hanging="360"/>
      </w:pPr>
    </w:lvl>
  </w:abstractNum>
  <w:abstractNum w:abstractNumId="1">
    <w:nsid w:val="205C14AF"/>
    <w:multiLevelType w:val="hybridMultilevel"/>
    <w:tmpl w:val="54E405F4"/>
    <w:lvl w:ilvl="0" w:tplc="E4C86A22">
      <w:start w:val="1"/>
      <w:numFmt w:val="bullet"/>
      <w:lvlText w:val="•"/>
      <w:lvlJc w:val="left"/>
      <w:pPr>
        <w:ind w:left="720" w:hanging="360"/>
      </w:pPr>
    </w:lvl>
    <w:lvl w:ilvl="1" w:tplc="2692037A">
      <w:numFmt w:val="decimal"/>
      <w:lvlText w:val=""/>
      <w:lvlJc w:val="left"/>
    </w:lvl>
    <w:lvl w:ilvl="2" w:tplc="BE6260D0">
      <w:numFmt w:val="decimal"/>
      <w:lvlText w:val=""/>
      <w:lvlJc w:val="left"/>
    </w:lvl>
    <w:lvl w:ilvl="3" w:tplc="6E8A0BFA">
      <w:numFmt w:val="decimal"/>
      <w:lvlText w:val=""/>
      <w:lvlJc w:val="left"/>
    </w:lvl>
    <w:lvl w:ilvl="4" w:tplc="E5964D42">
      <w:numFmt w:val="decimal"/>
      <w:lvlText w:val=""/>
      <w:lvlJc w:val="left"/>
    </w:lvl>
    <w:lvl w:ilvl="5" w:tplc="4C303468">
      <w:numFmt w:val="decimal"/>
      <w:lvlText w:val=""/>
      <w:lvlJc w:val="left"/>
    </w:lvl>
    <w:lvl w:ilvl="6" w:tplc="C21EA04C">
      <w:numFmt w:val="decimal"/>
      <w:lvlText w:val=""/>
      <w:lvlJc w:val="left"/>
    </w:lvl>
    <w:lvl w:ilvl="7" w:tplc="0D6AF5B8">
      <w:numFmt w:val="decimal"/>
      <w:lvlText w:val=""/>
      <w:lvlJc w:val="left"/>
    </w:lvl>
    <w:lvl w:ilvl="8" w:tplc="4F2CC93A">
      <w:numFmt w:val="decimal"/>
      <w:lvlText w:val=""/>
      <w:lvlJc w:val="left"/>
    </w:lvl>
  </w:abstractNum>
  <w:abstractNum w:abstractNumId="2">
    <w:nsid w:val="332834B3"/>
    <w:multiLevelType w:val="hybridMultilevel"/>
    <w:tmpl w:val="D3DE67D6"/>
    <w:lvl w:ilvl="0" w:tplc="135629A2">
      <w:start w:val="1"/>
      <w:numFmt w:val="decimal"/>
      <w:lvlText w:val="%1."/>
      <w:lvlJc w:val="left"/>
      <w:pPr>
        <w:ind w:left="720" w:hanging="360"/>
      </w:pPr>
    </w:lvl>
    <w:lvl w:ilvl="1" w:tplc="8B70F442">
      <w:numFmt w:val="decimal"/>
      <w:lvlText w:val=""/>
      <w:lvlJc w:val="left"/>
    </w:lvl>
    <w:lvl w:ilvl="2" w:tplc="20DC12E4">
      <w:numFmt w:val="decimal"/>
      <w:lvlText w:val=""/>
      <w:lvlJc w:val="left"/>
    </w:lvl>
    <w:lvl w:ilvl="3" w:tplc="20F8399E">
      <w:numFmt w:val="decimal"/>
      <w:lvlText w:val=""/>
      <w:lvlJc w:val="left"/>
    </w:lvl>
    <w:lvl w:ilvl="4" w:tplc="AAA4CFE2">
      <w:numFmt w:val="decimal"/>
      <w:lvlText w:val=""/>
      <w:lvlJc w:val="left"/>
    </w:lvl>
    <w:lvl w:ilvl="5" w:tplc="C908CE24">
      <w:numFmt w:val="decimal"/>
      <w:lvlText w:val=""/>
      <w:lvlJc w:val="left"/>
    </w:lvl>
    <w:lvl w:ilvl="6" w:tplc="BCC0847E">
      <w:numFmt w:val="decimal"/>
      <w:lvlText w:val=""/>
      <w:lvlJc w:val="left"/>
    </w:lvl>
    <w:lvl w:ilvl="7" w:tplc="37AE66F8">
      <w:numFmt w:val="decimal"/>
      <w:lvlText w:val=""/>
      <w:lvlJc w:val="left"/>
    </w:lvl>
    <w:lvl w:ilvl="8" w:tplc="ABC08B12">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8"/>
  <w:displayBackgroundShape/>
  <w:defaultTabStop w:val="720"/>
  <w:characterSpacingControl w:val="doNotCompress"/>
  <w:footnotePr>
    <w:footnote w:id="0"/>
    <w:footnote w:id="1"/>
  </w:footnotePr>
  <w:endnotePr>
    <w:endnote w:id="0"/>
    <w:endnote w:id="1"/>
  </w:endnotePr>
  <w:compat/>
  <w:rsids>
    <w:rsidRoot w:val="00754BA7"/>
    <w:rsid w:val="001551AD"/>
    <w:rsid w:val="002542A4"/>
    <w:rsid w:val="003E3BF9"/>
    <w:rsid w:val="004260A6"/>
    <w:rsid w:val="00622D04"/>
    <w:rsid w:val="00754BA7"/>
    <w:rsid w:val="00AE6804"/>
    <w:rsid w:val="00C83B03"/>
    <w:rsid w:val="00C86E1B"/>
    <w:rsid w:val="00CE0C76"/>
    <w:rsid w:val="00DA72A0"/>
    <w:rsid w:val="00DD0B80"/>
    <w:rsid w:val="00EA6C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6804"/>
  </w:style>
  <w:style w:type="paragraph" w:styleId="Heading1">
    <w:name w:val="heading 1"/>
    <w:qFormat/>
    <w:rsid w:val="00754BA7"/>
    <w:pPr>
      <w:spacing w:before="240" w:after="120"/>
      <w:outlineLvl w:val="0"/>
    </w:pPr>
    <w:rPr>
      <w:b/>
      <w:bCs/>
      <w:color w:val="2E74B5"/>
      <w:sz w:val="28"/>
      <w:szCs w:val="28"/>
    </w:rPr>
  </w:style>
  <w:style w:type="paragraph" w:styleId="Heading2">
    <w:name w:val="heading 2"/>
    <w:qFormat/>
    <w:rsid w:val="00754BA7"/>
    <w:pPr>
      <w:spacing w:before="200" w:after="100"/>
      <w:outlineLvl w:val="1"/>
    </w:pPr>
    <w:rPr>
      <w:b/>
      <w:bCs/>
      <w:color w:val="2E74B5"/>
      <w:sz w:val="26"/>
      <w:szCs w:val="26"/>
    </w:rPr>
  </w:style>
  <w:style w:type="paragraph" w:styleId="Heading3">
    <w:name w:val="heading 3"/>
    <w:qFormat/>
    <w:rsid w:val="00754BA7"/>
    <w:pPr>
      <w:spacing w:before="160" w:after="80"/>
      <w:outlineLvl w:val="2"/>
    </w:pPr>
    <w:rPr>
      <w:b/>
      <w:bCs/>
      <w:color w:val="404040"/>
    </w:rPr>
  </w:style>
  <w:style w:type="paragraph" w:styleId="Heading4">
    <w:name w:val="heading 4"/>
    <w:qFormat/>
    <w:rsid w:val="00754BA7"/>
    <w:pPr>
      <w:outlineLvl w:val="3"/>
    </w:pPr>
    <w:rPr>
      <w:i/>
      <w:iCs/>
      <w:color w:val="2E74B5"/>
    </w:rPr>
  </w:style>
  <w:style w:type="paragraph" w:styleId="Heading5">
    <w:name w:val="heading 5"/>
    <w:qFormat/>
    <w:rsid w:val="00754BA7"/>
    <w:pPr>
      <w:outlineLvl w:val="4"/>
    </w:pPr>
    <w:rPr>
      <w:color w:val="2E74B5"/>
    </w:rPr>
  </w:style>
  <w:style w:type="paragraph" w:styleId="Heading6">
    <w:name w:val="heading 6"/>
    <w:qFormat/>
    <w:rsid w:val="00754BA7"/>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754BA7"/>
    <w:rPr>
      <w:sz w:val="56"/>
      <w:szCs w:val="56"/>
    </w:rPr>
  </w:style>
  <w:style w:type="paragraph" w:customStyle="1" w:styleId="Strong1">
    <w:name w:val="Strong1"/>
    <w:qFormat/>
    <w:rsid w:val="00754BA7"/>
    <w:rPr>
      <w:b/>
      <w:bCs/>
    </w:rPr>
  </w:style>
  <w:style w:type="paragraph" w:styleId="ListParagraph">
    <w:name w:val="List Paragraph"/>
    <w:qFormat/>
    <w:rsid w:val="00754BA7"/>
  </w:style>
  <w:style w:type="character" w:styleId="Hyperlink">
    <w:name w:val="Hyperlink"/>
    <w:uiPriority w:val="99"/>
    <w:unhideWhenUsed/>
    <w:rsid w:val="00754BA7"/>
    <w:rPr>
      <w:color w:val="0563C1"/>
      <w:u w:val="single"/>
    </w:rPr>
  </w:style>
  <w:style w:type="character" w:styleId="FootnoteReference">
    <w:name w:val="footnote reference"/>
    <w:uiPriority w:val="99"/>
    <w:semiHidden/>
    <w:unhideWhenUsed/>
    <w:rsid w:val="00754BA7"/>
    <w:rPr>
      <w:vertAlign w:val="superscript"/>
    </w:rPr>
  </w:style>
  <w:style w:type="paragraph" w:styleId="FootnoteText">
    <w:name w:val="footnote text"/>
    <w:link w:val="FootnoteTextChar"/>
    <w:uiPriority w:val="99"/>
    <w:semiHidden/>
    <w:unhideWhenUsed/>
    <w:rsid w:val="00754BA7"/>
    <w:rPr>
      <w:sz w:val="20"/>
      <w:szCs w:val="20"/>
    </w:rPr>
  </w:style>
  <w:style w:type="character" w:customStyle="1" w:styleId="FootnoteTextChar">
    <w:name w:val="Footnote Text Char"/>
    <w:link w:val="FootnoteText"/>
    <w:uiPriority w:val="99"/>
    <w:semiHidden/>
    <w:unhideWhenUsed/>
    <w:rsid w:val="00754BA7"/>
    <w:rPr>
      <w:sz w:val="20"/>
      <w:szCs w:val="20"/>
    </w:rPr>
  </w:style>
  <w:style w:type="character" w:styleId="EndnoteReference">
    <w:name w:val="endnote reference"/>
    <w:uiPriority w:val="99"/>
    <w:semiHidden/>
    <w:unhideWhenUsed/>
    <w:rsid w:val="00754BA7"/>
    <w:rPr>
      <w:vertAlign w:val="superscript"/>
    </w:rPr>
  </w:style>
  <w:style w:type="paragraph" w:styleId="EndnoteText">
    <w:name w:val="endnote text"/>
    <w:link w:val="EndnoteTextChar"/>
    <w:uiPriority w:val="99"/>
    <w:semiHidden/>
    <w:unhideWhenUsed/>
    <w:rsid w:val="00754BA7"/>
    <w:rPr>
      <w:sz w:val="20"/>
      <w:szCs w:val="20"/>
    </w:rPr>
  </w:style>
  <w:style w:type="character" w:customStyle="1" w:styleId="EndnoteTextChar">
    <w:name w:val="Endnote Text Char"/>
    <w:link w:val="EndnoteText"/>
    <w:uiPriority w:val="99"/>
    <w:semiHidden/>
    <w:unhideWhenUsed/>
    <w:rsid w:val="00754BA7"/>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A0570F-60D6-492D-A202-619928C2E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24</Pages>
  <Words>6056</Words>
  <Characters>34521</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HERA ANAM</cp:lastModifiedBy>
  <cp:revision>4</cp:revision>
  <dcterms:created xsi:type="dcterms:W3CDTF">2026-06-15T13:39:00Z</dcterms:created>
  <dcterms:modified xsi:type="dcterms:W3CDTF">2026-06-15T18:19:00Z</dcterms:modified>
</cp:coreProperties>
</file>