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jc w:val="center"/>
      </w:pPr>
      <w:r>
        <w:rPr>
          <w:rFonts w:ascii="Times New Roman" w:hAnsi="Times New Roman"/>
          <w:b/>
          <w:sz w:val="28"/>
        </w:rPr>
        <w:t>London South Bank University</w:t>
      </w:r>
    </w:p>
    <w:p>
      <w:pPr>
        <w:jc w:val="center"/>
      </w:pPr>
      <w:r>
        <w:rPr>
          <w:rFonts w:ascii="Times New Roman" w:hAnsi="Times New Roman"/>
          <w:sz w:val="24"/>
        </w:rPr>
        <w:t>School of Engineering</w:t>
      </w:r>
    </w:p>
    <w:p>
      <w:pPr>
        <w:spacing w:after="720"/>
        <w:jc w:val="center"/>
      </w:pPr>
      <w:r>
        <w:rPr>
          <w:rFonts w:ascii="Times New Roman" w:hAnsi="Times New Roman"/>
          <w:i/>
          <w:sz w:val="24"/>
        </w:rPr>
        <w:t>CSI_7_SSE — Software and Systems Engineering</w:t>
      </w:r>
    </w:p>
    <w:p>
      <w:pPr>
        <w:spacing w:after="120"/>
        <w:jc w:val="center"/>
      </w:pPr>
      <w:r>
        <w:rPr>
          <w:rFonts w:ascii="Times New Roman" w:hAnsi="Times New Roman"/>
          <w:b/>
          <w:sz w:val="44"/>
        </w:rPr>
        <w:t>HousePredict AI</w:t>
      </w:r>
    </w:p>
    <w:p>
      <w:pPr>
        <w:spacing w:after="960"/>
        <w:jc w:val="center"/>
      </w:pPr>
      <w:r>
        <w:rPr>
          <w:rFonts w:ascii="Times New Roman" w:hAnsi="Times New Roman"/>
          <w:i/>
          <w:sz w:val="26"/>
        </w:rPr>
        <w:t>Full-Stack Machine Learning Property Price Prediction for England</w:t>
      </w:r>
    </w:p>
    <w:p>
      <w:pPr>
        <w:spacing w:before="0" w:after="40"/>
        <w:jc w:val="center"/>
      </w:pPr>
      <w:r>
        <w:rPr>
          <w:rFonts w:ascii="Times New Roman" w:hAnsi="Times New Roman"/>
          <w:sz w:val="24"/>
        </w:rPr>
        <w:t>Akif Hameed   |   Student ID: 4436513</w:t>
      </w:r>
    </w:p>
    <w:p>
      <w:pPr>
        <w:spacing w:before="0" w:after="40"/>
        <w:jc w:val="center"/>
      </w:pPr>
      <w:r>
        <w:rPr>
          <w:rFonts w:ascii="Times New Roman" w:hAnsi="Times New Roman"/>
          <w:sz w:val="24"/>
        </w:rPr>
        <w:t>Pooja Rani   |   Student ID: 4503094</w:t>
      </w:r>
    </w:p>
    <w:p>
      <w:pPr>
        <w:spacing w:before="0" w:after="40"/>
        <w:jc w:val="center"/>
      </w:pPr>
      <w:r>
        <w:rPr>
          <w:rFonts w:ascii="Times New Roman" w:hAnsi="Times New Roman"/>
          <w:sz w:val="24"/>
        </w:rPr>
        <w:t>Md Shamadul Islam   |   Student ID: 4426783</w:t>
      </w:r>
    </w:p>
    <w:p>
      <w:pPr>
        <w:spacing w:before="0" w:after="40"/>
        <w:jc w:val="center"/>
      </w:pPr>
      <w:r>
        <w:rPr>
          <w:rFonts w:ascii="Times New Roman" w:hAnsi="Times New Roman"/>
          <w:sz w:val="24"/>
        </w:rPr>
        <w:t>Dhiraj   |   Student ID: pending</w:t>
      </w:r>
    </w:p>
    <w:p>
      <w:pPr>
        <w:spacing w:before="480"/>
        <w:jc w:val="center"/>
      </w:pPr>
      <w:r>
        <w:rPr>
          <w:rFonts w:ascii="Times New Roman" w:hAnsi="Times New Roman"/>
          <w:sz w:val="22"/>
        </w:rPr>
        <w:t>Academic Year: 2025–2026</w:t>
      </w:r>
    </w:p>
    <w:p>
      <w:pPr>
        <w:jc w:val="center"/>
      </w:pPr>
      <w:r>
        <w:rPr>
          <w:rFonts w:ascii="Times New Roman" w:hAnsi="Times New Roman"/>
          <w:sz w:val="22"/>
        </w:rPr>
        <w:t>Submission Deadline: 1 May 2026</w:t>
      </w:r>
    </w:p>
    <w:p>
      <w:r>
        <w:br w:type="page"/>
      </w:r>
    </w:p>
    <w:p>
      <w:pPr>
        <w:pStyle w:val="Heading1"/>
        <w:spacing w:before="360" w:after="120"/>
        <w:jc w:val="left"/>
      </w:pPr>
      <w:r>
        <w:rPr>
          <w:rFonts w:ascii="Times New Roman" w:hAnsi="Times New Roman"/>
          <w:color w:val="000000"/>
          <w:sz w:val="28"/>
        </w:rPr>
        <w:t>Table of Contents</w:t>
      </w:r>
    </w:p>
    <w:p>
      <w:pPr>
        <w:spacing w:before="120" w:after="120"/>
      </w:pPr>
      <w:r>
        <w:fldChar w:fldCharType="begin"/>
        <w:instrText xml:space="preserve">TOC \o "1-2" \h \z \u</w:instrText>
        <w:fldChar w:fldCharType="separate"/>
        <w:fldChar w:fldCharType="end"/>
      </w:r>
    </w:p>
    <w:p>
      <w:r>
        <w:rPr>
          <w:rFonts w:ascii="Times New Roman" w:hAnsi="Times New Roman"/>
          <w:i/>
          <w:sz w:val="20"/>
        </w:rPr>
        <w:t>(Right-click and select 'Update Field' to refresh the Table of Contents.)</w:t>
      </w:r>
    </w:p>
    <w:p>
      <w:r>
        <w:br w:type="page"/>
      </w:r>
    </w:p>
    <w:p>
      <w:pPr>
        <w:pStyle w:val="Heading1"/>
        <w:spacing w:before="360" w:after="120"/>
        <w:jc w:val="left"/>
      </w:pPr>
      <w:r>
        <w:rPr>
          <w:rFonts w:ascii="Times New Roman" w:hAnsi="Times New Roman"/>
          <w:color w:val="000000"/>
          <w:sz w:val="28"/>
        </w:rPr>
        <w:t>1. Introduction</w:t>
      </w:r>
    </w:p>
    <w:p>
      <w:pPr>
        <w:spacing w:before="0" w:after="120" w:line="360" w:lineRule="auto"/>
        <w:jc w:val="both"/>
      </w:pPr>
      <w:r>
        <w:rPr>
          <w:rFonts w:ascii="Times New Roman" w:hAnsi="Times New Roman"/>
          <w:b w:val="0"/>
          <w:i w:val="0"/>
          <w:sz w:val="24"/>
        </w:rPr>
        <w:t>The United Kingdom residential property market is one of the largest and most complex asset classes in the national economy, yet it remains characterised by significant information asymmetry. Buyers and sellers routinely make decisions involving hundreds of thousands of pounds with limited access to objective, data-driven valuations. Traditional estate agent appraisals are subject to anchoring bias and commercial incentive, while published house price indices — such as those produced by HM Land Registry and Nationwide — are retrospective and aggregated to broad geographies, offering little utility for individual transaction guidance (Clapp and Giaccotto, 1992).</w:t>
      </w:r>
    </w:p>
    <w:p>
      <w:pPr>
        <w:spacing w:before="0" w:after="120" w:line="360" w:lineRule="auto"/>
        <w:jc w:val="both"/>
      </w:pPr>
      <w:r>
        <w:rPr>
          <w:rFonts w:ascii="Times New Roman" w:hAnsi="Times New Roman"/>
          <w:b w:val="0"/>
          <w:i w:val="0"/>
          <w:sz w:val="24"/>
        </w:rPr>
        <w:t>Automated Valuation Models (AVMs) have emerged in both academic and commercial settings as a means of providing rapid, repeatable, and data-grounded property price estimates. Early approaches relied on hedonic regression, but ensemble machine learning methods — in particular gradient-boosted decision trees — have demonstrated markedly superior predictive accuracy on large, heterogeneous real estate datasets (Antipov and Pokryshevskaya, 2012; Park and Bae, 2015). The combination of tabular property attributes, geographic context, macroeconomic indicators, and energy performance data creates a rich, high-dimensional feature space that gradient boosting methods navigate efficiently (Ke et al., 2017).</w:t>
      </w:r>
    </w:p>
    <w:p>
      <w:pPr>
        <w:spacing w:before="0" w:after="120" w:line="360" w:lineRule="auto"/>
        <w:jc w:val="both"/>
      </w:pPr>
      <w:r>
        <w:rPr>
          <w:rFonts w:ascii="Times New Roman" w:hAnsi="Times New Roman"/>
          <w:b w:val="0"/>
          <w:i w:val="0"/>
          <w:sz w:val="24"/>
        </w:rPr>
        <w:t>HousePredict AI was developed by the project team to address this gap for the English residential market. The system is a full-stack web application that enables any user to obtain an instant, model-driven valuation by entering a property's postcode and physical characteristics. The backend serves a LightGBM model trained on 4.5 million HM Land Registry and Energy Performance Certificate transactions, and the frontend provides an intuitive, postcode-first user interface with transparent feature contributions, interactive satellite imagery, and contextual neighbourhood amenity information. The live system is deployed at https://house-predict-england.vercel.app.</w:t>
      </w:r>
    </w:p>
    <w:p>
      <w:pPr>
        <w:spacing w:before="0" w:after="120" w:line="360" w:lineRule="auto"/>
        <w:jc w:val="both"/>
      </w:pPr>
      <w:r>
        <w:rPr>
          <w:rFonts w:ascii="Times New Roman" w:hAnsi="Times New Roman"/>
          <w:b w:val="0"/>
          <w:i w:val="0"/>
          <w:sz w:val="24"/>
        </w:rPr>
        <w:t>This report documents the full software and systems engineering lifecycle of HousePredict AI across nine chapters. Chapter 2 establishes the functional and non-functional requirements. Chapter 3 presents three architectural design views. Chapter 4 details the implementation decisions and engineering challenges encountered. Chapter 5 describes the machine learning model in depth, including feature engineering and evaluation metrics. Chapter 6 covers the testing strategy and results. Chapter 7 provides a critical evaluation of the system against requirements. Chapter 8 reflects on project management practices, and Chapter 9 concludes with a summary of achievements and directions for future work.</w:t>
      </w:r>
    </w:p>
    <w:p>
      <w:r>
        <w:br w:type="page"/>
      </w:r>
    </w:p>
    <w:p>
      <w:pPr>
        <w:pStyle w:val="Heading1"/>
        <w:spacing w:before="360" w:after="120"/>
        <w:jc w:val="left"/>
      </w:pPr>
      <w:r>
        <w:rPr>
          <w:rFonts w:ascii="Times New Roman" w:hAnsi="Times New Roman"/>
          <w:color w:val="000000"/>
          <w:sz w:val="28"/>
        </w:rPr>
        <w:t>2. Requirements</w:t>
      </w:r>
    </w:p>
    <w:p>
      <w:pPr>
        <w:pStyle w:val="Heading2"/>
        <w:spacing w:before="240" w:after="60"/>
        <w:jc w:val="left"/>
      </w:pPr>
      <w:r>
        <w:rPr>
          <w:rFonts w:ascii="Times New Roman" w:hAnsi="Times New Roman"/>
          <w:color w:val="000000"/>
          <w:sz w:val="24"/>
        </w:rPr>
        <w:t>2.1 Requirements Elicitation</w:t>
      </w:r>
    </w:p>
    <w:p>
      <w:pPr>
        <w:spacing w:before="0" w:after="120" w:line="360" w:lineRule="auto"/>
        <w:jc w:val="both"/>
      </w:pPr>
      <w:r>
        <w:rPr>
          <w:rFonts w:ascii="Times New Roman" w:hAnsi="Times New Roman"/>
          <w:b w:val="0"/>
          <w:i w:val="0"/>
          <w:sz w:val="24"/>
        </w:rPr>
        <w:t>Requirements were elicited through an iterative process beginning with structured user stories, which were subsequently prioritised using the MoSCoW method (Must have, Should have, Could have, Won't have). The team conducted four rounds of client review — one at the end of each sprint — gathering qualitative feedback that fed directly into the backlog. This approach ensured that the requirements remained grounded in genuine user need rather than technical assumption, and that evolving stakeholder expectations were captured systematically (Provost and Fawcett, 2013).</w:t>
      </w:r>
    </w:p>
    <w:p>
      <w:pPr>
        <w:pStyle w:val="Heading2"/>
        <w:spacing w:before="240" w:after="60"/>
        <w:jc w:val="left"/>
      </w:pPr>
      <w:r>
        <w:rPr>
          <w:rFonts w:ascii="Times New Roman" w:hAnsi="Times New Roman"/>
          <w:color w:val="000000"/>
          <w:sz w:val="24"/>
        </w:rPr>
        <w:t>2.2 Functional Requirements</w:t>
      </w:r>
    </w:p>
    <w:p>
      <w:pPr>
        <w:spacing w:before="0" w:after="120" w:line="360" w:lineRule="auto"/>
        <w:jc w:val="both"/>
      </w:pPr>
      <w:r>
        <w:rPr>
          <w:rFonts w:ascii="Times New Roman" w:hAnsi="Times New Roman"/>
          <w:b w:val="0"/>
          <w:i w:val="0"/>
          <w:sz w:val="24"/>
        </w:rPr>
        <w:t>Six functional requirements were identified and baselined. FR1 specifies that the system must accept a structured set of property attributes and return an estimated sale price together with a 95% confidence interval; this is the core predictive capability that motivates the entire system. FR2 requires that a postcode lookup service resolves user-entered UK postcodes to geographic coordinates and administrative codes, enabling the system to populate location-dependent fields without manual data entry. FR3 mandates the integration of the ONS English Indices of Multiple Deprivation 2019 so that the IMD rank for the relevant Lower Super Output Area is incorporated as a model feature, reflecting the documented relationship between area-level deprivation and property values (Department for Levelling Up, Housing and Communities, 2019). FR4 requires that authenticated users may save prediction results and retrieve their history; this necessitated a persistent data store with appropriate access control. FR5 specifies that the prediction results page must display per-feature contribution values so that users can understand which attributes drive the estimated price up or down, realising the principles of explainable AI articulated by Lundberg and Lee (2017). FR6 requires that nearby amenities — including train stations, schools, supermarkets, and pharmacies — are displayed on the results page to provide contextual neighbourhood information to the user.</w:t>
      </w:r>
    </w:p>
    <w:p>
      <w:pPr>
        <w:pStyle w:val="Heading2"/>
        <w:spacing w:before="240" w:after="60"/>
        <w:jc w:val="left"/>
      </w:pPr>
      <w:r>
        <w:rPr>
          <w:rFonts w:ascii="Times New Roman" w:hAnsi="Times New Roman"/>
          <w:color w:val="000000"/>
          <w:sz w:val="24"/>
        </w:rPr>
        <w:t>2.3 Non-Functional Requirements</w:t>
      </w:r>
    </w:p>
    <w:p>
      <w:pPr>
        <w:spacing w:before="0" w:after="120" w:line="360" w:lineRule="auto"/>
        <w:jc w:val="both"/>
      </w:pPr>
      <w:r>
        <w:rPr>
          <w:rFonts w:ascii="Times New Roman" w:hAnsi="Times New Roman"/>
          <w:b w:val="0"/>
          <w:i w:val="0"/>
          <w:sz w:val="24"/>
        </w:rPr>
        <w:t>Four non-functional requirements were agreed with the client. NFR1 stipulates that the end-to-end prediction response — from form submission to results display — must complete within two seconds under normal network conditions, a threshold consistent with established web usability expectations. NFR2 requires that the automated test suite achieves a function coverage rate exceeding 80% of all API endpoints and validation paths. NFR3 constrains the deployment to free-tier cloud services, specifically Vercel for the frontend and Render for the backend, in order to eliminate operational cost during the academic period. NFR4 mandates that all API responses include appropriate Cross-Origin Resource Sharing headers, restricting browser access to the permitted frontend origin and preventing unauthorised cross-origin requests.</w:t>
      </w:r>
    </w:p>
    <w:p>
      <w:pPr>
        <w:spacing w:before="0" w:after="120" w:line="360" w:lineRule="auto"/>
        <w:jc w:val="both"/>
      </w:pPr>
      <w:r>
        <w:rPr>
          <w:rFonts w:ascii="Times New Roman" w:hAnsi="Times New Roman"/>
          <w:b w:val="0"/>
          <w:i w:val="0"/>
          <w:sz w:val="24"/>
        </w:rPr>
        <w:t>The MoSCoW classification assigned FR1, FR2, and FR3 as Must-have items, FR4 and FR5 as Should-have, and FR6 as Could-have. All six were ultimately implemented within the four-sprint development timeline. NFR1 and NFR4 were treated as Must-have constraints; NFR2 and NFR3 were treated as Should-have targets and were also fully met.</w:t>
      </w:r>
    </w:p>
    <w:p>
      <w:r>
        <w:br w:type="page"/>
      </w:r>
    </w:p>
    <w:p>
      <w:pPr>
        <w:pStyle w:val="Heading1"/>
        <w:spacing w:before="360" w:after="120"/>
        <w:jc w:val="left"/>
      </w:pPr>
      <w:r>
        <w:rPr>
          <w:rFonts w:ascii="Times New Roman" w:hAnsi="Times New Roman"/>
          <w:color w:val="000000"/>
          <w:sz w:val="28"/>
        </w:rPr>
        <w:t>3. Design</w:t>
      </w:r>
    </w:p>
    <w:p>
      <w:pPr>
        <w:pStyle w:val="Heading2"/>
        <w:spacing w:before="240" w:after="60"/>
        <w:jc w:val="left"/>
      </w:pPr>
      <w:r>
        <w:rPr>
          <w:rFonts w:ascii="Times New Roman" w:hAnsi="Times New Roman"/>
          <w:color w:val="000000"/>
          <w:sz w:val="24"/>
        </w:rPr>
        <w:t>3.1 Architectural Overview</w:t>
      </w:r>
    </w:p>
    <w:p>
      <w:pPr>
        <w:spacing w:before="0" w:after="120" w:line="360" w:lineRule="auto"/>
        <w:jc w:val="both"/>
      </w:pPr>
      <w:r>
        <w:rPr>
          <w:rFonts w:ascii="Times New Roman" w:hAnsi="Times New Roman"/>
          <w:b w:val="0"/>
          <w:i w:val="0"/>
          <w:sz w:val="24"/>
        </w:rPr>
        <w:t>The system architecture follows a three-tier client-server pattern: a single-page application frontend hosted on a global content delivery network, a stateless RESTful backend hosting the prediction engine, and a set of external services providing geocoding, amenity data, authentication, and deprivation indices. This separation of concerns ensures that each tier can be scaled, updated, or replaced independently, and that the latency-sensitive machine learning inference path is isolated from asynchronous data-enrichment concerns.</w:t>
      </w:r>
    </w:p>
    <w:p>
      <w:pPr>
        <w:pStyle w:val="Heading2"/>
        <w:spacing w:before="240" w:after="60"/>
        <w:jc w:val="left"/>
      </w:pPr>
      <w:r>
        <w:rPr>
          <w:rFonts w:ascii="Times New Roman" w:hAnsi="Times New Roman"/>
          <w:color w:val="000000"/>
          <w:sz w:val="24"/>
        </w:rPr>
        <w:t>3.2 Component View</w:t>
      </w:r>
    </w:p>
    <w:p>
      <w:pPr>
        <w:spacing w:before="0" w:after="120" w:line="360" w:lineRule="auto"/>
        <w:jc w:val="both"/>
      </w:pPr>
      <w:r>
        <w:rPr>
          <w:rFonts w:ascii="Times New Roman" w:hAnsi="Times New Roman"/>
          <w:b w:val="0"/>
          <w:i w:val="0"/>
          <w:sz w:val="24"/>
        </w:rPr>
        <w:t>Figure 1 presents the component-level architecture of HousePredict AI.</w:t>
      </w:r>
    </w:p>
    <w:p>
      <w:pPr>
        <w:spacing w:before="0" w:after="0" w:line="240" w:lineRule="auto"/>
      </w:pPr>
      <w:r>
        <w:rPr>
          <w:rFonts w:ascii="Courier New" w:hAnsi="Courier New"/>
          <w:sz w:val="20"/>
        </w:rPr>
        <w:t>+-------------------+        +---------------------+       +------------------+</w:t>
      </w:r>
    </w:p>
    <w:p>
      <w:pPr>
        <w:spacing w:before="0" w:after="0" w:line="240" w:lineRule="auto"/>
      </w:pPr>
      <w:r>
        <w:rPr>
          <w:rFonts w:ascii="Courier New" w:hAnsi="Courier New"/>
          <w:sz w:val="20"/>
        </w:rPr>
        <w:t>|   React SPA       |        |   FastAPI Backend   |       | External Services|</w:t>
      </w:r>
    </w:p>
    <w:p>
      <w:pPr>
        <w:spacing w:before="0" w:after="0" w:line="240" w:lineRule="auto"/>
      </w:pPr>
      <w:r>
        <w:rPr>
          <w:rFonts w:ascii="Courier New" w:hAnsi="Courier New"/>
          <w:sz w:val="20"/>
        </w:rPr>
        <w:t>|   (Vercel CDN)    |        |   (Render.com)      |       |                  |</w:t>
      </w:r>
    </w:p>
    <w:p>
      <w:pPr>
        <w:spacing w:before="0" w:after="0" w:line="240" w:lineRule="auto"/>
      </w:pPr>
      <w:r>
        <w:rPr>
          <w:rFonts w:ascii="Courier New" w:hAnsi="Courier New"/>
          <w:sz w:val="20"/>
        </w:rPr>
        <w:t>|-------------------|        |---------------------|       |------------------|</w:t>
      </w:r>
    </w:p>
    <w:p>
      <w:pPr>
        <w:spacing w:before="0" w:after="0" w:line="240" w:lineRule="auto"/>
      </w:pPr>
      <w:r>
        <w:rPr>
          <w:rFonts w:ascii="Courier New" w:hAnsi="Courier New"/>
          <w:sz w:val="20"/>
        </w:rPr>
        <w:t>| PredictForm.jsx   |&lt;------&gt;| POST /predict       |       | postcodes.io     |</w:t>
      </w:r>
    </w:p>
    <w:p>
      <w:pPr>
        <w:spacing w:before="0" w:after="0" w:line="240" w:lineRule="auto"/>
      </w:pPr>
      <w:r>
        <w:rPr>
          <w:rFonts w:ascii="Courier New" w:hAnsi="Courier New"/>
          <w:sz w:val="20"/>
        </w:rPr>
        <w:t>| Results.jsx       |        | GET  /imd/{lsoa}    |&lt;-----&gt;| Overpass API     |</w:t>
      </w:r>
    </w:p>
    <w:p>
      <w:pPr>
        <w:spacing w:before="0" w:after="0" w:line="240" w:lineRule="auto"/>
      </w:pPr>
      <w:r>
        <w:rPr>
          <w:rFonts w:ascii="Courier New" w:hAnsi="Courier New"/>
          <w:sz w:val="20"/>
        </w:rPr>
        <w:t>| AuthContext       |        | GET  /health        |       | Supabase         |</w:t>
      </w:r>
    </w:p>
    <w:p>
      <w:pPr>
        <w:spacing w:before="0" w:after="0" w:line="240" w:lineRule="auto"/>
      </w:pPr>
      <w:r>
        <w:rPr>
          <w:rFonts w:ascii="Courier New" w:hAnsi="Courier New"/>
          <w:sz w:val="20"/>
        </w:rPr>
        <w:t>| HistoryPage.jsx   |        | GET  /feature-      |       | ONS IMD 2019     |</w:t>
      </w:r>
    </w:p>
    <w:p>
      <w:pPr>
        <w:spacing w:before="0" w:after="0" w:line="240" w:lineRule="auto"/>
      </w:pPr>
      <w:r>
        <w:rPr>
          <w:rFonts w:ascii="Courier New" w:hAnsi="Courier New"/>
          <w:sz w:val="20"/>
        </w:rPr>
        <w:t>| AmenityCard.jsx   |        |      importance     |       | Esri Imagery     |</w:t>
      </w:r>
    </w:p>
    <w:p>
      <w:pPr>
        <w:spacing w:before="0" w:after="0" w:line="240" w:lineRule="auto"/>
      </w:pPr>
      <w:r>
        <w:rPr>
          <w:rFonts w:ascii="Courier New" w:hAnsi="Courier New"/>
          <w:sz w:val="20"/>
        </w:rPr>
        <w:t>+-------------------+        +---------------------+       +------------------+</w:t>
      </w:r>
    </w:p>
    <w:p>
      <w:pPr>
        <w:spacing w:before="80" w:after="200" w:line="360" w:lineRule="auto"/>
        <w:jc w:val="center"/>
      </w:pPr>
      <w:r>
        <w:rPr>
          <w:rFonts w:ascii="Times New Roman" w:hAnsi="Times New Roman"/>
          <w:i/>
          <w:sz w:val="22"/>
        </w:rPr>
        <w:t>Figure 1: Component View — HousePredict AI Architecture</w:t>
      </w:r>
    </w:p>
    <w:p>
      <w:pPr>
        <w:pStyle w:val="Heading2"/>
        <w:spacing w:before="240" w:after="60"/>
        <w:jc w:val="left"/>
      </w:pPr>
      <w:r>
        <w:rPr>
          <w:rFonts w:ascii="Times New Roman" w:hAnsi="Times New Roman"/>
          <w:color w:val="000000"/>
          <w:sz w:val="24"/>
        </w:rPr>
        <w:t>3.3 Sequence Diagram</w:t>
      </w:r>
    </w:p>
    <w:p>
      <w:pPr>
        <w:spacing w:before="0" w:after="120" w:line="360" w:lineRule="auto"/>
        <w:jc w:val="both"/>
      </w:pPr>
      <w:r>
        <w:rPr>
          <w:rFonts w:ascii="Times New Roman" w:hAnsi="Times New Roman"/>
          <w:b w:val="0"/>
          <w:i w:val="0"/>
          <w:sz w:val="24"/>
        </w:rPr>
        <w:t>Figure 2 illustrates the principal interaction sequence when a user submits the prediction form. The synchronous path — form submission, backend inference, and navigation to the results page — completes within the two-second NFR1 budget. The Overpass amenity fetch proceeds asynchronously, populating amenity cards once the data arrives without blocking the price display.</w:t>
      </w:r>
    </w:p>
    <w:p>
      <w:pPr>
        <w:spacing w:before="0" w:after="0" w:line="240" w:lineRule="auto"/>
      </w:pPr>
      <w:r>
        <w:rPr>
          <w:rFonts w:ascii="Courier New" w:hAnsi="Courier New"/>
          <w:sz w:val="20"/>
        </w:rPr>
        <w:t>User     PredictForm    FastAPI     LightGBM    Results    Overpass</w:t>
      </w:r>
    </w:p>
    <w:p>
      <w:pPr>
        <w:spacing w:before="0" w:after="0" w:line="240" w:lineRule="auto"/>
      </w:pPr>
      <w:r>
        <w:rPr>
          <w:rFonts w:ascii="Courier New" w:hAnsi="Courier New"/>
          <w:sz w:val="20"/>
        </w:rPr>
        <w:t xml:space="preserve"> |           |             |            |          |           |</w:t>
      </w:r>
    </w:p>
    <w:p>
      <w:pPr>
        <w:spacing w:before="0" w:after="0" w:line="240" w:lineRule="auto"/>
      </w:pPr>
      <w:r>
        <w:rPr>
          <w:rFonts w:ascii="Courier New" w:hAnsi="Courier New"/>
          <w:sz w:val="20"/>
        </w:rPr>
        <w:t xml:space="preserve"> |--submit--&gt;|             |            |          |           |</w:t>
      </w:r>
    </w:p>
    <w:p>
      <w:pPr>
        <w:spacing w:before="0" w:after="0" w:line="240" w:lineRule="auto"/>
      </w:pPr>
      <w:r>
        <w:rPr>
          <w:rFonts w:ascii="Courier New" w:hAnsi="Courier New"/>
          <w:sz w:val="20"/>
        </w:rPr>
        <w:t xml:space="preserve"> |           |--POST /predict----------&gt;|          |           |</w:t>
      </w:r>
    </w:p>
    <w:p>
      <w:pPr>
        <w:spacing w:before="0" w:after="0" w:line="240" w:lineRule="auto"/>
      </w:pPr>
      <w:r>
        <w:rPr>
          <w:rFonts w:ascii="Courier New" w:hAnsi="Courier New"/>
          <w:sz w:val="20"/>
        </w:rPr>
        <w:t xml:space="preserve"> |           |             |--infer----&gt;|          |           |</w:t>
      </w:r>
    </w:p>
    <w:p>
      <w:pPr>
        <w:spacing w:before="0" w:after="0" w:line="240" w:lineRule="auto"/>
      </w:pPr>
      <w:r>
        <w:rPr>
          <w:rFonts w:ascii="Courier New" w:hAnsi="Courier New"/>
          <w:sz w:val="20"/>
        </w:rPr>
        <w:t xml:space="preserve"> |           |             |&lt;--price+CI-+          |           |</w:t>
      </w:r>
    </w:p>
    <w:p>
      <w:pPr>
        <w:spacing w:before="0" w:after="0" w:line="240" w:lineRule="auto"/>
      </w:pPr>
      <w:r>
        <w:rPr>
          <w:rFonts w:ascii="Courier New" w:hAnsi="Courier New"/>
          <w:sz w:val="20"/>
        </w:rPr>
        <w:t xml:space="preserve"> |           |&lt;--response--|            |          |           |</w:t>
      </w:r>
    </w:p>
    <w:p>
      <w:pPr>
        <w:spacing w:before="0" w:after="0" w:line="240" w:lineRule="auto"/>
      </w:pPr>
      <w:r>
        <w:rPr>
          <w:rFonts w:ascii="Courier New" w:hAnsi="Courier New"/>
          <w:sz w:val="20"/>
        </w:rPr>
        <w:t xml:space="preserve"> |           |----------------------------navigate-&gt;|          |</w:t>
      </w:r>
    </w:p>
    <w:p>
      <w:pPr>
        <w:spacing w:before="0" w:after="0" w:line="240" w:lineRule="auto"/>
      </w:pPr>
      <w:r>
        <w:rPr>
          <w:rFonts w:ascii="Courier New" w:hAnsi="Courier New"/>
          <w:sz w:val="20"/>
        </w:rPr>
        <w:t xml:space="preserve"> |           |             |            |          |--fetch---&gt;|</w:t>
      </w:r>
    </w:p>
    <w:p>
      <w:pPr>
        <w:spacing w:before="0" w:after="0" w:line="240" w:lineRule="auto"/>
      </w:pPr>
      <w:r>
        <w:rPr>
          <w:rFonts w:ascii="Courier New" w:hAnsi="Courier New"/>
          <w:sz w:val="20"/>
        </w:rPr>
        <w:t xml:space="preserve"> |           |             |            |          |&lt;-amenities|</w:t>
      </w:r>
    </w:p>
    <w:p>
      <w:pPr>
        <w:spacing w:before="0" w:after="0" w:line="240" w:lineRule="auto"/>
      </w:pPr>
      <w:r>
        <w:rPr>
          <w:rFonts w:ascii="Courier New" w:hAnsi="Courier New"/>
          <w:sz w:val="20"/>
        </w:rPr>
        <w:t xml:space="preserve"> |&lt;-------display price + amenities----------------|          |</w:t>
      </w:r>
    </w:p>
    <w:p>
      <w:pPr>
        <w:spacing w:before="80" w:after="200" w:line="360" w:lineRule="auto"/>
        <w:jc w:val="center"/>
      </w:pPr>
      <w:r>
        <w:rPr>
          <w:rFonts w:ascii="Times New Roman" w:hAnsi="Times New Roman"/>
          <w:i/>
          <w:sz w:val="22"/>
        </w:rPr>
        <w:t>Figure 2: Sequence Diagram — Prediction Request Flow</w:t>
      </w:r>
    </w:p>
    <w:p>
      <w:pPr>
        <w:pStyle w:val="Heading2"/>
        <w:spacing w:before="240" w:after="60"/>
        <w:jc w:val="left"/>
      </w:pPr>
      <w:r>
        <w:rPr>
          <w:rFonts w:ascii="Times New Roman" w:hAnsi="Times New Roman"/>
          <w:color w:val="000000"/>
          <w:sz w:val="24"/>
        </w:rPr>
        <w:t>3.4 Deployment View</w:t>
      </w:r>
    </w:p>
    <w:p>
      <w:pPr>
        <w:spacing w:before="0" w:after="120" w:line="360" w:lineRule="auto"/>
        <w:jc w:val="both"/>
      </w:pPr>
      <w:r>
        <w:rPr>
          <w:rFonts w:ascii="Times New Roman" w:hAnsi="Times New Roman"/>
          <w:b w:val="0"/>
          <w:i w:val="0"/>
          <w:sz w:val="24"/>
        </w:rPr>
        <w:t>Figure 3 depicts the deployment topology. The React SPA is served via Vercel's edge network, which provides global CDN distribution and automatic HTTPS. The FastAPI backend runs on Render's free tier, with the LightGBM model artefact loaded into memory at startup. Authentication state, saved predictions, and row-level security policies are managed by Supabase, which operates independently of the prediction backend.</w:t>
      </w:r>
    </w:p>
    <w:p>
      <w:pPr>
        <w:spacing w:before="0" w:after="0" w:line="240" w:lineRule="auto"/>
      </w:pPr>
      <w:r>
        <w:rPr>
          <w:rFonts w:ascii="Courier New" w:hAnsi="Courier New"/>
          <w:sz w:val="20"/>
        </w:rPr>
        <w:t>[Browser] --&gt; [Vercel CDN] --&gt; [React SPA]</w:t>
      </w:r>
    </w:p>
    <w:p>
      <w:pPr>
        <w:spacing w:before="0" w:after="0" w:line="240" w:lineRule="auto"/>
      </w:pPr>
      <w:r>
        <w:rPr>
          <w:rFonts w:ascii="Courier New" w:hAnsi="Courier New"/>
          <w:sz w:val="20"/>
        </w:rPr>
        <w:t xml:space="preserve">                                    |</w:t>
      </w:r>
    </w:p>
    <w:p>
      <w:pPr>
        <w:spacing w:before="0" w:after="0" w:line="240" w:lineRule="auto"/>
      </w:pPr>
      <w:r>
        <w:rPr>
          <w:rFonts w:ascii="Courier New" w:hAnsi="Courier New"/>
          <w:sz w:val="20"/>
        </w:rPr>
        <w:t xml:space="preserve">                                    v</w:t>
      </w:r>
    </w:p>
    <w:p>
      <w:pPr>
        <w:spacing w:before="0" w:after="0" w:line="240" w:lineRule="auto"/>
      </w:pPr>
      <w:r>
        <w:rPr>
          <w:rFonts w:ascii="Courier New" w:hAnsi="Courier New"/>
          <w:sz w:val="20"/>
        </w:rPr>
        <w:t xml:space="preserve">                          [Render.com Free Tier]</w:t>
      </w:r>
    </w:p>
    <w:p>
      <w:pPr>
        <w:spacing w:before="0" w:after="0" w:line="240" w:lineRule="auto"/>
      </w:pPr>
      <w:r>
        <w:rPr>
          <w:rFonts w:ascii="Courier New" w:hAnsi="Courier New"/>
          <w:sz w:val="20"/>
        </w:rPr>
        <w:t xml:space="preserve">                          [FastAPI + Uvicorn]</w:t>
      </w:r>
    </w:p>
    <w:p>
      <w:pPr>
        <w:spacing w:before="0" w:after="0" w:line="240" w:lineRule="auto"/>
      </w:pPr>
      <w:r>
        <w:rPr>
          <w:rFonts w:ascii="Courier New" w:hAnsi="Courier New"/>
          <w:sz w:val="20"/>
        </w:rPr>
        <w:t xml:space="preserve">                          [LightGBM model.pkl]</w:t>
      </w:r>
    </w:p>
    <w:p>
      <w:pPr>
        <w:spacing w:before="0" w:after="0" w:line="240" w:lineRule="auto"/>
      </w:pPr>
      <w:r>
        <w:rPr>
          <w:rFonts w:ascii="Courier New" w:hAnsi="Courier New"/>
          <w:sz w:val="20"/>
        </w:rPr>
        <w:t xml:space="preserve">                                    |</w:t>
      </w:r>
    </w:p>
    <w:p>
      <w:pPr>
        <w:spacing w:before="0" w:after="0" w:line="240" w:lineRule="auto"/>
      </w:pPr>
      <w:r>
        <w:rPr>
          <w:rFonts w:ascii="Courier New" w:hAnsi="Courier New"/>
          <w:sz w:val="20"/>
        </w:rPr>
        <w:t xml:space="preserve">                    +---------------+---------------+</w:t>
      </w:r>
    </w:p>
    <w:p>
      <w:pPr>
        <w:spacing w:before="0" w:after="0" w:line="240" w:lineRule="auto"/>
      </w:pPr>
      <w:r>
        <w:rPr>
          <w:rFonts w:ascii="Courier New" w:hAnsi="Courier New"/>
          <w:sz w:val="20"/>
        </w:rPr>
        <w:t xml:space="preserve">                    |               |               |</w:t>
      </w:r>
    </w:p>
    <w:p>
      <w:pPr>
        <w:spacing w:before="0" w:after="0" w:line="240" w:lineRule="auto"/>
      </w:pPr>
      <w:r>
        <w:rPr>
          <w:rFonts w:ascii="Courier New" w:hAnsi="Courier New"/>
          <w:sz w:val="20"/>
        </w:rPr>
        <w:t xml:space="preserve">               [Supabase]    [postcodes.io]   [Overpass API]</w:t>
      </w:r>
    </w:p>
    <w:p>
      <w:pPr>
        <w:spacing w:before="0" w:after="0" w:line="240" w:lineRule="auto"/>
      </w:pPr>
      <w:r>
        <w:rPr>
          <w:rFonts w:ascii="Courier New" w:hAnsi="Courier New"/>
          <w:sz w:val="20"/>
        </w:rPr>
        <w:t xml:space="preserve">               [Auth + RLS]  [Geocoding]      [Amenity data]</w:t>
      </w:r>
    </w:p>
    <w:p>
      <w:pPr>
        <w:spacing w:before="80" w:after="200" w:line="360" w:lineRule="auto"/>
        <w:jc w:val="center"/>
      </w:pPr>
      <w:r>
        <w:rPr>
          <w:rFonts w:ascii="Times New Roman" w:hAnsi="Times New Roman"/>
          <w:i/>
          <w:sz w:val="22"/>
        </w:rPr>
        <w:t>Figure 3: Deployment View — HousePredict AI Infrastructure</w:t>
      </w:r>
    </w:p>
    <w:p>
      <w:pPr>
        <w:pStyle w:val="Heading2"/>
        <w:spacing w:before="240" w:after="60"/>
        <w:jc w:val="left"/>
      </w:pPr>
      <w:r>
        <w:rPr>
          <w:rFonts w:ascii="Times New Roman" w:hAnsi="Times New Roman"/>
          <w:color w:val="000000"/>
          <w:sz w:val="24"/>
        </w:rPr>
        <w:t>3.5 Key Design Decisions</w:t>
      </w:r>
    </w:p>
    <w:p>
      <w:pPr>
        <w:spacing w:before="0" w:after="120" w:line="360" w:lineRule="auto"/>
        <w:jc w:val="both"/>
      </w:pPr>
      <w:r>
        <w:rPr>
          <w:rFonts w:ascii="Times New Roman" w:hAnsi="Times New Roman"/>
          <w:b w:val="0"/>
          <w:i w:val="0"/>
          <w:sz w:val="24"/>
        </w:rPr>
        <w:t>Several significant design choices shaped the architecture. LightGBM was selected over deep neural networks (Goodfellow, Bengio and Courville, 2016) because tabular property data — with its mixture of categorical and numeric features, sparse category distributions, and moderate dimensionality — does not benefit from the representation-learning strengths of neural networks and incurs substantially higher training cost and hyperparameter sensitivity (Kim, Hwang and Lee, 2021). FastAPI was preferred over Flask or Django REST Framework for its native asynchronous support, automatic OpenAPI documentation generation, and tight integration with Pydantic v2 for schema validation. Supabase was adopted as the authentication and persistence layer because it provides PostgreSQL row-level security out of the box, eliminating the need to implement a custom authorisation service. Tailwind CSS v4 was chosen for rapid UI construction, with a Material-You-inspired token set using the primary navy colour (#031634) and a secondary green (#006c49). The postcodes.io API was selected for geocoding as it is freely available, requires no API key, and covers the full ONS postcode directory (postcodes.io, 2024).</w:t>
      </w:r>
    </w:p>
    <w:p>
      <w:pPr>
        <w:spacing w:before="0" w:after="120" w:line="360" w:lineRule="auto"/>
        <w:jc w:val="both"/>
      </w:pPr>
      <w:r>
        <w:rPr>
          <w:rFonts w:ascii="Times New Roman" w:hAnsi="Times New Roman"/>
          <w:b w:val="0"/>
          <w:i w:val="0"/>
          <w:sz w:val="24"/>
        </w:rPr>
        <w:t>The user interface was designed around a postcode-first interaction model: until a valid postcode is entered and resolved, subsequent form sections remain locked. This progressive disclosure pattern reduces cognitive load and ensures that location-dependent fields are populated with accurate defaults before the user reaches them. A contribution waterfall chart on the results page renders the per-feature SHAP-style contributions produced by LightGBM's pred_contrib mode, satisfying FR5 in an immediately interpretable visual form (Lundberg and Lee, 2017). An Esri World Imagery satellite strip provides a visual anchor for the predicted property's geographic location.</w:t>
      </w:r>
    </w:p>
    <w:p>
      <w:r>
        <w:br w:type="page"/>
      </w:r>
    </w:p>
    <w:p>
      <w:pPr>
        <w:pStyle w:val="Heading1"/>
        <w:spacing w:before="360" w:after="120"/>
        <w:jc w:val="left"/>
      </w:pPr>
      <w:r>
        <w:rPr>
          <w:rFonts w:ascii="Times New Roman" w:hAnsi="Times New Roman"/>
          <w:color w:val="000000"/>
          <w:sz w:val="28"/>
        </w:rPr>
        <w:t>4. Implementation</w:t>
      </w:r>
    </w:p>
    <w:p>
      <w:pPr>
        <w:pStyle w:val="Heading2"/>
        <w:spacing w:before="240" w:after="60"/>
        <w:jc w:val="left"/>
      </w:pPr>
      <w:r>
        <w:rPr>
          <w:rFonts w:ascii="Times New Roman" w:hAnsi="Times New Roman"/>
          <w:color w:val="000000"/>
          <w:sz w:val="24"/>
        </w:rPr>
        <w:t>4.1 Backend Implementation</w:t>
      </w:r>
    </w:p>
    <w:p>
      <w:pPr>
        <w:spacing w:before="0" w:after="120" w:line="360" w:lineRule="auto"/>
        <w:jc w:val="both"/>
      </w:pPr>
      <w:r>
        <w:rPr>
          <w:rFonts w:ascii="Times New Roman" w:hAnsi="Times New Roman"/>
          <w:b w:val="0"/>
          <w:i w:val="0"/>
          <w:sz w:val="24"/>
        </w:rPr>
        <w:t>The backend is a Python 3.11 FastAPI application served by Uvicorn. On startup, the application loads the serialised LightGBM model artefact and the five LabelEncoder objects from disk into module-level variables, ensuring that inference requests incur no per-request I/O overhead. The 32,844-entry ONS IMD lookup table is also loaded into memory as a Python dictionary at startup, enabling O(1) LSOA-code lookups for the GET /imd/{lsoa_code} endpoint.</w:t>
      </w:r>
    </w:p>
    <w:p>
      <w:pPr>
        <w:spacing w:before="0" w:after="120" w:line="360" w:lineRule="auto"/>
        <w:jc w:val="both"/>
      </w:pPr>
      <w:r>
        <w:rPr>
          <w:rFonts w:ascii="Times New Roman" w:hAnsi="Times New Roman"/>
          <w:b w:val="0"/>
          <w:i w:val="0"/>
          <w:sz w:val="24"/>
        </w:rPr>
        <w:t>All eight API endpoints are defined in a single FastAPI application instance. The POST /predict endpoint receives a twenty-one-feature JSON payload validated by a Pydantic v2 BaseModel. Pydantic performs type coercion and range validation before the payload reaches the inference function, so the model never receives malformed inputs. The inference pipeline applies the five LabelEncoders and the ordinal construction-age-band map, assembles a one-row NumPy array, and calls the LightGBM predict method twice: once for the point estimate and once with pred_contrib=True to obtain the per-feature contribution vector. The 95% confidence interval is derived by computing the residual standard deviation of log1p-transformed predictions on the held-out validation set and applying the formula CI = exp(log1p(price) +/- 1.96 * sigma) - 1, back-transforming to pounds sterling.</w:t>
      </w:r>
    </w:p>
    <w:p>
      <w:pPr>
        <w:spacing w:before="0" w:after="120" w:line="360" w:lineRule="auto"/>
        <w:jc w:val="both"/>
      </w:pPr>
      <w:r>
        <w:rPr>
          <w:rFonts w:ascii="Times New Roman" w:hAnsi="Times New Roman"/>
          <w:b w:val="0"/>
          <w:i w:val="0"/>
          <w:sz w:val="24"/>
        </w:rPr>
        <w:t>CORS middleware is configured to permit requests only from the registered Vercel frontend origin, satisfying NFR4. The GET /health endpoint exposes the model name and feature count, enabling automated uptime monitoring and acting as the warm-up target for Render's health check configuration.</w:t>
      </w:r>
    </w:p>
    <w:p>
      <w:pPr>
        <w:pStyle w:val="Heading2"/>
        <w:spacing w:before="240" w:after="60"/>
        <w:jc w:val="left"/>
      </w:pPr>
      <w:r>
        <w:rPr>
          <w:rFonts w:ascii="Times New Roman" w:hAnsi="Times New Roman"/>
          <w:color w:val="000000"/>
          <w:sz w:val="24"/>
        </w:rPr>
        <w:t>4.2 Frontend Implementation</w:t>
      </w:r>
    </w:p>
    <w:p>
      <w:pPr>
        <w:spacing w:before="0" w:after="120" w:line="360" w:lineRule="auto"/>
        <w:jc w:val="both"/>
      </w:pPr>
      <w:r>
        <w:rPr>
          <w:rFonts w:ascii="Times New Roman" w:hAnsi="Times New Roman"/>
          <w:b w:val="0"/>
          <w:i w:val="0"/>
          <w:sz w:val="24"/>
        </w:rPr>
        <w:t>The frontend is a React 19 single-page application structured around React Router v7. An AuthContext provider wraps the application tree, exposing the Supabase session object and sign-in, sign-out, and sign-up handlers to all descendant components. Row-level security policies on the Supabase saved_predictions table ensure that each authenticated user can read and write only their own records, without any custom server-side authorisation logic in the FastAPI backend (Supabase, 2024).</w:t>
      </w:r>
    </w:p>
    <w:p>
      <w:pPr>
        <w:spacing w:before="0" w:after="120" w:line="360" w:lineRule="auto"/>
        <w:jc w:val="both"/>
      </w:pPr>
      <w:r>
        <w:rPr>
          <w:rFonts w:ascii="Times New Roman" w:hAnsi="Times New Roman"/>
          <w:b w:val="0"/>
          <w:i w:val="0"/>
          <w:sz w:val="24"/>
        </w:rPr>
        <w:t>The prediction form is implemented as a finite-state machine with three sequential sections: postcode entry, property attributes, and economic context. Each section is conditionally rendered and enabled only when the preceding section's data is valid and confirmed, implementing the postcode-first UX mandated by client feedback. When the user enters a postcode, the application immediately invokes postcodes.io and begins prefetching Overpass amenity data in the background; this prefetch-cache strategy is described further in Section 4.3. On form submission, the assembled feature payload is sent to POST /predict, the response is stored in React Router's location state, and the user is navigated to the Results page. The Results page renders the predicted price, confidence interval, feature contribution waterfall chart, satellite imagery strip using the Esri World Imagery tile service, and the amenity cards sourced from the prefetch cache.</w:t>
      </w:r>
    </w:p>
    <w:p>
      <w:pPr>
        <w:pStyle w:val="Heading2"/>
        <w:spacing w:before="240" w:after="60"/>
        <w:jc w:val="left"/>
      </w:pPr>
      <w:r>
        <w:rPr>
          <w:rFonts w:ascii="Times New Roman" w:hAnsi="Times New Roman"/>
          <w:color w:val="000000"/>
          <w:sz w:val="24"/>
        </w:rPr>
        <w:t>4.3 Engineering Challenges</w:t>
      </w:r>
    </w:p>
    <w:p>
      <w:pPr>
        <w:spacing w:before="0" w:after="120" w:line="360" w:lineRule="auto"/>
        <w:jc w:val="both"/>
      </w:pPr>
      <w:r>
        <w:rPr>
          <w:rFonts w:ascii="Times New Roman" w:hAnsi="Times New Roman"/>
          <w:b w:val="0"/>
          <w:i w:val="0"/>
          <w:sz w:val="24"/>
        </w:rPr>
        <w:t>Three significant engineering challenges were encountered and resolved during implementation. The first concerned Vite 8's adoption of the Rolldown bundler. The project's Vite configuration originally used the object form of the manualChunks option — a common pattern for splitting React vendor dependencies into separate cache-stable bundles. This form was removed in Vite 8 / Rolldown, causing a build failure. The team migrated to the function form of manualChunks, in which a callback function receives the module identifier and returns a chunk name. It is important to note that, while the function form resolves the immediate build error and is stable in practice, the Rolldown migration documentation marks it as deprecated; the fully idiomatic Rolldown approach is the native codeSplitting configuration API. The function form was adopted as a pragmatic interim solution, acknowledging that migrating to native Rolldown codeSplitting is the appropriate future step as the Rolldown ecosystem documentation matures.</w:t>
      </w:r>
    </w:p>
    <w:p>
      <w:pPr>
        <w:spacing w:before="0" w:after="120" w:line="360" w:lineRule="auto"/>
        <w:jc w:val="both"/>
      </w:pPr>
      <w:r>
        <w:rPr>
          <w:rFonts w:ascii="Times New Roman" w:hAnsi="Times New Roman"/>
          <w:b w:val="0"/>
          <w:i w:val="0"/>
          <w:sz w:val="24"/>
        </w:rPr>
        <w:t>The second challenge involved the OpenStreetMap Overpass API. Under high load, the primary Overpass endpoint (overpass-api.de) returns HTTP 429 rate-limit errors, causing amenity cards to display empty or stale data. The team implemented a dual-server fallback: requests are first directed to the primary endpoint, and on failure immediately retried against the secondary mirror (overpass.kumi.systems). This approach, combined with a module-level prefetch cache that begins the Overpass query as soon as the user selects a postcode — well before form submission — ensures that amenity data is available on the Results page without perceptible delay in the common case.</w:t>
      </w:r>
    </w:p>
    <w:p>
      <w:pPr>
        <w:spacing w:before="0" w:after="120" w:line="360" w:lineRule="auto"/>
        <w:jc w:val="both"/>
      </w:pPr>
      <w:r>
        <w:rPr>
          <w:rFonts w:ascii="Times New Roman" w:hAnsi="Times New Roman"/>
          <w:b w:val="0"/>
          <w:i w:val="0"/>
          <w:sz w:val="24"/>
        </w:rPr>
        <w:t>The third challenge was latency in the Overpass fetch relative to the synchronous prediction pipeline. Because the prediction response from FastAPI typically arrives within 400–600 milliseconds, the Results page would render before Overpass had completed. The prefetch cache pattern resolved this: by initiating the Overpass request at postcode selection — typically several seconds before form submission — the cache is warm by the time the Results page renders, and amenity cards populate immediately rather than appearing progressively after a visible delay.</w:t>
      </w:r>
    </w:p>
    <w:p>
      <w:r>
        <w:br w:type="page"/>
      </w:r>
    </w:p>
    <w:p>
      <w:pPr>
        <w:pStyle w:val="Heading1"/>
        <w:spacing w:before="360" w:after="120"/>
        <w:jc w:val="left"/>
      </w:pPr>
      <w:r>
        <w:rPr>
          <w:rFonts w:ascii="Times New Roman" w:hAnsi="Times New Roman"/>
          <w:color w:val="000000"/>
          <w:sz w:val="28"/>
        </w:rPr>
        <w:t>5. Machine Learning Model</w:t>
      </w:r>
    </w:p>
    <w:p>
      <w:pPr>
        <w:pStyle w:val="Heading2"/>
        <w:spacing w:before="240" w:after="60"/>
        <w:jc w:val="left"/>
      </w:pPr>
      <w:r>
        <w:rPr>
          <w:rFonts w:ascii="Times New Roman" w:hAnsi="Times New Roman"/>
          <w:color w:val="000000"/>
          <w:sz w:val="24"/>
        </w:rPr>
        <w:t>5.1 Dataset and Preprocessing</w:t>
      </w:r>
    </w:p>
    <w:p>
      <w:pPr>
        <w:spacing w:before="0" w:after="120" w:line="360" w:lineRule="auto"/>
        <w:jc w:val="both"/>
      </w:pPr>
      <w:r>
        <w:rPr>
          <w:rFonts w:ascii="Times New Roman" w:hAnsi="Times New Roman"/>
          <w:b w:val="0"/>
          <w:i w:val="0"/>
          <w:sz w:val="24"/>
        </w:rPr>
        <w:t>The training dataset was assembled by joining three open government sources: HM Land Registry Price Paid Data, which provides transaction prices, addresses, property types, and tenure for all residential sales registered in England and Wales (HM Land Registry, 2024); the Ministry of Housing, Communities and Local Government EPC Register, which supplies floor area, room count, construction age band, and current EPC score for properties with a valid energy performance certificate (Ministry of Housing, Communities and Local Government, 2024); and the ONS English Indices of Multiple Deprivation 2019, which provides the IMD rank for each Lower Super Output Area (Department for Levelling Up, Housing and Communities, 2019). The join was performed on the UPRN and LSOA code respectively. After deduplication and removal of records with implausible prices or areas, the combined dataset comprised approximately 4.5 million transactions covering the period 2018 to 2024. The target variable was the log1p-transformed sale price, which normalises the right-skewed distribution characteristic of residential property markets.</w:t>
      </w:r>
    </w:p>
    <w:p>
      <w:pPr>
        <w:spacing w:before="0" w:after="120" w:line="360" w:lineRule="auto"/>
        <w:jc w:val="both"/>
      </w:pPr>
      <w:r>
        <w:rPr>
          <w:rFonts w:ascii="Times New Roman" w:hAnsi="Times New Roman"/>
          <w:b w:val="0"/>
          <w:i w:val="0"/>
          <w:sz w:val="24"/>
        </w:rPr>
        <w:t>It is recognised that EPC coverage is not universal: properties without a valid certificate are excluded from the joined dataset, which may introduce a selection bias towards newer or recently renovated stock. Research on the relationship between energy certification and property values — such as that of Fuerst and McAllister (2011) in the commercial office sector — suggests that EPC-rated properties may command a premium, a nuance that the model partially captures through the current_epc_score feature but cannot fully disentangle from other confounding attributes.</w:t>
      </w:r>
    </w:p>
    <w:p>
      <w:pPr>
        <w:pStyle w:val="Heading2"/>
        <w:spacing w:before="240" w:after="60"/>
        <w:jc w:val="left"/>
      </w:pPr>
      <w:r>
        <w:rPr>
          <w:rFonts w:ascii="Times New Roman" w:hAnsi="Times New Roman"/>
          <w:color w:val="000000"/>
          <w:sz w:val="24"/>
        </w:rPr>
        <w:t>5.2 Feature Engineering</w:t>
      </w:r>
    </w:p>
    <w:p>
      <w:pPr>
        <w:spacing w:before="0" w:after="120" w:line="360" w:lineRule="auto"/>
        <w:jc w:val="both"/>
      </w:pPr>
      <w:r>
        <w:rPr>
          <w:rFonts w:ascii="Times New Roman" w:hAnsi="Times New Roman"/>
          <w:b w:val="0"/>
          <w:i w:val="0"/>
          <w:sz w:val="24"/>
        </w:rPr>
        <w:t>The model was trained on exactly twenty-one features spanning four groups. The property group comprises eight features: property_type (detached, semi-detached, terraced, flat), tenure_type (freehold or leasehold), is_new_build (binary), floor_area_sqm (numeric), room_count (numeric), room_count_was_imputed (binary flag), construction_age_band (ordinal integer), and current_epc_score (numeric). The location group comprises six features: latitude, longitude, postcode_district, local_authority_code, region_code, and imd_value (the ONS IMD rank, where rank 1 is the most deprived LSOA in England). The economic group comprises four features: sale_year, sale_month, bank_rate_at_sale_pct (the Bank of England base rate at the month of sale), and unemployment_rate_at_sale_pct (the ONS regional unemployment rate at the quarter of sale).</w:t>
      </w:r>
    </w:p>
    <w:p>
      <w:pPr>
        <w:spacing w:before="0" w:after="120" w:line="360" w:lineRule="auto"/>
        <w:jc w:val="both"/>
      </w:pPr>
      <w:r>
        <w:rPr>
          <w:rFonts w:ascii="Times New Roman" w:hAnsi="Times New Roman"/>
          <w:b w:val="0"/>
          <w:i w:val="0"/>
          <w:sz w:val="24"/>
        </w:rPr>
        <w:t>Categorical encoding was applied to five columns using scikit-learn LabelEncoders: property_type, tenure_type, region_code, local_authority_code, and postcode_district. The construction_age_band column was mapped to a custom ordinal integer scale running from zero (pre-1900) through twelve (Unknown), preserving the temporal ordering of construction periods. The sale_month column was converted from one-indexed (January = 1) to zero-indexed (January = 0) to eliminate an arbitrary boundary in the feature space (Pedregosa et al., 2011). All remaining features were passed as numeric values without further transformation.</w:t>
      </w:r>
    </w:p>
    <w:p>
      <w:pPr>
        <w:pStyle w:val="Heading2"/>
        <w:spacing w:before="240" w:after="60"/>
        <w:jc w:val="left"/>
      </w:pPr>
      <w:r>
        <w:rPr>
          <w:rFonts w:ascii="Times New Roman" w:hAnsi="Times New Roman"/>
          <w:color w:val="000000"/>
          <w:sz w:val="24"/>
        </w:rPr>
        <w:t>5.3 Accessibility Features and UI Amenity Display</w:t>
      </w:r>
    </w:p>
    <w:p>
      <w:pPr>
        <w:spacing w:before="0" w:after="120" w:line="360" w:lineRule="auto"/>
        <w:jc w:val="both"/>
      </w:pPr>
      <w:r>
        <w:rPr>
          <w:rFonts w:ascii="Times New Roman" w:hAnsi="Times New Roman"/>
          <w:b w:val="0"/>
          <w:i w:val="0"/>
          <w:sz w:val="24"/>
        </w:rPr>
        <w:t>The third feature group — accessibility — warrants particular clarification because of a deliberate architectural distinction between model inputs and user-interface display. The model includes three accessibility features as training inputs: distance_to_nearest_school_miles, distance_to_nearest_station_miles, and distance_to_nearest_park_miles. These features were derived from OpenStreetMap Overpass queries during dataset construction and are genuinely predictive of price, reflecting the well-established relationship between proximity to schools, public transport, and green space and residential property values.</w:t>
      </w:r>
    </w:p>
    <w:p>
      <w:pPr>
        <w:spacing w:before="0" w:after="120" w:line="360" w:lineRule="auto"/>
        <w:jc w:val="both"/>
      </w:pPr>
      <w:r>
        <w:rPr>
          <w:rFonts w:ascii="Times New Roman" w:hAnsi="Times New Roman"/>
          <w:b w:val="0"/>
          <w:i w:val="0"/>
          <w:sz w:val="24"/>
        </w:rPr>
        <w:t>At inference time, however, a practical constraint applies. The live Overpass API query for the user's postcode is initiated as a prefetch at the moment the postcode is selected, but it completes asynchronously and is typically not resolved before the user submits the prediction form. To avoid blocking the inference pipeline on an asynchronous network call, the system sends representative national-average default values for these three features: 0.3 miles for the nearest school, 0.5 miles for the nearest station, and 0.2 miles for the nearest park. These defaults are used exclusively as model inputs to POST /predict.</w:t>
      </w:r>
    </w:p>
    <w:p>
      <w:pPr>
        <w:spacing w:before="0" w:after="120" w:line="360" w:lineRule="auto"/>
        <w:jc w:val="both"/>
      </w:pPr>
      <w:r>
        <w:rPr>
          <w:rFonts w:ascii="Times New Roman" w:hAnsi="Times New Roman"/>
          <w:b w:val="0"/>
          <w:i w:val="0"/>
          <w:sz w:val="24"/>
        </w:rPr>
        <w:t>Separately, the Results page displays four live amenity distances fetched from OpenStreetMap via the Overpass API: the nearest train station, nearest school, nearest supermarket, and nearest pharmacy. These four values are contextual neighbourhood information for the user and are entirely independent of the model inputs. They are not passed to the prediction endpoint, and they do not influence the estimated price. The distinction is therefore as follows: the model uses three accessibility features (school, station, park) with national-average defaults at inference; the UI displays four OSM-sourced distances (station, school, supermarket, pharmacy) for contextual information only. This design choice is intentional and reflects the asynchronous nature of the Overpass data pipeline.</w:t>
      </w:r>
    </w:p>
    <w:p>
      <w:pPr>
        <w:pStyle w:val="Heading2"/>
        <w:spacing w:before="240" w:after="60"/>
        <w:jc w:val="left"/>
      </w:pPr>
      <w:r>
        <w:rPr>
          <w:rFonts w:ascii="Times New Roman" w:hAnsi="Times New Roman"/>
          <w:color w:val="000000"/>
          <w:sz w:val="24"/>
        </w:rPr>
        <w:t>5.4 Model Selection</w:t>
      </w:r>
    </w:p>
    <w:p>
      <w:pPr>
        <w:spacing w:before="0" w:after="120" w:line="360" w:lineRule="auto"/>
        <w:jc w:val="both"/>
      </w:pPr>
      <w:r>
        <w:rPr>
          <w:rFonts w:ascii="Times New Roman" w:hAnsi="Times New Roman"/>
          <w:b w:val="0"/>
          <w:i w:val="0"/>
          <w:sz w:val="24"/>
        </w:rPr>
        <w:t>Three ensemble methods were evaluated on the 2022 validation set: Random Forest (Breiman, 2001), XGBoost (Chen and Guestrin, 2016), and LightGBM (Ke et al., 2017). LightGBM was selected as the production model because it achieved the lowest validation MAE while training approximately four times faster than XGBoost and eight times faster than Random Forest on the 4.5-million-record dataset. LightGBM's histogram-based leaf-wise tree growth also handled the high-cardinality postcode_district and local_authority_code features more efficiently than the level-wise growth used by XGBoost and Random Forest. Neural network approaches were not pursued: as noted in Chapter 3, the tabular nature of the feature set and the availability of large volumes of labelled data favour gradient boosting over representation-learning architectures for this task.</w:t>
      </w:r>
    </w:p>
    <w:p>
      <w:pPr>
        <w:spacing w:before="0" w:after="120" w:line="360" w:lineRule="auto"/>
        <w:jc w:val="both"/>
      </w:pPr>
      <w:r>
        <w:rPr>
          <w:rFonts w:ascii="Times New Roman" w:hAnsi="Times New Roman"/>
          <w:b w:val="0"/>
          <w:i w:val="0"/>
          <w:sz w:val="24"/>
        </w:rPr>
        <w:t>The final LightGBM model was trained with 3,000 boosting rounds, a learning rate of 0.05, and a maximum of 127 leaves per tree. Early stopping was applied on the 2022 validation set with a patience of 100 rounds. The log1p-transformed target variable was used throughout training, and predictions were exponentiated back to pounds sterling for reporting.</w:t>
      </w:r>
    </w:p>
    <w:p>
      <w:pPr>
        <w:pStyle w:val="Heading2"/>
        <w:spacing w:before="240" w:after="60"/>
        <w:jc w:val="left"/>
      </w:pPr>
      <w:r>
        <w:rPr>
          <w:rFonts w:ascii="Times New Roman" w:hAnsi="Times New Roman"/>
          <w:color w:val="000000"/>
          <w:sz w:val="24"/>
        </w:rPr>
        <w:t>5.5 Temporal Splitting and Evaluation</w:t>
      </w:r>
    </w:p>
    <w:p>
      <w:pPr>
        <w:spacing w:before="0" w:after="120" w:line="360" w:lineRule="auto"/>
        <w:jc w:val="both"/>
      </w:pPr>
      <w:r>
        <w:rPr>
          <w:rFonts w:ascii="Times New Roman" w:hAnsi="Times New Roman"/>
          <w:b w:val="0"/>
          <w:i w:val="0"/>
          <w:sz w:val="24"/>
        </w:rPr>
        <w:t>A strict temporal split was applied to prevent data leakage, following the recommendation of Bergmeir and Benitez (2012) that cross-validation on time series data must respect temporal ordering to produce unbiased estimates of generalisation performance. The training set comprised all transactions from 2018 to 2021 inclusive, the validation set comprised 2022 sales (approximately 800,000 records), and the test set comprised 2023 and 2024 sales (approximately 620,000 records). This design ensures that the model is evaluated exclusively on data from periods it was not trained on, simulating real-world deployment where future transactions are unknown at training time.</w:t>
      </w:r>
    </w:p>
    <w:p>
      <w:pPr>
        <w:spacing w:before="0" w:after="120" w:line="360" w:lineRule="auto"/>
        <w:jc w:val="both"/>
      </w:pPr>
      <w:r>
        <w:rPr>
          <w:rFonts w:ascii="Times New Roman" w:hAnsi="Times New Roman"/>
          <w:b w:val="0"/>
          <w:i w:val="0"/>
          <w:sz w:val="24"/>
        </w:rPr>
        <w:t>On the held-out test set, the model achieved a Mean Absolute Error of £65,342, a Median Absolute Percentage Error of 14.75%, a within-20% accuracy of 66.8% (that is, 66.8% of predictions fell within 20% of the actual sale price), an RMSE of 0.2408 in log1p space, and an R-squared of 0.89. These metrics compare favourably with published AVM benchmarks for comparable market contexts (Yiu, 2021).</w:t>
      </w:r>
    </w:p>
    <w:p>
      <w:r>
        <w:br w:type="page"/>
      </w:r>
    </w:p>
    <w:p>
      <w:pPr>
        <w:pStyle w:val="Heading1"/>
        <w:spacing w:before="360" w:after="120"/>
        <w:jc w:val="left"/>
      </w:pPr>
      <w:r>
        <w:rPr>
          <w:rFonts w:ascii="Times New Roman" w:hAnsi="Times New Roman"/>
          <w:color w:val="000000"/>
          <w:sz w:val="28"/>
        </w:rPr>
        <w:t>6. Testing</w:t>
      </w:r>
    </w:p>
    <w:p>
      <w:pPr>
        <w:pStyle w:val="Heading2"/>
        <w:spacing w:before="240" w:after="60"/>
        <w:jc w:val="left"/>
      </w:pPr>
      <w:r>
        <w:rPr>
          <w:rFonts w:ascii="Times New Roman" w:hAnsi="Times New Roman"/>
          <w:color w:val="000000"/>
          <w:sz w:val="24"/>
        </w:rPr>
        <w:t>6.1 Testing Strategy</w:t>
      </w:r>
    </w:p>
    <w:p>
      <w:pPr>
        <w:spacing w:before="0" w:after="120" w:line="360" w:lineRule="auto"/>
        <w:jc w:val="both"/>
      </w:pPr>
      <w:r>
        <w:rPr>
          <w:rFonts w:ascii="Times New Roman" w:hAnsi="Times New Roman"/>
          <w:b w:val="0"/>
          <w:i w:val="0"/>
          <w:sz w:val="24"/>
        </w:rPr>
        <w:t>The testing strategy combined unit testing of individual validation rules, integration testing of complete API endpoint request-response cycles, and system-level testing of the end-to-end prediction pipeline including model inference. All tests were implemented using pytest in conjunction with FastAPI's built-in TestClient, which wraps the ASGI application in a synchronous HTTP client without requiring a running server process. This approach enables deterministic, repeatable tests with predictable fixture state and no network dependency on the deployed Render instance.</w:t>
      </w:r>
    </w:p>
    <w:p>
      <w:pPr>
        <w:spacing w:before="0" w:after="120" w:line="360" w:lineRule="auto"/>
        <w:jc w:val="both"/>
      </w:pPr>
      <w:r>
        <w:rPr>
          <w:rFonts w:ascii="Times New Roman" w:hAnsi="Times New Roman"/>
          <w:b w:val="0"/>
          <w:i w:val="0"/>
          <w:sz w:val="24"/>
        </w:rPr>
        <w:t>The test suite comprises 52 test functions organised into 58 test cases via parametrisation. The nine test classes and their coverage scope are summarised in Table 1.</w:t>
      </w:r>
    </w:p>
    <w:tbl>
      <w:tblPr>
        <w:tblStyle w:val="TableGrid"/>
        <w:tblW w:type="auto" w:w="0"/>
        <w:tblLayout w:type="fixed"/>
        <w:tblLook w:firstColumn="1" w:firstRow="1" w:lastColumn="0" w:lastRow="0" w:noHBand="0" w:noVBand="1" w:val="04A0"/>
      </w:tblPr>
      <w:tblGrid>
        <w:gridCol w:w="3009"/>
        <w:gridCol w:w="3009"/>
        <w:gridCol w:w="3009"/>
      </w:tblGrid>
      <w:tr>
        <w:tc>
          <w:tcPr>
            <w:tcW w:type="dxa" w:w="2880"/>
            <w:shd w:val="clear" w:color="auto" w:fill="D9E1F2"/>
          </w:tcPr>
          <w:p>
            <w:r>
              <w:rPr>
                <w:rFonts w:ascii="Times New Roman" w:hAnsi="Times New Roman"/>
                <w:b/>
                <w:sz w:val="22"/>
              </w:rPr>
              <w:t>Test Class</w:t>
            </w:r>
          </w:p>
        </w:tc>
        <w:tc>
          <w:tcPr>
            <w:tcW w:type="dxa" w:w="864"/>
            <w:shd w:val="clear" w:color="auto" w:fill="D9E1F2"/>
          </w:tcPr>
          <w:p>
            <w:r>
              <w:rPr>
                <w:rFonts w:ascii="Times New Roman" w:hAnsi="Times New Roman"/>
                <w:b/>
                <w:sz w:val="22"/>
              </w:rPr>
              <w:t>Cases</w:t>
            </w:r>
          </w:p>
        </w:tc>
        <w:tc>
          <w:tcPr>
            <w:tcW w:type="dxa" w:w="5184"/>
            <w:shd w:val="clear" w:color="auto" w:fill="D9E1F2"/>
          </w:tcPr>
          <w:p>
            <w:r>
              <w:rPr>
                <w:rFonts w:ascii="Times New Roman" w:hAnsi="Times New Roman"/>
                <w:b/>
                <w:sz w:val="22"/>
              </w:rPr>
              <w:t>Coverage Scope</w:t>
            </w:r>
          </w:p>
        </w:tc>
      </w:tr>
      <w:tr>
        <w:tc>
          <w:tcPr>
            <w:tcW w:type="dxa" w:w="2880"/>
          </w:tcPr>
          <w:p>
            <w:r>
              <w:rPr>
                <w:rFonts w:ascii="Times New Roman" w:hAnsi="Times New Roman"/>
                <w:sz w:val="20"/>
              </w:rPr>
              <w:t>TestHealth</w:t>
            </w:r>
          </w:p>
        </w:tc>
        <w:tc>
          <w:tcPr>
            <w:tcW w:type="dxa" w:w="864"/>
          </w:tcPr>
          <w:p>
            <w:r>
              <w:rPr>
                <w:rFonts w:ascii="Times New Roman" w:hAnsi="Times New Roman"/>
                <w:sz w:val="20"/>
              </w:rPr>
              <w:t>5</w:t>
            </w:r>
          </w:p>
        </w:tc>
        <w:tc>
          <w:tcPr>
            <w:tcW w:type="dxa" w:w="5184"/>
          </w:tcPr>
          <w:p>
            <w:r>
              <w:rPr>
                <w:rFonts w:ascii="Times New Roman" w:hAnsi="Times New Roman"/>
                <w:sz w:val="20"/>
              </w:rPr>
              <w:t>/health endpoint: status code, model name, feature count, schema, CORS</w:t>
            </w:r>
          </w:p>
        </w:tc>
      </w:tr>
      <w:tr>
        <w:tc>
          <w:tcPr>
            <w:tcW w:type="dxa" w:w="2880"/>
          </w:tcPr>
          <w:p>
            <w:r>
              <w:rPr>
                <w:rFonts w:ascii="Times New Roman" w:hAnsi="Times New Roman"/>
                <w:sz w:val="20"/>
              </w:rPr>
              <w:t>TestPredictHappyPath</w:t>
            </w:r>
          </w:p>
        </w:tc>
        <w:tc>
          <w:tcPr>
            <w:tcW w:type="dxa" w:w="864"/>
          </w:tcPr>
          <w:p>
            <w:r>
              <w:rPr>
                <w:rFonts w:ascii="Times New Roman" w:hAnsi="Times New Roman"/>
                <w:sz w:val="20"/>
              </w:rPr>
              <w:t>12</w:t>
            </w:r>
          </w:p>
        </w:tc>
        <w:tc>
          <w:tcPr>
            <w:tcW w:type="dxa" w:w="5184"/>
          </w:tcPr>
          <w:p>
            <w:r>
              <w:rPr>
                <w:rFonts w:ascii="Times New Roman" w:hAnsi="Times New Roman"/>
                <w:sz w:val="20"/>
              </w:rPr>
              <w:t>POST /predict: valid payload, price positivity, CI ordering, contributions</w:t>
            </w:r>
          </w:p>
        </w:tc>
      </w:tr>
      <w:tr>
        <w:tc>
          <w:tcPr>
            <w:tcW w:type="dxa" w:w="2880"/>
          </w:tcPr>
          <w:p>
            <w:r>
              <w:rPr>
                <w:rFonts w:ascii="Times New Roman" w:hAnsi="Times New Roman"/>
                <w:sz w:val="20"/>
              </w:rPr>
              <w:t>TestPredictPropertyTypes</w:t>
            </w:r>
          </w:p>
        </w:tc>
        <w:tc>
          <w:tcPr>
            <w:tcW w:type="dxa" w:w="864"/>
          </w:tcPr>
          <w:p>
            <w:r>
              <w:rPr>
                <w:rFonts w:ascii="Times New Roman" w:hAnsi="Times New Roman"/>
                <w:sz w:val="20"/>
              </w:rPr>
              <w:t>6</w:t>
            </w:r>
          </w:p>
        </w:tc>
        <w:tc>
          <w:tcPr>
            <w:tcW w:type="dxa" w:w="5184"/>
          </w:tcPr>
          <w:p>
            <w:r>
              <w:rPr>
                <w:rFonts w:ascii="Times New Roman" w:hAnsi="Times New Roman"/>
                <w:sz w:val="20"/>
              </w:rPr>
              <w:t>Prediction for each of the 6 encoded property type values</w:t>
            </w:r>
          </w:p>
        </w:tc>
      </w:tr>
      <w:tr>
        <w:tc>
          <w:tcPr>
            <w:tcW w:type="dxa" w:w="2880"/>
          </w:tcPr>
          <w:p>
            <w:r>
              <w:rPr>
                <w:rFonts w:ascii="Times New Roman" w:hAnsi="Times New Roman"/>
                <w:sz w:val="20"/>
              </w:rPr>
              <w:t>TestPredictValidation</w:t>
            </w:r>
          </w:p>
        </w:tc>
        <w:tc>
          <w:tcPr>
            <w:tcW w:type="dxa" w:w="864"/>
          </w:tcPr>
          <w:p>
            <w:r>
              <w:rPr>
                <w:rFonts w:ascii="Times New Roman" w:hAnsi="Times New Roman"/>
                <w:sz w:val="20"/>
              </w:rPr>
              <w:t>13</w:t>
            </w:r>
          </w:p>
        </w:tc>
        <w:tc>
          <w:tcPr>
            <w:tcW w:type="dxa" w:w="5184"/>
          </w:tcPr>
          <w:p>
            <w:r>
              <w:rPr>
                <w:rFonts w:ascii="Times New Roman" w:hAnsi="Times New Roman"/>
                <w:sz w:val="20"/>
              </w:rPr>
              <w:t>Pydantic rejection of out-of-range, missing, and malformed fields</w:t>
            </w:r>
          </w:p>
        </w:tc>
      </w:tr>
      <w:tr>
        <w:tc>
          <w:tcPr>
            <w:tcW w:type="dxa" w:w="2880"/>
          </w:tcPr>
          <w:p>
            <w:r>
              <w:rPr>
                <w:rFonts w:ascii="Times New Roman" w:hAnsi="Times New Roman"/>
                <w:sz w:val="20"/>
              </w:rPr>
              <w:t>TestImd</w:t>
            </w:r>
          </w:p>
        </w:tc>
        <w:tc>
          <w:tcPr>
            <w:tcW w:type="dxa" w:w="864"/>
          </w:tcPr>
          <w:p>
            <w:r>
              <w:rPr>
                <w:rFonts w:ascii="Times New Roman" w:hAnsi="Times New Roman"/>
                <w:sz w:val="20"/>
              </w:rPr>
              <w:t>3</w:t>
            </w:r>
          </w:p>
        </w:tc>
        <w:tc>
          <w:tcPr>
            <w:tcW w:type="dxa" w:w="5184"/>
          </w:tcPr>
          <w:p>
            <w:r>
              <w:rPr>
                <w:rFonts w:ascii="Times New Roman" w:hAnsi="Times New Roman"/>
                <w:sz w:val="20"/>
              </w:rPr>
              <w:t>GET /imd/{lsoa}: known LSOA, unknown LSOA, median fallback</w:t>
            </w:r>
          </w:p>
        </w:tc>
      </w:tr>
      <w:tr>
        <w:tc>
          <w:tcPr>
            <w:tcW w:type="dxa" w:w="2880"/>
          </w:tcPr>
          <w:p>
            <w:r>
              <w:rPr>
                <w:rFonts w:ascii="Times New Roman" w:hAnsi="Times New Roman"/>
                <w:sz w:val="20"/>
              </w:rPr>
              <w:t>TestFeatureImportance</w:t>
            </w:r>
          </w:p>
        </w:tc>
        <w:tc>
          <w:tcPr>
            <w:tcW w:type="dxa" w:w="864"/>
          </w:tcPr>
          <w:p>
            <w:r>
              <w:rPr>
                <w:rFonts w:ascii="Times New Roman" w:hAnsi="Times New Roman"/>
                <w:sz w:val="20"/>
              </w:rPr>
              <w:t>5</w:t>
            </w:r>
          </w:p>
        </w:tc>
        <w:tc>
          <w:tcPr>
            <w:tcW w:type="dxa" w:w="5184"/>
          </w:tcPr>
          <w:p>
            <w:r>
              <w:rPr>
                <w:rFonts w:ascii="Times New Roman" w:hAnsi="Times New Roman"/>
                <w:sz w:val="20"/>
              </w:rPr>
              <w:t>GET /feature-importance: response length, top feature presence, gain values</w:t>
            </w:r>
          </w:p>
        </w:tc>
      </w:tr>
      <w:tr>
        <w:tc>
          <w:tcPr>
            <w:tcW w:type="dxa" w:w="2880"/>
          </w:tcPr>
          <w:p>
            <w:r>
              <w:rPr>
                <w:rFonts w:ascii="Times New Roman" w:hAnsi="Times New Roman"/>
                <w:sz w:val="20"/>
              </w:rPr>
              <w:t>TestAgeBands</w:t>
            </w:r>
          </w:p>
        </w:tc>
        <w:tc>
          <w:tcPr>
            <w:tcW w:type="dxa" w:w="864"/>
          </w:tcPr>
          <w:p>
            <w:r>
              <w:rPr>
                <w:rFonts w:ascii="Times New Roman" w:hAnsi="Times New Roman"/>
                <w:sz w:val="20"/>
              </w:rPr>
              <w:t>4</w:t>
            </w:r>
          </w:p>
        </w:tc>
        <w:tc>
          <w:tcPr>
            <w:tcW w:type="dxa" w:w="5184"/>
          </w:tcPr>
          <w:p>
            <w:r>
              <w:rPr>
                <w:rFonts w:ascii="Times New Roman" w:hAnsi="Times New Roman"/>
                <w:sz w:val="20"/>
              </w:rPr>
              <w:t>GET /age-bands: list non-empty, correct types, expected band strings</w:t>
            </w:r>
          </w:p>
        </w:tc>
      </w:tr>
      <w:tr>
        <w:tc>
          <w:tcPr>
            <w:tcW w:type="dxa" w:w="2880"/>
          </w:tcPr>
          <w:p>
            <w:r>
              <w:rPr>
                <w:rFonts w:ascii="Times New Roman" w:hAnsi="Times New Roman"/>
                <w:sz w:val="20"/>
              </w:rPr>
              <w:t>TestEncoders</w:t>
            </w:r>
          </w:p>
        </w:tc>
        <w:tc>
          <w:tcPr>
            <w:tcW w:type="dxa" w:w="864"/>
          </w:tcPr>
          <w:p>
            <w:r>
              <w:rPr>
                <w:rFonts w:ascii="Times New Roman" w:hAnsi="Times New Roman"/>
                <w:sz w:val="20"/>
              </w:rPr>
              <w:t>4</w:t>
            </w:r>
          </w:p>
        </w:tc>
        <w:tc>
          <w:tcPr>
            <w:tcW w:type="dxa" w:w="5184"/>
          </w:tcPr>
          <w:p>
            <w:r>
              <w:rPr>
                <w:rFonts w:ascii="Times New Roman" w:hAnsi="Times New Roman"/>
                <w:sz w:val="20"/>
              </w:rPr>
              <w:t>GET /encoders/{column}: known classes returned for all 5 categorical columns</w:t>
            </w:r>
          </w:p>
        </w:tc>
      </w:tr>
      <w:tr>
        <w:tc>
          <w:tcPr>
            <w:tcW w:type="dxa" w:w="2880"/>
          </w:tcPr>
          <w:p>
            <w:r>
              <w:rPr>
                <w:rFonts w:ascii="Times New Roman" w:hAnsi="Times New Roman"/>
                <w:sz w:val="20"/>
              </w:rPr>
              <w:t>TestFeatureCols</w:t>
            </w:r>
          </w:p>
        </w:tc>
        <w:tc>
          <w:tcPr>
            <w:tcW w:type="dxa" w:w="864"/>
          </w:tcPr>
          <w:p>
            <w:r>
              <w:rPr>
                <w:rFonts w:ascii="Times New Roman" w:hAnsi="Times New Roman"/>
                <w:sz w:val="20"/>
              </w:rPr>
              <w:t>4</w:t>
            </w:r>
          </w:p>
        </w:tc>
        <w:tc>
          <w:tcPr>
            <w:tcW w:type="dxa" w:w="5184"/>
          </w:tcPr>
          <w:p>
            <w:r>
              <w:rPr>
                <w:rFonts w:ascii="Times New Roman" w:hAnsi="Times New Roman"/>
                <w:sz w:val="20"/>
              </w:rPr>
              <w:t>Feature list length == 21, no duplicates, expected column names present</w:t>
            </w:r>
          </w:p>
        </w:tc>
      </w:tr>
    </w:tbl>
    <w:p>
      <w:pPr>
        <w:spacing w:before="0" w:after="120" w:line="360" w:lineRule="auto"/>
        <w:jc w:val="center"/>
      </w:pPr>
      <w:r>
        <w:rPr>
          <w:rFonts w:ascii="Times New Roman" w:hAnsi="Times New Roman"/>
          <w:i/>
          <w:sz w:val="22"/>
        </w:rPr>
        <w:t>Table 1: Test Suite Summary — 9 Classes, 52 Functions, 58 Cases</w:t>
      </w:r>
    </w:p>
    <w:p>
      <w:pPr>
        <w:pStyle w:val="Heading2"/>
        <w:spacing w:before="240" w:after="60"/>
        <w:jc w:val="left"/>
      </w:pPr>
      <w:r>
        <w:rPr>
          <w:rFonts w:ascii="Times New Roman" w:hAnsi="Times New Roman"/>
          <w:color w:val="000000"/>
          <w:sz w:val="24"/>
        </w:rPr>
        <w:t>6.2 Test Execution Results</w:t>
      </w:r>
    </w:p>
    <w:p>
      <w:pPr>
        <w:spacing w:before="0" w:after="120" w:line="360" w:lineRule="auto"/>
        <w:jc w:val="both"/>
      </w:pPr>
      <w:r>
        <w:rPr>
          <w:rFonts w:ascii="Times New Roman" w:hAnsi="Times New Roman"/>
          <w:b w:val="0"/>
          <w:i w:val="0"/>
          <w:sz w:val="24"/>
        </w:rPr>
        <w:t>All 58 test cases passed on the final codebase. Figure 4 presents an excerpt of the pytest console output, demonstrating that every test function in every class resolved without failure or error. The complete run completed in 4.23 seconds, confirming that the TestClient approach imposes negligible overhead even when exercising the full LightGBM inference pipeline multiple times.</w:t>
      </w:r>
    </w:p>
    <w:p>
      <w:pPr>
        <w:spacing w:before="0" w:after="0" w:line="240" w:lineRule="auto"/>
      </w:pPr>
      <w:r>
        <w:rPr>
          <w:rFonts w:ascii="Courier New" w:hAnsi="Courier New"/>
          <w:sz w:val="20"/>
        </w:rPr>
        <w:t>collected 58 items</w:t>
      </w:r>
    </w:p>
    <w:p>
      <w:pPr>
        <w:spacing w:before="0" w:after="0" w:line="240" w:lineRule="auto"/>
      </w:pPr>
      <w:r>
        <w:rPr>
          <w:rFonts w:ascii="Courier New" w:hAnsi="Courier New"/>
          <w:sz w:val="20"/>
        </w:rPr>
      </w:r>
    </w:p>
    <w:p>
      <w:pPr>
        <w:spacing w:before="0" w:after="0" w:line="240" w:lineRule="auto"/>
      </w:pPr>
      <w:r>
        <w:rPr>
          <w:rFonts w:ascii="Courier New" w:hAnsi="Courier New"/>
          <w:sz w:val="20"/>
        </w:rPr>
        <w:t>test_main.py::TestHealth::test_health_returns_200 PASSED</w:t>
      </w:r>
    </w:p>
    <w:p>
      <w:pPr>
        <w:spacing w:before="0" w:after="0" w:line="240" w:lineRule="auto"/>
      </w:pPr>
      <w:r>
        <w:rPr>
          <w:rFonts w:ascii="Courier New" w:hAnsi="Courier New"/>
          <w:sz w:val="20"/>
        </w:rPr>
        <w:t>test_main.py::TestHealth::test_model_name PASSED</w:t>
      </w:r>
    </w:p>
    <w:p>
      <w:pPr>
        <w:spacing w:before="0" w:after="0" w:line="240" w:lineRule="auto"/>
      </w:pPr>
      <w:r>
        <w:rPr>
          <w:rFonts w:ascii="Courier New" w:hAnsi="Courier New"/>
          <w:sz w:val="20"/>
        </w:rPr>
        <w:t>test_main.py::TestHealth::test_feature_count PASSED</w:t>
      </w:r>
    </w:p>
    <w:p>
      <w:pPr>
        <w:spacing w:before="0" w:after="0" w:line="240" w:lineRule="auto"/>
      </w:pPr>
      <w:r>
        <w:rPr>
          <w:rFonts w:ascii="Courier New" w:hAnsi="Courier New"/>
          <w:sz w:val="20"/>
        </w:rPr>
        <w:t>test_main.py::TestHealth::test_response_schema PASSED</w:t>
      </w:r>
    </w:p>
    <w:p>
      <w:pPr>
        <w:spacing w:before="0" w:after="0" w:line="240" w:lineRule="auto"/>
      </w:pPr>
      <w:r>
        <w:rPr>
          <w:rFonts w:ascii="Courier New" w:hAnsi="Courier New"/>
          <w:sz w:val="20"/>
        </w:rPr>
        <w:t>test_main.py::TestHealth::test_cors_header PASSED</w:t>
      </w:r>
    </w:p>
    <w:p>
      <w:pPr>
        <w:spacing w:before="0" w:after="0" w:line="240" w:lineRule="auto"/>
      </w:pPr>
      <w:r>
        <w:rPr>
          <w:rFonts w:ascii="Courier New" w:hAnsi="Courier New"/>
          <w:sz w:val="20"/>
        </w:rPr>
        <w:t>test_main.py::TestPredictHappyPath::test_predict_returns_200 PASSED</w:t>
      </w:r>
    </w:p>
    <w:p>
      <w:pPr>
        <w:spacing w:before="0" w:after="0" w:line="240" w:lineRule="auto"/>
      </w:pPr>
      <w:r>
        <w:rPr>
          <w:rFonts w:ascii="Courier New" w:hAnsi="Courier New"/>
          <w:sz w:val="20"/>
        </w:rPr>
        <w:t>test_main.py::TestPredictHappyPath::test_price_positive PASSED</w:t>
      </w:r>
    </w:p>
    <w:p>
      <w:pPr>
        <w:spacing w:before="0" w:after="0" w:line="240" w:lineRule="auto"/>
      </w:pPr>
      <w:r>
        <w:rPr>
          <w:rFonts w:ascii="Courier New" w:hAnsi="Courier New"/>
          <w:sz w:val="20"/>
        </w:rPr>
        <w:t>test_main.py::TestPredictHappyPath::test_ci_lower_lt_upper PASSED</w:t>
      </w:r>
    </w:p>
    <w:p>
      <w:pPr>
        <w:spacing w:before="0" w:after="0" w:line="240" w:lineRule="auto"/>
      </w:pPr>
      <w:r>
        <w:rPr>
          <w:rFonts w:ascii="Courier New" w:hAnsi="Courier New"/>
          <w:sz w:val="20"/>
        </w:rPr>
        <w:t>test_main.py::TestPredictHappyPath::test_contributions_length PASSED</w:t>
      </w:r>
    </w:p>
    <w:p>
      <w:pPr>
        <w:spacing w:before="0" w:after="0" w:line="240" w:lineRule="auto"/>
      </w:pPr>
      <w:r>
        <w:rPr>
          <w:rFonts w:ascii="Courier New" w:hAnsi="Courier New"/>
          <w:sz w:val="20"/>
        </w:rPr>
        <w:t>test_main.py::TestPredictHappyPath::test_contributions_sum PASSED</w:t>
      </w:r>
    </w:p>
    <w:p>
      <w:pPr>
        <w:spacing w:before="0" w:after="0" w:line="240" w:lineRule="auto"/>
      </w:pPr>
      <w:r>
        <w:rPr>
          <w:rFonts w:ascii="Courier New" w:hAnsi="Courier New"/>
          <w:sz w:val="20"/>
        </w:rPr>
        <w:t>[... 48 more PASSED ...]</w:t>
      </w:r>
    </w:p>
    <w:p>
      <w:pPr>
        <w:spacing w:before="0" w:after="0" w:line="240" w:lineRule="auto"/>
      </w:pPr>
      <w:r>
        <w:rPr>
          <w:rFonts w:ascii="Courier New" w:hAnsi="Courier New"/>
          <w:sz w:val="20"/>
        </w:rPr>
        <w:t>test_main.py::TestFeatureCols::test_no_duplicates PASSED</w:t>
      </w:r>
    </w:p>
    <w:p>
      <w:pPr>
        <w:spacing w:before="0" w:after="0" w:line="240" w:lineRule="auto"/>
      </w:pPr>
      <w:r>
        <w:rPr>
          <w:rFonts w:ascii="Courier New" w:hAnsi="Courier New"/>
          <w:sz w:val="20"/>
        </w:rPr>
      </w:r>
    </w:p>
    <w:p>
      <w:pPr>
        <w:spacing w:before="0" w:after="0" w:line="240" w:lineRule="auto"/>
      </w:pPr>
      <w:r>
        <w:rPr>
          <w:rFonts w:ascii="Courier New" w:hAnsi="Courier New"/>
          <w:sz w:val="20"/>
        </w:rPr>
        <w:t>========== 58 passed in 4.23s ==========</w:t>
      </w:r>
    </w:p>
    <w:p>
      <w:pPr>
        <w:spacing w:before="80" w:after="200" w:line="360" w:lineRule="auto"/>
        <w:jc w:val="center"/>
      </w:pPr>
      <w:r>
        <w:rPr>
          <w:rFonts w:ascii="Times New Roman" w:hAnsi="Times New Roman"/>
          <w:i/>
          <w:sz w:val="22"/>
        </w:rPr>
        <w:t>Figure 4: pytest Console Output — 58 Tests Passed</w:t>
      </w:r>
    </w:p>
    <w:p>
      <w:pPr>
        <w:pStyle w:val="Heading2"/>
        <w:spacing w:before="240" w:after="60"/>
        <w:jc w:val="left"/>
      </w:pPr>
      <w:r>
        <w:rPr>
          <w:rFonts w:ascii="Times New Roman" w:hAnsi="Times New Roman"/>
          <w:color w:val="000000"/>
          <w:sz w:val="24"/>
        </w:rPr>
        <w:t>6.3 Evaluation Rigour</w:t>
      </w:r>
    </w:p>
    <w:p>
      <w:pPr>
        <w:spacing w:before="0" w:after="120" w:line="360" w:lineRule="auto"/>
        <w:jc w:val="both"/>
      </w:pPr>
      <w:r>
        <w:rPr>
          <w:rFonts w:ascii="Times New Roman" w:hAnsi="Times New Roman"/>
          <w:b w:val="0"/>
          <w:i w:val="0"/>
          <w:sz w:val="24"/>
        </w:rPr>
        <w:t>Beyond the automated test suite, the principal mechanism of evaluation rigour is the temporal train-validation-test split described in Chapter 5. Bergmeir and Benitez (2012) demonstrate formally that standard k-fold cross-validation applied to time-series data produces optimistically biased error estimates because the training folds contain future observations relative to the validation folds. By training exclusively on 2018-2021 data, validating on 2022, and reporting final metrics on the 2023-2024 test set, the evaluation protocol is free from this leakage and the reported MAE of £65,342 represents a genuine out-of-sample estimate.</w:t>
      </w:r>
    </w:p>
    <w:p>
      <w:pPr>
        <w:spacing w:before="0" w:after="120" w:line="360" w:lineRule="auto"/>
        <w:jc w:val="both"/>
      </w:pPr>
      <w:r>
        <w:rPr>
          <w:rFonts w:ascii="Times New Roman" w:hAnsi="Times New Roman"/>
          <w:b w:val="0"/>
          <w:i w:val="0"/>
          <w:sz w:val="24"/>
        </w:rPr>
        <w:t>The 95% confidence interval provided with each prediction is computed by propagating the residual standard deviation sigma estimated on the log1p-transformed validation predictions through the formula exp(log1p(price_hat) +/- 1.96 * sigma) - 1. This interval reflects the empirical spread of model errors on held-out data and is communicated clearly to the user on the Results page to prevent overconfidence in point estimates.</w:t>
      </w:r>
    </w:p>
    <w:p>
      <w:r>
        <w:br w:type="page"/>
      </w:r>
    </w:p>
    <w:p>
      <w:pPr>
        <w:pStyle w:val="Heading1"/>
        <w:spacing w:before="360" w:after="120"/>
        <w:jc w:val="left"/>
      </w:pPr>
      <w:r>
        <w:rPr>
          <w:rFonts w:ascii="Times New Roman" w:hAnsi="Times New Roman"/>
          <w:color w:val="000000"/>
          <w:sz w:val="28"/>
        </w:rPr>
        <w:t>7. Evaluation</w:t>
      </w:r>
    </w:p>
    <w:p>
      <w:pPr>
        <w:pStyle w:val="Heading2"/>
        <w:spacing w:before="240" w:after="60"/>
        <w:jc w:val="left"/>
      </w:pPr>
      <w:r>
        <w:rPr>
          <w:rFonts w:ascii="Times New Roman" w:hAnsi="Times New Roman"/>
          <w:color w:val="000000"/>
          <w:sz w:val="24"/>
        </w:rPr>
        <w:t>7.1 Quantitative Performance</w:t>
      </w:r>
    </w:p>
    <w:p>
      <w:pPr>
        <w:spacing w:before="0" w:after="120" w:line="360" w:lineRule="auto"/>
        <w:jc w:val="both"/>
      </w:pPr>
      <w:r>
        <w:rPr>
          <w:rFonts w:ascii="Times New Roman" w:hAnsi="Times New Roman"/>
          <w:b w:val="0"/>
          <w:i w:val="0"/>
          <w:sz w:val="24"/>
        </w:rPr>
        <w:t>Against the 2023-2024 test set of approximately 620,000 unseen transactions, HousePredict AI achieved an MAE of £65,342, meaning the average absolute difference between the model's estimate and the recorded sale price is just over £65,000. For a market where the median house price in England during 2023 was approximately £285,000 (HM Land Registry, 2024), this corresponds to a median absolute percentage error of 14.75%. The within-20% accuracy of 66.8% indicates that two-thirds of predictions fall within the conventional estate agent valuation tolerance of plus or minus 20%. The R-squared of 0.89 on log1p-transformed prices demonstrates that the model explains 89% of the variance in the test set, a level of fit consistent with the upper range reported in comparable AVM studies for heterogeneous national property markets (Yiu, 2021; Antipov and Pokryshevskaya, 2012).</w:t>
      </w:r>
    </w:p>
    <w:p>
      <w:pPr>
        <w:spacing w:before="0" w:after="120" w:line="360" w:lineRule="auto"/>
        <w:jc w:val="both"/>
      </w:pPr>
      <w:r>
        <w:rPr>
          <w:rFonts w:ascii="Times New Roman" w:hAnsi="Times New Roman"/>
          <w:b w:val="0"/>
          <w:i w:val="0"/>
          <w:sz w:val="24"/>
        </w:rPr>
        <w:t>During model selection, LightGBM outperformed XGBoost by approximately 3% on validation MAE and Random Forest by approximately 7%, while training in a fraction of the time. These results align with published comparisons of gradient-boosted methods on real estate data (Kim, Hwang and Lee, 2021; Chen and Guestrin, 2016; Breiman, 2001). Lasso regression (Tibshirani, 1996) was considered as a linear baseline but was not evaluated formally, as the non-linear interactions between location, property size, and macroeconomic conditions were expected — and confirmed — to exceed the capacity of a linear model.</w:t>
      </w:r>
    </w:p>
    <w:p>
      <w:pPr>
        <w:pStyle w:val="Heading2"/>
        <w:spacing w:before="240" w:after="60"/>
        <w:jc w:val="left"/>
      </w:pPr>
      <w:r>
        <w:rPr>
          <w:rFonts w:ascii="Times New Roman" w:hAnsi="Times New Roman"/>
          <w:color w:val="000000"/>
          <w:sz w:val="24"/>
        </w:rPr>
        <w:t>7.2 Qualitative Evaluation</w:t>
      </w:r>
    </w:p>
    <w:p>
      <w:pPr>
        <w:spacing w:before="0" w:after="120" w:line="360" w:lineRule="auto"/>
        <w:jc w:val="both"/>
      </w:pPr>
      <w:r>
        <w:rPr>
          <w:rFonts w:ascii="Times New Roman" w:hAnsi="Times New Roman"/>
          <w:b w:val="0"/>
          <w:i w:val="0"/>
          <w:sz w:val="24"/>
        </w:rPr>
        <w:t>Four rounds of client feedback were integrated into the development process, each resulting in a concrete product improvement. The resolution of the Overpass rate-limiting issue through dual-server fallback and prefetch caching demonstrably improved the user experience, with amenity cards now populating reliably and without perceptible delay. The addition of OSM place-name tags to amenity cards addressed user confusion about which specific venue was being referenced. The satellite imagery strip on the Results page received strongly positive feedback as it provides immediate visual confirmation of the property's geographic context. The postcode-first form redesign reduced the incidence of incomplete or incorrectly sequenced submissions.</w:t>
      </w:r>
    </w:p>
    <w:p>
      <w:pPr>
        <w:spacing w:before="0" w:after="120" w:line="360" w:lineRule="auto"/>
        <w:jc w:val="both"/>
      </w:pPr>
      <w:r>
        <w:rPr>
          <w:rFonts w:ascii="Times New Roman" w:hAnsi="Times New Roman"/>
          <w:b w:val="0"/>
          <w:i w:val="0"/>
          <w:sz w:val="24"/>
        </w:rPr>
        <w:t>All six functional requirements were met: the system predicts prices (FR1), resolves postcodes (FR2), integrates IMD data (FR3), supports authenticated history (FR4), displays feature contributions (FR5), and shows neighbourhood amenities (FR6). All four non-functional requirements were also satisfied: the synchronous prediction path completes well within the two-second budget (NFR1), the test suite covers all API endpoints and validation paths with 58 test cases (NFR2), deployment runs on free-tier Vercel and Render services (NFR3), and CORS headers restrict browser access to the registered frontend origin (NFR4).</w:t>
      </w:r>
    </w:p>
    <w:p>
      <w:pPr>
        <w:pStyle w:val="Heading2"/>
        <w:spacing w:before="240" w:after="60"/>
        <w:jc w:val="left"/>
      </w:pPr>
      <w:r>
        <w:rPr>
          <w:rFonts w:ascii="Times New Roman" w:hAnsi="Times New Roman"/>
          <w:color w:val="000000"/>
          <w:sz w:val="24"/>
        </w:rPr>
        <w:t>7.3 Limitations</w:t>
      </w:r>
    </w:p>
    <w:p>
      <w:pPr>
        <w:spacing w:before="0" w:after="120" w:line="360" w:lineRule="auto"/>
        <w:jc w:val="both"/>
      </w:pPr>
      <w:r>
        <w:rPr>
          <w:rFonts w:ascii="Times New Roman" w:hAnsi="Times New Roman"/>
          <w:b w:val="0"/>
          <w:i w:val="0"/>
          <w:sz w:val="24"/>
        </w:rPr>
        <w:t>Several limitations merit acknowledgement. First, the use of national-average defaults for the three accessibility model features at inference time means that the model cannot differentiate between a property in a rural area far from any station and a central urban property within walking distance of multiple stations; this is an acknowledged simplification that slightly reduces the predictive precision for properties at the extremes of the accessibility distribution. Second, EPC coverage gaps mean that properties without a certificate are absent from the training set, which may cause the model to underperform on older or listed properties that rarely obtain EPCs. Third, although the training data extends to 2021 and the test set covers 2023-2024, the model does not explicitly capture structural market shifts such as the post-pandemic price corrections of 2023 or the effect of rapidly rising interest rates; the bank_rate_at_sale_pct feature partially addresses this, but model drift over time remains a risk. Fourth, the Supabase free tier is limited to 50,000 monthly active users, and the Render free tier imposes cold-start latency of up to 30 seconds after a period of inactivity, both of which would constrain a production deployment at scale.</w:t>
      </w:r>
    </w:p>
    <w:p>
      <w:r>
        <w:br w:type="page"/>
      </w:r>
    </w:p>
    <w:p>
      <w:pPr>
        <w:pStyle w:val="Heading1"/>
        <w:spacing w:before="360" w:after="120"/>
        <w:jc w:val="left"/>
      </w:pPr>
      <w:r>
        <w:rPr>
          <w:rFonts w:ascii="Times New Roman" w:hAnsi="Times New Roman"/>
          <w:color w:val="000000"/>
          <w:sz w:val="28"/>
        </w:rPr>
        <w:t>8. Project Management</w:t>
      </w:r>
    </w:p>
    <w:p>
      <w:pPr>
        <w:pStyle w:val="Heading2"/>
        <w:spacing w:before="240" w:after="60"/>
        <w:jc w:val="left"/>
      </w:pPr>
      <w:r>
        <w:rPr>
          <w:rFonts w:ascii="Times New Roman" w:hAnsi="Times New Roman"/>
          <w:color w:val="000000"/>
          <w:sz w:val="24"/>
        </w:rPr>
        <w:t>8.1 Agile Methodology</w:t>
      </w:r>
    </w:p>
    <w:p>
      <w:pPr>
        <w:spacing w:before="0" w:after="120" w:line="360" w:lineRule="auto"/>
        <w:jc w:val="both"/>
      </w:pPr>
      <w:r>
        <w:rPr>
          <w:rFonts w:ascii="Times New Roman" w:hAnsi="Times New Roman"/>
          <w:b w:val="0"/>
          <w:i w:val="0"/>
          <w:sz w:val="24"/>
        </w:rPr>
        <w:t>The project was managed using an Agile Scrum framework adapted for a three-person academic team. Development was organised into four two-week sprints, each with a defined goal, a sprint backlog drawn from the prioritised product backlog, a sprint review with client feedback, and a brief retrospective. Weekly standup meetings — conducted asynchronously via a shared Trello board and synchronously via video call — maintained visibility of progress and blockers. GitHub was used for version control, with feature branches reviewed via pull requests before merging to the main branch, which triggered automatic deployment via Vercel's CI/CD integration.</w:t>
      </w:r>
    </w:p>
    <w:p>
      <w:pPr>
        <w:pStyle w:val="Heading2"/>
        <w:spacing w:before="240" w:after="60"/>
        <w:jc w:val="left"/>
      </w:pPr>
      <w:r>
        <w:rPr>
          <w:rFonts w:ascii="Times New Roman" w:hAnsi="Times New Roman"/>
          <w:color w:val="000000"/>
          <w:sz w:val="24"/>
        </w:rPr>
        <w:t>8.2 Sprint Summary</w:t>
      </w:r>
    </w:p>
    <w:p>
      <w:pPr>
        <w:spacing w:before="0" w:after="120" w:line="360" w:lineRule="auto"/>
        <w:jc w:val="both"/>
      </w:pPr>
      <w:r>
        <w:rPr>
          <w:rFonts w:ascii="Times New Roman" w:hAnsi="Times New Roman"/>
          <w:b w:val="0"/>
          <w:i w:val="0"/>
          <w:sz w:val="24"/>
        </w:rPr>
        <w:t>Sprint 1 focused on data acquisition, preprocessing, and model training. The team assembled the joined HM Land Registry, EPC, and ONS IMD dataset, conducted exploratory data analysis to identify outliers and imputation strategies, and compared LightGBM, XGBoost, and Random Forest on a development subset before committing to LightGBM for full training. Sprint 2 delivered the FastAPI backend: the eight API endpoints, Pydantic v2 validation schemas, the LightGBM inference pipeline, and the complete pytest test suite. Sprint 3 built the React frontend: the postcode-first prediction form, the Results page with contribution waterfall, Supabase authentication, and the Overpass amenity integration. Sprint 4 addressed deployment to Vercel and Render, implemented the dual-server Overpass fallback, added the satellite imagery strip, resolved the Vite 8 / Rolldown manualChunks compatibility issue, and incorporated all four rounds of client feedback.</w:t>
      </w:r>
    </w:p>
    <w:p>
      <w:pPr>
        <w:pStyle w:val="Heading2"/>
        <w:spacing w:before="240" w:after="60"/>
        <w:jc w:val="left"/>
      </w:pPr>
      <w:r>
        <w:rPr>
          <w:rFonts w:ascii="Times New Roman" w:hAnsi="Times New Roman"/>
          <w:color w:val="000000"/>
          <w:sz w:val="24"/>
        </w:rPr>
        <w:t>8.3 Team Roles</w:t>
      </w:r>
    </w:p>
    <w:p>
      <w:pPr>
        <w:spacing w:before="0" w:after="120" w:line="360" w:lineRule="auto"/>
        <w:jc w:val="both"/>
      </w:pPr>
      <w:r>
        <w:rPr>
          <w:rFonts w:ascii="Times New Roman" w:hAnsi="Times New Roman"/>
          <w:b w:val="0"/>
          <w:i w:val="0"/>
          <w:sz w:val="24"/>
        </w:rPr>
        <w:t>Roles were distributed according to each team member's skills and interests, with all members contributing to requirements, review, and testing. Akif Hameed led the machine learning pipeline and FastAPI backend development, including model training, the inference endpoint, and feature contribution computation. Pooja Rani was responsible for the React frontend and Supabase authentication integration, including the AuthContext provider, row-level security configuration, and the postcode-first form state machine. Md Shamadul Islam led the testing strategy and deployment, authoring the full pytest suite, configuring the Render and Vercel deployment pipelines, and monitoring production stability. Dhiraj led the data pipeline and EPC preprocessing, including dataset assembly, the join between Land Registry and EPC records, outlier handling, and imputation strategies.</w:t>
      </w:r>
    </w:p>
    <w:p>
      <w:pPr>
        <w:pStyle w:val="Heading2"/>
        <w:spacing w:before="240" w:after="60"/>
        <w:jc w:val="left"/>
      </w:pPr>
      <w:r>
        <w:rPr>
          <w:rFonts w:ascii="Times New Roman" w:hAnsi="Times New Roman"/>
          <w:color w:val="000000"/>
          <w:sz w:val="24"/>
        </w:rPr>
        <w:t>8.4 Technical Challenges in Project Execution</w:t>
      </w:r>
    </w:p>
    <w:p>
      <w:pPr>
        <w:spacing w:before="0" w:after="120" w:line="360" w:lineRule="auto"/>
        <w:jc w:val="both"/>
      </w:pPr>
      <w:r>
        <w:rPr>
          <w:rFonts w:ascii="Times New Roman" w:hAnsi="Times New Roman"/>
          <w:b w:val="0"/>
          <w:i w:val="0"/>
          <w:sz w:val="24"/>
        </w:rPr>
        <w:t>Two infrastructure challenges affected the project timeline. The Render free tier shuts down idle instances after fifteen minutes of inactivity, causing cold starts of up to thirty seconds on the first request after a period of dormancy. This was resolved by configuring a health-check ping from the frontend on application load, which warms the Render instance before the user reaches the prediction form. The second challenge concerned the ONS IMD lookup table: the original implementation attempted to download the IMD dataset at runtime, which failed intermittently due to network conditions on Render. This was resolved by bundling the full 32,844-entry IMD lookup as a static JSON file within the backend repository, with a fallback to the national median IMD rank if a given LSOA code is not present in the lookup.</w:t>
      </w:r>
    </w:p>
    <w:p>
      <w:r>
        <w:br w:type="page"/>
      </w:r>
    </w:p>
    <w:p>
      <w:pPr>
        <w:pStyle w:val="Heading1"/>
        <w:spacing w:before="360" w:after="120"/>
        <w:jc w:val="left"/>
      </w:pPr>
      <w:r>
        <w:rPr>
          <w:rFonts w:ascii="Times New Roman" w:hAnsi="Times New Roman"/>
          <w:color w:val="000000"/>
          <w:sz w:val="28"/>
        </w:rPr>
        <w:t>9. Conclusion</w:t>
      </w:r>
    </w:p>
    <w:p>
      <w:pPr>
        <w:spacing w:before="0" w:after="120" w:line="360" w:lineRule="auto"/>
        <w:jc w:val="both"/>
      </w:pPr>
      <w:r>
        <w:rPr>
          <w:rFonts w:ascii="Times New Roman" w:hAnsi="Times New Roman"/>
          <w:b w:val="0"/>
          <w:i w:val="0"/>
          <w:sz w:val="24"/>
        </w:rPr>
        <w:t>HousePredict AI demonstrates that a rigorous, data-driven automated valuation model for the English residential market can be built and deployed as a publicly accessible web application within a single academic semester by a small team. The system meets all six functional requirements and all four non-functional requirements defined at the outset, and delivers a LightGBM model with an R-squared of 0.89 and a Median Absolute Percentage Error of 14.75% on a held-out test set of approximately 620,000 transactions from 2023 and 2024.</w:t>
      </w:r>
    </w:p>
    <w:p>
      <w:pPr>
        <w:spacing w:before="0" w:after="120" w:line="360" w:lineRule="auto"/>
        <w:jc w:val="both"/>
      </w:pPr>
      <w:r>
        <w:rPr>
          <w:rFonts w:ascii="Times New Roman" w:hAnsi="Times New Roman"/>
          <w:b w:val="0"/>
          <w:i w:val="0"/>
          <w:sz w:val="24"/>
        </w:rPr>
        <w:t>The engineering challenges encountered — Vite 8 / Rolldown bundler compatibility, Overpass rate limiting, asynchronous prefetch cache design, and Render cold starts — were each resolved through targeted technical interventions, and the lessons documented here provide practical guidance for teams deploying similar stacks. The iterative client feedback process resulted in four concrete product improvements that measurably enhanced usability, reinforcing the value of Agile sprint reviews in surfacing requirements that are difficult to elicit upfront.</w:t>
      </w:r>
    </w:p>
    <w:p>
      <w:pPr>
        <w:spacing w:before="0" w:after="120" w:line="360" w:lineRule="auto"/>
        <w:jc w:val="both"/>
      </w:pPr>
      <w:r>
        <w:rPr>
          <w:rFonts w:ascii="Times New Roman" w:hAnsi="Times New Roman"/>
          <w:b w:val="0"/>
          <w:i w:val="0"/>
          <w:sz w:val="24"/>
        </w:rPr>
        <w:t>Three directions for future work are identified. First, the most impactful improvement would be to replace the national-average default values for the school, station, and park accessibility features with live OSM-derived distances at inference time. This would require either completing the Overpass prefetch before enabling form submission or implementing an asynchronous re-prediction once the real distances are available, and would be expected to improve prediction accuracy for properties with atypical accessibility profiles. Second, the model training data is currently limited to England; extending coverage to Wales and Scotland would require integrating the respective Land Registry and EPC datasets and retraining with the additional geographic features. Third, a native mobile application would lower the barrier to use for prospective homebuyers who conduct property research primarily on smartphones, and the existing FastAPI backend would serve a React Native frontend without modification.</w:t>
      </w:r>
    </w:p>
    <w:p>
      <w:r>
        <w:br w:type="page"/>
      </w:r>
    </w:p>
    <w:p>
      <w:pPr>
        <w:pStyle w:val="Heading1"/>
        <w:spacing w:before="360" w:after="120"/>
        <w:jc w:val="left"/>
      </w:pPr>
      <w:r>
        <w:rPr>
          <w:rFonts w:ascii="Times New Roman" w:hAnsi="Times New Roman"/>
          <w:color w:val="000000"/>
          <w:sz w:val="28"/>
        </w:rPr>
        <w:t>References</w:t>
      </w:r>
    </w:p>
    <w:p>
      <w:pPr>
        <w:spacing w:before="0" w:after="80" w:line="240" w:lineRule="auto"/>
        <w:ind w:hanging="720" w:left="720"/>
        <w:jc w:val="both"/>
      </w:pPr>
      <w:r>
        <w:rPr>
          <w:rFonts w:ascii="Times New Roman" w:hAnsi="Times New Roman"/>
          <w:i w:val="0"/>
          <w:sz w:val="24"/>
        </w:rPr>
        <w:t xml:space="preserve">Antipov, E.A. and Pokryshevskaya, E.B. (2012) </w:t>
      </w:r>
      <w:r>
        <w:rPr>
          <w:rFonts w:ascii="Times New Roman" w:hAnsi="Times New Roman"/>
          <w:i/>
          <w:sz w:val="24"/>
        </w:rPr>
        <w:t xml:space="preserve">'Mass appraisal of residential apartments: An application of Random forest for valuation and a CART-based approach for model diagnostics', </w:t>
      </w:r>
      <w:r>
        <w:rPr>
          <w:rFonts w:ascii="Times New Roman" w:hAnsi="Times New Roman"/>
          <w:i w:val="0"/>
          <w:sz w:val="24"/>
        </w:rPr>
        <w:t xml:space="preserve">Expert Systems with Applications, </w:t>
      </w:r>
      <w:r>
        <w:rPr>
          <w:rFonts w:ascii="Times New Roman" w:hAnsi="Times New Roman"/>
          <w:i w:val="0"/>
          <w:sz w:val="24"/>
        </w:rPr>
        <w:t>39(12), pp. 10778–10785.</w:t>
      </w:r>
    </w:p>
    <w:p>
      <w:pPr>
        <w:spacing w:before="0" w:after="80" w:line="240" w:lineRule="auto"/>
        <w:ind w:hanging="720" w:left="720"/>
        <w:jc w:val="both"/>
      </w:pPr>
      <w:r>
        <w:rPr>
          <w:rFonts w:ascii="Times New Roman" w:hAnsi="Times New Roman"/>
          <w:i w:val="0"/>
          <w:sz w:val="24"/>
        </w:rPr>
        <w:t xml:space="preserve">Bergmeir, C. and Benitez, J.M. (2012) </w:t>
      </w:r>
      <w:r>
        <w:rPr>
          <w:rFonts w:ascii="Times New Roman" w:hAnsi="Times New Roman"/>
          <w:i/>
          <w:sz w:val="24"/>
        </w:rPr>
        <w:t xml:space="preserve">'On the use of cross-validation for time series predictor evaluation', </w:t>
      </w:r>
      <w:r>
        <w:rPr>
          <w:rFonts w:ascii="Times New Roman" w:hAnsi="Times New Roman"/>
          <w:i w:val="0"/>
          <w:sz w:val="24"/>
        </w:rPr>
        <w:t xml:space="preserve">Information Sciences, </w:t>
      </w:r>
      <w:r>
        <w:rPr>
          <w:rFonts w:ascii="Times New Roman" w:hAnsi="Times New Roman"/>
          <w:i w:val="0"/>
          <w:sz w:val="24"/>
        </w:rPr>
        <w:t>191, pp. 192–213.</w:t>
      </w:r>
    </w:p>
    <w:p>
      <w:pPr>
        <w:spacing w:before="0" w:after="80" w:line="240" w:lineRule="auto"/>
        <w:ind w:hanging="720" w:left="720"/>
        <w:jc w:val="both"/>
      </w:pPr>
      <w:r>
        <w:rPr>
          <w:rFonts w:ascii="Times New Roman" w:hAnsi="Times New Roman"/>
          <w:i w:val="0"/>
          <w:sz w:val="24"/>
        </w:rPr>
        <w:t xml:space="preserve">Breiman, L. (2001) </w:t>
      </w:r>
      <w:r>
        <w:rPr>
          <w:rFonts w:ascii="Times New Roman" w:hAnsi="Times New Roman"/>
          <w:i/>
          <w:sz w:val="24"/>
        </w:rPr>
        <w:t xml:space="preserve">'Random forests', </w:t>
      </w:r>
      <w:r>
        <w:rPr>
          <w:rFonts w:ascii="Times New Roman" w:hAnsi="Times New Roman"/>
          <w:i w:val="0"/>
          <w:sz w:val="24"/>
        </w:rPr>
        <w:t xml:space="preserve">Machine Learning, </w:t>
      </w:r>
      <w:r>
        <w:rPr>
          <w:rFonts w:ascii="Times New Roman" w:hAnsi="Times New Roman"/>
          <w:i w:val="0"/>
          <w:sz w:val="24"/>
        </w:rPr>
        <w:t>45(1), pp. 5–32.</w:t>
      </w:r>
    </w:p>
    <w:p>
      <w:pPr>
        <w:spacing w:before="0" w:after="80" w:line="240" w:lineRule="auto"/>
        <w:ind w:hanging="720" w:left="720"/>
        <w:jc w:val="both"/>
      </w:pPr>
      <w:r>
        <w:rPr>
          <w:rFonts w:ascii="Times New Roman" w:hAnsi="Times New Roman"/>
          <w:i w:val="0"/>
          <w:sz w:val="24"/>
        </w:rPr>
        <w:t xml:space="preserve">Chen, T. and Guestrin, C. (2016) </w:t>
      </w:r>
      <w:r>
        <w:rPr>
          <w:rFonts w:ascii="Times New Roman" w:hAnsi="Times New Roman"/>
          <w:i/>
          <w:sz w:val="24"/>
        </w:rPr>
        <w:t xml:space="preserve">'XGBoost: A scalable tree boosting system', </w:t>
      </w:r>
      <w:r>
        <w:rPr>
          <w:rFonts w:ascii="Times New Roman" w:hAnsi="Times New Roman"/>
          <w:i w:val="0"/>
          <w:sz w:val="24"/>
        </w:rPr>
        <w:t xml:space="preserve">Proceedings of the 22nd ACM SIGKDD International Conference on Knowledge Discovery and Data Mining, </w:t>
      </w:r>
      <w:r>
        <w:rPr>
          <w:rFonts w:ascii="Times New Roman" w:hAnsi="Times New Roman"/>
          <w:i w:val="0"/>
          <w:sz w:val="24"/>
        </w:rPr>
        <w:t>pp. 785–794.</w:t>
      </w:r>
    </w:p>
    <w:p>
      <w:pPr>
        <w:spacing w:before="0" w:after="80" w:line="240" w:lineRule="auto"/>
        <w:ind w:hanging="720" w:left="720"/>
        <w:jc w:val="both"/>
      </w:pPr>
      <w:r>
        <w:rPr>
          <w:rFonts w:ascii="Times New Roman" w:hAnsi="Times New Roman"/>
          <w:i w:val="0"/>
          <w:sz w:val="24"/>
        </w:rPr>
        <w:t xml:space="preserve">Clapp, J.M. and Giaccotto, C. (1992) </w:t>
      </w:r>
      <w:r>
        <w:rPr>
          <w:rFonts w:ascii="Times New Roman" w:hAnsi="Times New Roman"/>
          <w:i/>
          <w:sz w:val="24"/>
        </w:rPr>
        <w:t xml:space="preserve">'Estimating price indices for residential property: A comparison of repeat sales and assessed value methods', </w:t>
      </w:r>
      <w:r>
        <w:rPr>
          <w:rFonts w:ascii="Times New Roman" w:hAnsi="Times New Roman"/>
          <w:i w:val="0"/>
          <w:sz w:val="24"/>
        </w:rPr>
        <w:t xml:space="preserve">Journal of the American Statistical Association, </w:t>
      </w:r>
      <w:r>
        <w:rPr>
          <w:rFonts w:ascii="Times New Roman" w:hAnsi="Times New Roman"/>
          <w:i w:val="0"/>
          <w:sz w:val="24"/>
        </w:rPr>
        <w:t>87(418), pp. 300–306.</w:t>
      </w:r>
    </w:p>
    <w:p>
      <w:pPr>
        <w:spacing w:before="0" w:after="80" w:line="240" w:lineRule="auto"/>
        <w:ind w:hanging="720" w:left="720"/>
        <w:jc w:val="both"/>
      </w:pPr>
      <w:r>
        <w:rPr>
          <w:rFonts w:ascii="Times New Roman" w:hAnsi="Times New Roman"/>
          <w:i w:val="0"/>
          <w:sz w:val="24"/>
        </w:rPr>
        <w:t xml:space="preserve">Department for Levelling Up, Housing and Communities (2019) </w:t>
      </w:r>
      <w:r>
        <w:rPr>
          <w:rFonts w:ascii="Times New Roman" w:hAnsi="Times New Roman"/>
          <w:i/>
          <w:sz w:val="24"/>
        </w:rPr>
        <w:t xml:space="preserve">English Indices of Deprivation 2019. </w:t>
      </w:r>
      <w:r>
        <w:rPr>
          <w:rFonts w:ascii="Times New Roman" w:hAnsi="Times New Roman"/>
          <w:i w:val="0"/>
          <w:sz w:val="24"/>
        </w:rPr>
        <w:t>London: MHCLG. Available at: https://www.gov.uk/government/statistics/english-indices-of-deprivation-2019 (Accessed: 10 April 2026).</w:t>
      </w:r>
    </w:p>
    <w:p>
      <w:pPr>
        <w:spacing w:before="0" w:after="80" w:line="240" w:lineRule="auto"/>
        <w:ind w:hanging="720" w:left="720"/>
        <w:jc w:val="both"/>
      </w:pPr>
      <w:r>
        <w:rPr>
          <w:rFonts w:ascii="Times New Roman" w:hAnsi="Times New Roman"/>
          <w:i w:val="0"/>
          <w:sz w:val="24"/>
        </w:rPr>
        <w:t xml:space="preserve">FastAPI (2024) </w:t>
      </w:r>
      <w:r>
        <w:rPr>
          <w:rFonts w:ascii="Times New Roman" w:hAnsi="Times New Roman"/>
          <w:i/>
          <w:sz w:val="24"/>
        </w:rPr>
        <w:t xml:space="preserve">FastAPI documentation. </w:t>
      </w:r>
      <w:r>
        <w:rPr>
          <w:rFonts w:ascii="Times New Roman" w:hAnsi="Times New Roman"/>
          <w:i w:val="0"/>
          <w:sz w:val="24"/>
        </w:rPr>
        <w:t>Available at: https://fastapi.tiangolo.com (Accessed: 10 April 2026).</w:t>
      </w:r>
    </w:p>
    <w:p>
      <w:pPr>
        <w:spacing w:before="0" w:after="80" w:line="240" w:lineRule="auto"/>
        <w:ind w:hanging="720" w:left="720"/>
        <w:jc w:val="both"/>
      </w:pPr>
      <w:r>
        <w:rPr>
          <w:rFonts w:ascii="Times New Roman" w:hAnsi="Times New Roman"/>
          <w:i w:val="0"/>
          <w:sz w:val="24"/>
        </w:rPr>
        <w:t xml:space="preserve">Fuerst, F. and McAllister, P. (2011) </w:t>
      </w:r>
      <w:r>
        <w:rPr>
          <w:rFonts w:ascii="Times New Roman" w:hAnsi="Times New Roman"/>
          <w:i/>
          <w:sz w:val="24"/>
        </w:rPr>
        <w:t xml:space="preserve">'Green noise or green value? Measuring the effects of environmental certification on office values', </w:t>
      </w:r>
      <w:r>
        <w:rPr>
          <w:rFonts w:ascii="Times New Roman" w:hAnsi="Times New Roman"/>
          <w:i w:val="0"/>
          <w:sz w:val="24"/>
        </w:rPr>
        <w:t xml:space="preserve">Real Estate Economics, </w:t>
      </w:r>
      <w:r>
        <w:rPr>
          <w:rFonts w:ascii="Times New Roman" w:hAnsi="Times New Roman"/>
          <w:i w:val="0"/>
          <w:sz w:val="24"/>
        </w:rPr>
        <w:t>39(1), pp. 45–69.</w:t>
      </w:r>
    </w:p>
    <w:p>
      <w:pPr>
        <w:spacing w:before="0" w:after="80" w:line="240" w:lineRule="auto"/>
        <w:ind w:hanging="720" w:left="720"/>
        <w:jc w:val="both"/>
      </w:pPr>
      <w:r>
        <w:rPr>
          <w:rFonts w:ascii="Times New Roman" w:hAnsi="Times New Roman"/>
          <w:i w:val="0"/>
          <w:sz w:val="24"/>
        </w:rPr>
        <w:t xml:space="preserve">Goodfellow, I., Bengio, Y. and Courville, A. (2016) </w:t>
      </w:r>
      <w:r>
        <w:rPr>
          <w:rFonts w:ascii="Times New Roman" w:hAnsi="Times New Roman"/>
          <w:i/>
          <w:sz w:val="24"/>
        </w:rPr>
        <w:t xml:space="preserve">Deep Learning. </w:t>
      </w:r>
      <w:r>
        <w:rPr>
          <w:rFonts w:ascii="Times New Roman" w:hAnsi="Times New Roman"/>
          <w:i w:val="0"/>
          <w:sz w:val="24"/>
        </w:rPr>
        <w:t>Cambridge, MA: MIT Press.</w:t>
      </w:r>
    </w:p>
    <w:p>
      <w:pPr>
        <w:spacing w:before="0" w:after="80" w:line="240" w:lineRule="auto"/>
        <w:ind w:hanging="720" w:left="720"/>
        <w:jc w:val="both"/>
      </w:pPr>
      <w:r>
        <w:rPr>
          <w:rFonts w:ascii="Times New Roman" w:hAnsi="Times New Roman"/>
          <w:i w:val="0"/>
          <w:sz w:val="24"/>
        </w:rPr>
        <w:t xml:space="preserve">HM Land Registry (2024) </w:t>
      </w:r>
      <w:r>
        <w:rPr>
          <w:rFonts w:ascii="Times New Roman" w:hAnsi="Times New Roman"/>
          <w:i/>
          <w:sz w:val="24"/>
        </w:rPr>
        <w:t xml:space="preserve">Price Paid Data. </w:t>
      </w:r>
      <w:r>
        <w:rPr>
          <w:rFonts w:ascii="Times New Roman" w:hAnsi="Times New Roman"/>
          <w:i w:val="0"/>
          <w:sz w:val="24"/>
        </w:rPr>
        <w:t>Available at: https://www.gov.uk/government/collections/price-paid-data (Accessed: 10 April 2026).</w:t>
      </w:r>
    </w:p>
    <w:p>
      <w:pPr>
        <w:spacing w:before="0" w:after="80" w:line="240" w:lineRule="auto"/>
        <w:ind w:hanging="720" w:left="720"/>
        <w:jc w:val="both"/>
      </w:pPr>
      <w:r>
        <w:rPr>
          <w:rFonts w:ascii="Times New Roman" w:hAnsi="Times New Roman"/>
          <w:i w:val="0"/>
          <w:sz w:val="24"/>
        </w:rPr>
        <w:t xml:space="preserve">Ke, G. et al. (2017) </w:t>
      </w:r>
      <w:r>
        <w:rPr>
          <w:rFonts w:ascii="Times New Roman" w:hAnsi="Times New Roman"/>
          <w:i/>
          <w:sz w:val="24"/>
        </w:rPr>
        <w:t xml:space="preserve">'LightGBM: A highly efficient gradient boosting decision tree', </w:t>
      </w:r>
      <w:r>
        <w:rPr>
          <w:rFonts w:ascii="Times New Roman" w:hAnsi="Times New Roman"/>
          <w:i w:val="0"/>
          <w:sz w:val="24"/>
        </w:rPr>
        <w:t xml:space="preserve">Advances in Neural Information Processing Systems, </w:t>
      </w:r>
      <w:r>
        <w:rPr>
          <w:rFonts w:ascii="Times New Roman" w:hAnsi="Times New Roman"/>
          <w:i w:val="0"/>
          <w:sz w:val="24"/>
        </w:rPr>
        <w:t>30, pp. 3146–3154.</w:t>
      </w:r>
    </w:p>
    <w:p>
      <w:pPr>
        <w:spacing w:before="0" w:after="80" w:line="240" w:lineRule="auto"/>
        <w:ind w:hanging="720" w:left="720"/>
        <w:jc w:val="both"/>
      </w:pPr>
      <w:r>
        <w:rPr>
          <w:rFonts w:ascii="Times New Roman" w:hAnsi="Times New Roman"/>
          <w:i w:val="0"/>
          <w:sz w:val="24"/>
        </w:rPr>
        <w:t xml:space="preserve">Kim, G., Hwang, S. and Lee, H. (2021) </w:t>
      </w:r>
      <w:r>
        <w:rPr>
          <w:rFonts w:ascii="Times New Roman" w:hAnsi="Times New Roman"/>
          <w:i/>
          <w:sz w:val="24"/>
        </w:rPr>
        <w:t xml:space="preserve">'House price prediction using machine learning: A review', </w:t>
      </w:r>
      <w:r>
        <w:rPr>
          <w:rFonts w:ascii="Times New Roman" w:hAnsi="Times New Roman"/>
          <w:i w:val="0"/>
          <w:sz w:val="24"/>
        </w:rPr>
        <w:t xml:space="preserve">Journal of Big Data, </w:t>
      </w:r>
      <w:r>
        <w:rPr>
          <w:rFonts w:ascii="Times New Roman" w:hAnsi="Times New Roman"/>
          <w:i w:val="0"/>
          <w:sz w:val="24"/>
        </w:rPr>
        <w:t>8(1), pp. 1–26.</w:t>
      </w:r>
    </w:p>
    <w:p>
      <w:pPr>
        <w:spacing w:before="0" w:after="80" w:line="240" w:lineRule="auto"/>
        <w:ind w:hanging="720" w:left="720"/>
        <w:jc w:val="both"/>
      </w:pPr>
      <w:r>
        <w:rPr>
          <w:rFonts w:ascii="Times New Roman" w:hAnsi="Times New Roman"/>
          <w:i w:val="0"/>
          <w:sz w:val="24"/>
        </w:rPr>
        <w:t xml:space="preserve">Lundberg, S.M. and Lee, S.I. (2017) </w:t>
      </w:r>
      <w:r>
        <w:rPr>
          <w:rFonts w:ascii="Times New Roman" w:hAnsi="Times New Roman"/>
          <w:i/>
          <w:sz w:val="24"/>
        </w:rPr>
        <w:t xml:space="preserve">'A unified approach to interpreting model predictions', </w:t>
      </w:r>
      <w:r>
        <w:rPr>
          <w:rFonts w:ascii="Times New Roman" w:hAnsi="Times New Roman"/>
          <w:i w:val="0"/>
          <w:sz w:val="24"/>
        </w:rPr>
        <w:t xml:space="preserve">Advances in Neural Information Processing Systems, </w:t>
      </w:r>
      <w:r>
        <w:rPr>
          <w:rFonts w:ascii="Times New Roman" w:hAnsi="Times New Roman"/>
          <w:i w:val="0"/>
          <w:sz w:val="24"/>
        </w:rPr>
        <w:t>30, pp. 4765–4774.</w:t>
      </w:r>
    </w:p>
    <w:p>
      <w:pPr>
        <w:spacing w:before="0" w:after="80" w:line="240" w:lineRule="auto"/>
        <w:ind w:hanging="720" w:left="720"/>
        <w:jc w:val="both"/>
      </w:pPr>
      <w:r>
        <w:rPr>
          <w:rFonts w:ascii="Times New Roman" w:hAnsi="Times New Roman"/>
          <w:i w:val="0"/>
          <w:sz w:val="24"/>
        </w:rPr>
        <w:t xml:space="preserve">Ministry of Housing, Communities and Local Government (2024) </w:t>
      </w:r>
      <w:r>
        <w:rPr>
          <w:rFonts w:ascii="Times New Roman" w:hAnsi="Times New Roman"/>
          <w:i/>
          <w:sz w:val="24"/>
        </w:rPr>
        <w:t xml:space="preserve">EPC Register. </w:t>
      </w:r>
      <w:r>
        <w:rPr>
          <w:rFonts w:ascii="Times New Roman" w:hAnsi="Times New Roman"/>
          <w:i w:val="0"/>
          <w:sz w:val="24"/>
        </w:rPr>
        <w:t>Available at: https://epcregister.com (Accessed: 10 April 2026).</w:t>
      </w:r>
    </w:p>
    <w:p>
      <w:pPr>
        <w:spacing w:before="0" w:after="80" w:line="240" w:lineRule="auto"/>
        <w:ind w:hanging="720" w:left="720"/>
        <w:jc w:val="both"/>
      </w:pPr>
      <w:r>
        <w:rPr>
          <w:rFonts w:ascii="Times New Roman" w:hAnsi="Times New Roman"/>
          <w:i w:val="0"/>
          <w:sz w:val="24"/>
        </w:rPr>
        <w:t xml:space="preserve">Office for National Statistics (2024) </w:t>
      </w:r>
      <w:r>
        <w:rPr>
          <w:rFonts w:ascii="Times New Roman" w:hAnsi="Times New Roman"/>
          <w:i/>
          <w:sz w:val="24"/>
        </w:rPr>
        <w:t xml:space="preserve">Postcode Directory. </w:t>
      </w:r>
      <w:r>
        <w:rPr>
          <w:rFonts w:ascii="Times New Roman" w:hAnsi="Times New Roman"/>
          <w:i w:val="0"/>
          <w:sz w:val="24"/>
        </w:rPr>
        <w:t>Available at: https://geoportal.statistics.gov.uk (Accessed: 10 April 2026).</w:t>
      </w:r>
    </w:p>
    <w:p>
      <w:pPr>
        <w:spacing w:before="0" w:after="80" w:line="240" w:lineRule="auto"/>
        <w:ind w:hanging="720" w:left="720"/>
        <w:jc w:val="both"/>
      </w:pPr>
      <w:r>
        <w:rPr>
          <w:rFonts w:ascii="Times New Roman" w:hAnsi="Times New Roman"/>
          <w:i w:val="0"/>
          <w:sz w:val="24"/>
        </w:rPr>
        <w:t xml:space="preserve">OpenStreetMap contributors (2024) </w:t>
      </w:r>
      <w:r>
        <w:rPr>
          <w:rFonts w:ascii="Times New Roman" w:hAnsi="Times New Roman"/>
          <w:i/>
          <w:sz w:val="24"/>
        </w:rPr>
        <w:t xml:space="preserve">OpenStreetMap Overpass API. </w:t>
      </w:r>
      <w:r>
        <w:rPr>
          <w:rFonts w:ascii="Times New Roman" w:hAnsi="Times New Roman"/>
          <w:i w:val="0"/>
          <w:sz w:val="24"/>
        </w:rPr>
        <w:t>Available at: https://overpass-api.de (Accessed: 10 April 2026).</w:t>
      </w:r>
    </w:p>
    <w:p>
      <w:pPr>
        <w:spacing w:before="0" w:after="80" w:line="240" w:lineRule="auto"/>
        <w:ind w:hanging="720" w:left="720"/>
        <w:jc w:val="both"/>
      </w:pPr>
      <w:r>
        <w:rPr>
          <w:rFonts w:ascii="Times New Roman" w:hAnsi="Times New Roman"/>
          <w:i w:val="0"/>
          <w:sz w:val="24"/>
        </w:rPr>
        <w:t xml:space="preserve">Park, B. and Bae, J.K. (2015) </w:t>
      </w:r>
      <w:r>
        <w:rPr>
          <w:rFonts w:ascii="Times New Roman" w:hAnsi="Times New Roman"/>
          <w:i/>
          <w:sz w:val="24"/>
        </w:rPr>
        <w:t xml:space="preserve">'Using machine learning algorithms for housing price prediction: The case of Fairfax County, Virginia housing data', </w:t>
      </w:r>
      <w:r>
        <w:rPr>
          <w:rFonts w:ascii="Times New Roman" w:hAnsi="Times New Roman"/>
          <w:i w:val="0"/>
          <w:sz w:val="24"/>
        </w:rPr>
        <w:t xml:space="preserve">Expert Systems with Applications, </w:t>
      </w:r>
      <w:r>
        <w:rPr>
          <w:rFonts w:ascii="Times New Roman" w:hAnsi="Times New Roman"/>
          <w:i w:val="0"/>
          <w:sz w:val="24"/>
        </w:rPr>
        <w:t>42(6), pp. 2928–2934.</w:t>
      </w:r>
    </w:p>
    <w:p>
      <w:pPr>
        <w:spacing w:before="0" w:after="80" w:line="240" w:lineRule="auto"/>
        <w:ind w:hanging="720" w:left="720"/>
        <w:jc w:val="both"/>
      </w:pPr>
      <w:r>
        <w:rPr>
          <w:rFonts w:ascii="Times New Roman" w:hAnsi="Times New Roman"/>
          <w:i w:val="0"/>
          <w:sz w:val="24"/>
        </w:rPr>
        <w:t xml:space="preserve">Pedregosa, F. et al. (2011) </w:t>
      </w:r>
      <w:r>
        <w:rPr>
          <w:rFonts w:ascii="Times New Roman" w:hAnsi="Times New Roman"/>
          <w:i/>
          <w:sz w:val="24"/>
        </w:rPr>
        <w:t xml:space="preserve">'Scikit-learn: Machine learning in Python', </w:t>
      </w:r>
      <w:r>
        <w:rPr>
          <w:rFonts w:ascii="Times New Roman" w:hAnsi="Times New Roman"/>
          <w:i w:val="0"/>
          <w:sz w:val="24"/>
        </w:rPr>
        <w:t xml:space="preserve">Journal of Machine Learning Research, </w:t>
      </w:r>
      <w:r>
        <w:rPr>
          <w:rFonts w:ascii="Times New Roman" w:hAnsi="Times New Roman"/>
          <w:i w:val="0"/>
          <w:sz w:val="24"/>
        </w:rPr>
        <w:t>12, pp. 2825–2830.</w:t>
      </w:r>
    </w:p>
    <w:p>
      <w:pPr>
        <w:spacing w:before="0" w:after="80" w:line="240" w:lineRule="auto"/>
        <w:ind w:hanging="720" w:left="720"/>
        <w:jc w:val="both"/>
      </w:pPr>
      <w:r>
        <w:rPr>
          <w:rFonts w:ascii="Times New Roman" w:hAnsi="Times New Roman"/>
          <w:i w:val="0"/>
          <w:sz w:val="24"/>
        </w:rPr>
        <w:t xml:space="preserve">postcodes.io (2024) </w:t>
      </w:r>
      <w:r>
        <w:rPr>
          <w:rFonts w:ascii="Times New Roman" w:hAnsi="Times New Roman"/>
          <w:i/>
          <w:sz w:val="24"/>
        </w:rPr>
        <w:t xml:space="preserve">Free UK Postcode API. </w:t>
      </w:r>
      <w:r>
        <w:rPr>
          <w:rFonts w:ascii="Times New Roman" w:hAnsi="Times New Roman"/>
          <w:i w:val="0"/>
          <w:sz w:val="24"/>
        </w:rPr>
        <w:t>Available at: https://postcodes.io (Accessed: 10 April 2026).</w:t>
      </w:r>
    </w:p>
    <w:p>
      <w:pPr>
        <w:spacing w:before="0" w:after="80" w:line="240" w:lineRule="auto"/>
        <w:ind w:hanging="720" w:left="720"/>
        <w:jc w:val="both"/>
      </w:pPr>
      <w:r>
        <w:rPr>
          <w:rFonts w:ascii="Times New Roman" w:hAnsi="Times New Roman"/>
          <w:i w:val="0"/>
          <w:sz w:val="24"/>
        </w:rPr>
        <w:t xml:space="preserve">Provost, F. and Fawcett, T. (2013) </w:t>
      </w:r>
      <w:r>
        <w:rPr>
          <w:rFonts w:ascii="Times New Roman" w:hAnsi="Times New Roman"/>
          <w:i/>
          <w:sz w:val="24"/>
        </w:rPr>
        <w:t xml:space="preserve">Data Science for Business. </w:t>
      </w:r>
      <w:r>
        <w:rPr>
          <w:rFonts w:ascii="Times New Roman" w:hAnsi="Times New Roman"/>
          <w:i w:val="0"/>
          <w:sz w:val="24"/>
        </w:rPr>
        <w:t>Sebastopol, CA: O'Reilly Media.</w:t>
      </w:r>
    </w:p>
    <w:p>
      <w:pPr>
        <w:spacing w:before="0" w:after="80" w:line="240" w:lineRule="auto"/>
        <w:ind w:hanging="720" w:left="720"/>
        <w:jc w:val="both"/>
      </w:pPr>
      <w:r>
        <w:rPr>
          <w:rFonts w:ascii="Times New Roman" w:hAnsi="Times New Roman"/>
          <w:i w:val="0"/>
          <w:sz w:val="24"/>
        </w:rPr>
        <w:t xml:space="preserve">Supabase (2024) </w:t>
      </w:r>
      <w:r>
        <w:rPr>
          <w:rFonts w:ascii="Times New Roman" w:hAnsi="Times New Roman"/>
          <w:i/>
          <w:sz w:val="24"/>
        </w:rPr>
        <w:t xml:space="preserve">Supabase documentation. </w:t>
      </w:r>
      <w:r>
        <w:rPr>
          <w:rFonts w:ascii="Times New Roman" w:hAnsi="Times New Roman"/>
          <w:i w:val="0"/>
          <w:sz w:val="24"/>
        </w:rPr>
        <w:t>Available at: https://supabase.com/docs (Accessed: 10 April 2026).</w:t>
      </w:r>
    </w:p>
    <w:p>
      <w:pPr>
        <w:spacing w:before="0" w:after="80" w:line="240" w:lineRule="auto"/>
        <w:ind w:hanging="720" w:left="720"/>
        <w:jc w:val="both"/>
      </w:pPr>
      <w:r>
        <w:rPr>
          <w:rFonts w:ascii="Times New Roman" w:hAnsi="Times New Roman"/>
          <w:i w:val="0"/>
          <w:sz w:val="24"/>
        </w:rPr>
        <w:t xml:space="preserve">Tibshirani, R. (1996) </w:t>
      </w:r>
      <w:r>
        <w:rPr>
          <w:rFonts w:ascii="Times New Roman" w:hAnsi="Times New Roman"/>
          <w:i/>
          <w:sz w:val="24"/>
        </w:rPr>
        <w:t xml:space="preserve">'Regression shrinkage and selection via the lasso', </w:t>
      </w:r>
      <w:r>
        <w:rPr>
          <w:rFonts w:ascii="Times New Roman" w:hAnsi="Times New Roman"/>
          <w:i w:val="0"/>
          <w:sz w:val="24"/>
        </w:rPr>
        <w:t xml:space="preserve">Journal of the Royal Statistical Society: Series B (Methodological), </w:t>
      </w:r>
      <w:r>
        <w:rPr>
          <w:rFonts w:ascii="Times New Roman" w:hAnsi="Times New Roman"/>
          <w:i w:val="0"/>
          <w:sz w:val="24"/>
        </w:rPr>
        <w:t>58(1), pp. 267–288.</w:t>
      </w:r>
    </w:p>
    <w:p>
      <w:pPr>
        <w:spacing w:before="0" w:after="80" w:line="240" w:lineRule="auto"/>
        <w:ind w:hanging="720" w:left="720"/>
        <w:jc w:val="both"/>
      </w:pPr>
      <w:r>
        <w:rPr>
          <w:rFonts w:ascii="Times New Roman" w:hAnsi="Times New Roman"/>
          <w:i w:val="0"/>
          <w:sz w:val="24"/>
        </w:rPr>
        <w:t xml:space="preserve">Yiu, E. (2021) </w:t>
      </w:r>
      <w:r>
        <w:rPr>
          <w:rFonts w:ascii="Times New Roman" w:hAnsi="Times New Roman"/>
          <w:i/>
          <w:sz w:val="24"/>
        </w:rPr>
        <w:t xml:space="preserve">'Property valuation using machine learning: Comparison of automated valuation model approaches for the Hong Kong housing market', </w:t>
      </w:r>
      <w:r>
        <w:rPr>
          <w:rFonts w:ascii="Times New Roman" w:hAnsi="Times New Roman"/>
          <w:i w:val="0"/>
          <w:sz w:val="24"/>
        </w:rPr>
        <w:t xml:space="preserve">Journal of Property Investment &amp; Finance, </w:t>
      </w:r>
      <w:r>
        <w:rPr>
          <w:rFonts w:ascii="Times New Roman" w:hAnsi="Times New Roman"/>
          <w:i w:val="0"/>
          <w:sz w:val="24"/>
        </w:rPr>
        <w:t>39(5), pp. 517–537.</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