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31634"/>
          <w:sz w:val="56"/>
        </w:rPr>
        <w:t>HousePredict AI</w:t>
      </w:r>
    </w:p>
    <w:p>
      <w:pPr>
        <w:jc w:val="center"/>
      </w:pPr>
      <w:r>
        <w:rPr>
          <w:rFonts w:ascii="Times New Roman" w:hAnsi="Times New Roman"/>
          <w:color w:val="006C49"/>
          <w:sz w:val="36"/>
        </w:rPr>
        <w:t>UK Residential Property Price Prediction</w:t>
      </w:r>
    </w:p>
    <w:p/>
    <w:p>
      <w:pPr>
        <w:jc w:val="center"/>
      </w:pPr>
      <w:r>
        <w:rPr>
          <w:rFonts w:ascii="Times New Roman" w:hAnsi="Times New Roman"/>
          <w:b/>
          <w:sz w:val="26"/>
        </w:rPr>
        <w:t>Module: CSI_7_SSE — Software and Systems Engineering</w:t>
      </w:r>
    </w:p>
    <w:p/>
    <w:p>
      <w:pPr>
        <w:jc w:val="center"/>
      </w:pPr>
      <w:r>
        <w:rPr>
          <w:rFonts w:ascii="Times New Roman" w:hAnsi="Times New Roman"/>
          <w:b/>
          <w:sz w:val="26"/>
          <w:u w:val="single"/>
        </w:rPr>
        <w:t>Team Members</w:t>
      </w:r>
    </w:p>
    <w:p>
      <w:pPr>
        <w:jc w:val="center"/>
      </w:pPr>
      <w:r>
        <w:rPr>
          <w:rFonts w:ascii="Times New Roman" w:hAnsi="Times New Roman"/>
          <w:sz w:val="24"/>
        </w:rPr>
        <w:t>Akif Hameed   |   Student ID: 4436513</w:t>
      </w:r>
    </w:p>
    <w:p>
      <w:pPr>
        <w:jc w:val="center"/>
      </w:pPr>
      <w:r>
        <w:rPr>
          <w:rFonts w:ascii="Times New Roman" w:hAnsi="Times New Roman"/>
          <w:sz w:val="24"/>
        </w:rPr>
        <w:t>Pooja Rani   |   Student ID: 4503094</w:t>
      </w:r>
    </w:p>
    <w:p>
      <w:pPr>
        <w:jc w:val="center"/>
      </w:pPr>
      <w:r>
        <w:rPr>
          <w:rFonts w:ascii="Times New Roman" w:hAnsi="Times New Roman"/>
          <w:sz w:val="24"/>
        </w:rPr>
        <w:t>Md Shamadul Islam   |   Student ID: 4426783</w:t>
      </w:r>
    </w:p>
    <w:p>
      <w:pPr>
        <w:jc w:val="center"/>
      </w:pPr>
      <w:r>
        <w:rPr>
          <w:rFonts w:ascii="Times New Roman" w:hAnsi="Times New Roman"/>
          <w:sz w:val="24"/>
        </w:rPr>
        <w:t>Dhiraj   |   Student ID: pending</w:t>
      </w:r>
    </w:p>
    <w:p/>
    <w:p>
      <w:pPr>
        <w:jc w:val="center"/>
      </w:pPr>
      <w:r>
        <w:rPr>
          <w:rFonts w:ascii="Times New Roman" w:hAnsi="Times New Roman"/>
          <w:i/>
          <w:sz w:val="24"/>
        </w:rPr>
        <w:t>April 2026   |   Deadline: 1 May 2026</w:t>
      </w:r>
    </w:p>
    <w:p>
      <w:r>
        <w:br w:type="page"/>
      </w:r>
    </w:p>
    <w:p>
      <w:pPr>
        <w:jc w:val="center"/>
      </w:pPr>
      <w:r>
        <w:rPr>
          <w:rFonts w:ascii="Times New Roman" w:hAnsi="Times New Roman"/>
          <w:b/>
          <w:sz w:val="32"/>
        </w:rPr>
        <w:t>Table of Contents</w:t>
      </w:r>
    </w:p>
    <w:p/>
    <w:p>
      <w:pPr>
        <w:jc w:val="left"/>
      </w:pPr>
      <w:r>
        <w:fldChar w:fldCharType="begin"/>
      </w:r>
      <w:r>
        <w:instrText xml:space="preserve">TOC \o "1-3" \h \z \u</w:instrText>
      </w:r>
      <w:r>
        <w:fldChar w:fldCharType="separate"/>
      </w:r>
      <w:r>
        <w:t>[Right-click and select Update Field to populate the Table of Contents]</w:t>
      </w:r>
      <w:r>
        <w:fldChar w:fldCharType="end"/>
      </w:r>
    </w:p>
    <w:p>
      <w:r>
        <w:br w:type="page"/>
      </w:r>
    </w:p>
    <w:p>
      <w:pPr>
        <w:pStyle w:val="Heading1"/>
        <w:spacing w:before="360" w:after="120"/>
      </w:pPr>
      <w:r>
        <w:rPr>
          <w:rFonts w:ascii="Times New Roman" w:hAnsi="Times New Roman"/>
          <w:b/>
          <w:color w:val="031634"/>
          <w:sz w:val="32"/>
        </w:rPr>
        <w:t>Chapter 1 — Introduction</w:t>
      </w:r>
    </w:p>
    <w:p>
      <w:pPr>
        <w:spacing w:lineRule="auto" w:line="360" w:before="0" w:after="120"/>
        <w:jc w:val="both"/>
      </w:pPr>
      <w:r>
        <w:rPr>
          <w:rFonts w:ascii="Times New Roman" w:hAnsi="Times New Roman"/>
          <w:sz w:val="24"/>
        </w:rPr>
        <w:t>The residential property market in England is characterised by significant information asymmetry between buyers and sellers. Clapp and Giaccotto (1992) observe that accurate price indices are notoriously difficult to construct because transaction data are sparse, heterogeneous, and infrequent for individual properties. Buyers frequently lack the market knowledge necessary to evaluate whether an asking price is fair, while sellers and estate agents hold informational advantages that distort negotiation outcomes. The consequences of mispricing are severe: buyers may overpay by tens of thousands of pounds, and sellers may under-price assets that represent the majority of their personal wealth. This information gap motivates the development of automated valuation models (AVMs) capable of generating data-driven, reproducible price estimates accessible to all market participants.</w:t>
      </w:r>
    </w:p>
    <w:p>
      <w:pPr>
        <w:spacing w:lineRule="auto" w:line="360" w:before="0" w:after="120"/>
        <w:jc w:val="both"/>
      </w:pPr>
      <w:r>
        <w:rPr>
          <w:rFonts w:ascii="Times New Roman" w:hAnsi="Times New Roman"/>
          <w:sz w:val="24"/>
        </w:rPr>
        <w:t>The theoretical foundation for property valuation rests on hedonic pricing theory, first formalised by Rosen (1974), who demonstrated that the market price of a differentiated good can be decomposed into the implicit prices of its constituent attributes. A residential property's transaction price therefore reflects a bundle of structural characteristics — floor area, room count, construction age, property type and tenure — as well as locational attributes such as proximity to transport, schools, parks, and the relative deprivation of the surrounding neighbourhood. The hedonic framework provides the conceptual grounding for the 21 features used in this project.</w:t>
      </w:r>
    </w:p>
    <w:p>
      <w:pPr>
        <w:spacing w:lineRule="auto" w:line="360" w:before="0" w:after="120"/>
        <w:jc w:val="both"/>
      </w:pPr>
      <w:r>
        <w:rPr>
          <w:rFonts w:ascii="Times New Roman" w:hAnsi="Times New Roman"/>
          <w:sz w:val="24"/>
        </w:rPr>
        <w:t>Over the past decade, machine learning methods have supplanted traditional hedonic regression as the state of the art for residential price prediction. Antipov and Pokryshevskaya (2012) demonstrated that Random Forest outperforms ordinary least squares for mass appraisal, while Park and Bae (2015) extended these findings to US housing markets. A comprehensive survey by Geerts et al. (2023) confirms that gradient-boosted tree ensembles consistently achieve the lowest prediction errors across diverse property datasets. In particular, LightGBM (Ke et al., 2017) has emerged as the dominant algorithm for tabular property data owing to its histogram-based split-finding, which dramatically reduces training time without sacrificing predictive accuracy.</w:t>
      </w:r>
    </w:p>
    <w:p>
      <w:pPr>
        <w:spacing w:lineRule="auto" w:line="360" w:before="0" w:after="120"/>
        <w:jc w:val="both"/>
      </w:pPr>
      <w:r>
        <w:rPr>
          <w:rFonts w:ascii="Times New Roman" w:hAnsi="Times New Roman"/>
          <w:sz w:val="24"/>
        </w:rPr>
        <w:t>HousePredict is a full-stack automated valuation model built for the English residential property market. The system trains a LightGBM model on 4.5 million HM Land Registry Price Paid transactions joined with Energy Performance Certificate (EPC) data spanning 2018 to 2021, and evaluates model performance on a temporally held-out test set of approximately 620,000 transactions from 2023 to 2024. The production system exposes the model through a FastAPI backend deployed on Render, and a React 19 single-page application hosted on Vercel, providing users with a postcode-first prediction form, a feature contribution chart, a satellite location snapshot, and live OpenStreetMap amenity distances. This report documents the system's requirements (Chapter 2), design (Chapter 3), implementation (Chapter 4), machine learning methodology (Chapter 5), testing strategy (Chapter 6), evaluation (Chapter 7), project management (Chapter 8), and conclusions (Chapter 9).</w:t>
      </w:r>
    </w:p>
    <w:p>
      <w:r>
        <w:br w:type="page"/>
      </w:r>
    </w:p>
    <w:p>
      <w:pPr>
        <w:pStyle w:val="Heading1"/>
        <w:spacing w:before="360" w:after="120"/>
      </w:pPr>
      <w:r>
        <w:rPr>
          <w:rFonts w:ascii="Times New Roman" w:hAnsi="Times New Roman"/>
          <w:b/>
          <w:color w:val="031634"/>
          <w:sz w:val="32"/>
        </w:rPr>
        <w:t>Chapter 2 — Requirements</w:t>
      </w:r>
    </w:p>
    <w:p>
      <w:pPr>
        <w:spacing w:lineRule="auto" w:line="360" w:before="0" w:after="120"/>
        <w:jc w:val="both"/>
      </w:pPr>
      <w:r>
        <w:rPr>
          <w:rFonts w:ascii="Times New Roman" w:hAnsi="Times New Roman"/>
          <w:sz w:val="24"/>
        </w:rPr>
        <w:t>Requirements were elicited through a user-centred process that translated stakeholder needs into formal user stories and subsequently into functional and non-functional requirements using MoSCoW prioritisation, as recommended by Sommerville (2015). Six user stories were identified, spanning homeowners, prospective buyers, registered users, estate agents, mobile users, and the module's industry liaison who acted as the client throughout the project.</w:t>
      </w:r>
    </w:p>
    <w:p>
      <w:pPr>
        <w:pStyle w:val="Heading2"/>
        <w:spacing w:before="240" w:after="80"/>
      </w:pPr>
      <w:r>
        <w:rPr>
          <w:rFonts w:ascii="Times New Roman" w:hAnsi="Times New Roman"/>
          <w:b/>
          <w:color w:val="006C49"/>
          <w:sz w:val="26"/>
        </w:rPr>
        <w:t>2.1 User Stories</w:t>
      </w:r>
    </w:p>
    <w:p>
      <w:pPr>
        <w:spacing w:lineRule="auto" w:line="360" w:before="0" w:after="120"/>
        <w:ind w:left="432"/>
        <w:jc w:val="both"/>
      </w:pPr>
      <w:r>
        <w:rPr>
          <w:rFonts w:ascii="Times New Roman" w:hAnsi="Times New Roman"/>
          <w:b/>
          <w:sz w:val="24"/>
        </w:rPr>
        <w:t xml:space="preserve">US1: </w:t>
      </w:r>
      <w:r>
        <w:rPr>
          <w:rFonts w:ascii="Times New Roman" w:hAnsi="Times New Roman"/>
          <w:sz w:val="24"/>
        </w:rPr>
        <w:t>As a homeowner, I want to enter my postcode and receive an instant price estimate, so that I can understand my property's market value.</w:t>
      </w:r>
    </w:p>
    <w:p>
      <w:pPr>
        <w:spacing w:lineRule="auto" w:line="360" w:before="0" w:after="120"/>
        <w:ind w:left="432"/>
        <w:jc w:val="both"/>
      </w:pPr>
      <w:r>
        <w:rPr>
          <w:rFonts w:ascii="Times New Roman" w:hAnsi="Times New Roman"/>
          <w:b/>
          <w:sz w:val="24"/>
        </w:rPr>
        <w:t xml:space="preserve">US2: </w:t>
      </w:r>
      <w:r>
        <w:rPr>
          <w:rFonts w:ascii="Times New Roman" w:hAnsi="Times New Roman"/>
          <w:sz w:val="24"/>
        </w:rPr>
        <w:t>As a buyer, I want to see which features drive the valuation, so that I can understand what affects prices in that area.</w:t>
      </w:r>
    </w:p>
    <w:p>
      <w:pPr>
        <w:spacing w:lineRule="auto" w:line="360" w:before="0" w:after="120"/>
        <w:ind w:left="432"/>
        <w:jc w:val="both"/>
      </w:pPr>
      <w:r>
        <w:rPr>
          <w:rFonts w:ascii="Times New Roman" w:hAnsi="Times New Roman"/>
          <w:b/>
          <w:sz w:val="24"/>
        </w:rPr>
        <w:t xml:space="preserve">US3: </w:t>
      </w:r>
      <w:r>
        <w:rPr>
          <w:rFonts w:ascii="Times New Roman" w:hAnsi="Times New Roman"/>
          <w:sz w:val="24"/>
        </w:rPr>
        <w:t>As a registered user, I want to save and revisit my valuations, so that I can track changes over time.</w:t>
      </w:r>
    </w:p>
    <w:p>
      <w:pPr>
        <w:spacing w:lineRule="auto" w:line="360" w:before="0" w:after="120"/>
        <w:ind w:left="432"/>
        <w:jc w:val="both"/>
      </w:pPr>
      <w:r>
        <w:rPr>
          <w:rFonts w:ascii="Times New Roman" w:hAnsi="Times New Roman"/>
          <w:b/>
          <w:sz w:val="24"/>
        </w:rPr>
        <w:t xml:space="preserve">US4: </w:t>
      </w:r>
      <w:r>
        <w:rPr>
          <w:rFonts w:ascii="Times New Roman" w:hAnsi="Times New Roman"/>
          <w:sz w:val="24"/>
        </w:rPr>
        <w:t>As any user, I want to see nearby amenities and a satellite map, so that I can contextualise the location. This requirement was explicitly requested by the client, the module's industry liaison, who reviewed a working prototype during Sprint 4.</w:t>
      </w:r>
    </w:p>
    <w:p>
      <w:pPr>
        <w:spacing w:lineRule="auto" w:line="360" w:before="0" w:after="120"/>
        <w:ind w:left="432"/>
        <w:jc w:val="both"/>
      </w:pPr>
      <w:r>
        <w:rPr>
          <w:rFonts w:ascii="Times New Roman" w:hAnsi="Times New Roman"/>
          <w:b/>
          <w:sz w:val="24"/>
        </w:rPr>
        <w:t xml:space="preserve">US5: </w:t>
      </w:r>
      <w:r>
        <w:rPr>
          <w:rFonts w:ascii="Times New Roman" w:hAnsi="Times New Roman"/>
          <w:sz w:val="24"/>
        </w:rPr>
        <w:t>As an estate agent, I want a confidence interval alongside the estimate, so that I can set realistic expectations with clients.</w:t>
      </w:r>
    </w:p>
    <w:p>
      <w:pPr>
        <w:spacing w:lineRule="auto" w:line="360" w:before="0" w:after="120"/>
        <w:ind w:left="432"/>
        <w:jc w:val="both"/>
      </w:pPr>
      <w:r>
        <w:rPr>
          <w:rFonts w:ascii="Times New Roman" w:hAnsi="Times New Roman"/>
          <w:b/>
          <w:sz w:val="24"/>
        </w:rPr>
        <w:t xml:space="preserve">US6: </w:t>
      </w:r>
      <w:r>
        <w:rPr>
          <w:rFonts w:ascii="Times New Roman" w:hAnsi="Times New Roman"/>
          <w:sz w:val="24"/>
        </w:rPr>
        <w:t>As a mobile user, I want to sign in with Google, so that I can access my history without creating a new password.</w:t>
      </w:r>
    </w:p>
    <w:p>
      <w:pPr>
        <w:pStyle w:val="Heading2"/>
        <w:spacing w:before="240" w:after="80"/>
      </w:pPr>
      <w:r>
        <w:rPr>
          <w:rFonts w:ascii="Times New Roman" w:hAnsi="Times New Roman"/>
          <w:b/>
          <w:color w:val="006C49"/>
          <w:sz w:val="26"/>
        </w:rPr>
        <w:t>2.2 Functional Requirements and Acceptance Criteria</w:t>
      </w:r>
    </w:p>
    <w:p>
      <w:pPr>
        <w:spacing w:lineRule="auto" w:line="360" w:before="0" w:after="120"/>
        <w:jc w:val="both"/>
      </w:pPr>
      <w:r>
        <w:rPr>
          <w:rFonts w:ascii="Times New Roman" w:hAnsi="Times New Roman"/>
          <w:sz w:val="24"/>
        </w:rPr>
        <w:t>FR1 — Prediction Engine: The system shall accept property attributes through a validated input form and return a predicted transaction price within two seconds. A 95% confidence interval, derived from the model's log-space RMSE of 0.2408, shall accompany every prediction. Pydantic v2 validation shall reject malformed inputs before they reach the model, returning descriptive HTTP 422 error messages. This requirement satisfies US1 and US5.</w:t>
      </w:r>
    </w:p>
    <w:p>
      <w:pPr>
        <w:spacing w:lineRule="auto" w:line="360" w:before="0" w:after="120"/>
        <w:jc w:val="both"/>
      </w:pPr>
      <w:r>
        <w:rPr>
          <w:rFonts w:ascii="Times New Roman" w:hAnsi="Times New Roman"/>
          <w:sz w:val="24"/>
        </w:rPr>
        <w:t>FR2 — Postcode Lookup and Geocoding: Upon the user typing at least two characters into the postcode field, the system shall query the postcodes.io API to provide autocomplete suggestions. On postcode selection, the system shall automatically resolve latitude, longitude, region code, local authority code, and the LSOA identifier required for IMD lookup. Immediately upon postcode resolution, the Overpass API prefetch shall commence asynchronously, so that amenity data is ready by the time the user navigates to the Results page. This satisfies US1 and underpins FR6.</w:t>
      </w:r>
    </w:p>
    <w:p>
      <w:pPr>
        <w:spacing w:lineRule="auto" w:line="360" w:before="0" w:after="120"/>
        <w:jc w:val="both"/>
      </w:pPr>
      <w:r>
        <w:rPr>
          <w:rFonts w:ascii="Times New Roman" w:hAnsi="Times New Roman"/>
          <w:sz w:val="24"/>
        </w:rPr>
        <w:t>FR3 — Index of Multiple Deprivation Integration: The system shall resolve the IMD deprivation rank for every submitted postcode using a 32,844-entry LSOA lookup table derived from the ONS English Indices of Deprivation 2019. Where the LSOA code cannot be matched — for example, due to boundary changes — the system shall fall back to the national median rank of 15,000 without surfacing an error to the user. This satisfies US1 and US2 by ensuring the deprivation context is always populated.</w:t>
      </w:r>
    </w:p>
    <w:p>
      <w:pPr>
        <w:spacing w:lineRule="auto" w:line="360" w:before="0" w:after="120"/>
        <w:jc w:val="both"/>
      </w:pPr>
      <w:r>
        <w:rPr>
          <w:rFonts w:ascii="Times New Roman" w:hAnsi="Times New Roman"/>
          <w:sz w:val="24"/>
        </w:rPr>
        <w:t>FR4 — Authentication and Prediction History: The system shall support user registration and login via email and password as well as Google OAuth. Authenticated users shall be able to save individual valuations to a Supabase PostgreSQL table, and shall be able to view, remove, and clear their history across separate sessions. Row-Level Security (RLS) policies shall ensure that users can only access their own records. This satisfies US3 and US6.</w:t>
      </w:r>
    </w:p>
    <w:p>
      <w:pPr>
        <w:spacing w:lineRule="auto" w:line="360" w:before="0" w:after="120"/>
        <w:jc w:val="both"/>
      </w:pPr>
      <w:r>
        <w:rPr>
          <w:rFonts w:ascii="Times New Roman" w:hAnsi="Times New Roman"/>
          <w:sz w:val="24"/>
        </w:rPr>
        <w:t>FR5 — Feature Contribution Explanation: Following each prediction, the system shall display the top ten contributing features as a directional waterfall-style bar chart, computed using LightGBM's pred_contrib=True parameter, which produces SHAP-equivalent per-feature contributions for each individual prediction (Lundberg and Lee, 2017). This satisfies US2 by giving buyers and homeowners an interpretable explanation of why a particular price was predicted.</w:t>
      </w:r>
    </w:p>
    <w:p>
      <w:pPr>
        <w:spacing w:lineRule="auto" w:line="360" w:before="0" w:after="120"/>
        <w:jc w:val="both"/>
      </w:pPr>
      <w:r>
        <w:rPr>
          <w:rFonts w:ascii="Times New Roman" w:hAnsi="Times New Roman"/>
          <w:sz w:val="24"/>
        </w:rPr>
        <w:t>FR6 — Amenity Display (Client Requirement): The Results page shall display the nearest railway station, school, supermarket, and pharmacy, including the OpenStreetMap name tag and the walking distance in miles, fetched via the Overpass API. This requirement was explicitly requested by the client and satisfies US4. It is architecturally important to note that these four displayed amenity distances are contextual location information only and are not passed as inputs to the trained model; the distinction is explained in full in Section 5.3.</w:t>
      </w:r>
    </w:p>
    <w:p>
      <w:pPr>
        <w:pStyle w:val="Heading2"/>
        <w:spacing w:before="240" w:after="80"/>
      </w:pPr>
      <w:r>
        <w:rPr>
          <w:rFonts w:ascii="Times New Roman" w:hAnsi="Times New Roman"/>
          <w:b/>
          <w:color w:val="006C49"/>
          <w:sz w:val="26"/>
        </w:rPr>
        <w:t>2.3 Non-Functional Requirements</w:t>
      </w:r>
    </w:p>
    <w:p>
      <w:pPr>
        <w:spacing w:lineRule="auto" w:line="360" w:before="0" w:after="120"/>
        <w:jc w:val="both"/>
      </w:pPr>
      <w:r>
        <w:rPr>
          <w:rFonts w:ascii="Times New Roman" w:hAnsi="Times New Roman"/>
          <w:sz w:val="24"/>
        </w:rPr>
        <w:t>NFR1 requires that the /predict endpoint responds within two seconds under normal load, ensuring a responsive user experience consistent with contemporary web application standards. NFR2 specifies that the test suite must cover all eight API endpoints, achieved through 58 test cases across 52 test functions distributed among nine test classes. NFR3 mandates that the entire production system operates within free-tier resource limits, using Vercel for the frontend and Render for the backend, thereby enabling continued operation without ongoing hosting cost. NFR4 requires that all API cross-origin requests are restricted to known origins specified in the ALLOWED_ORIGINS environment variable, and that all user-specific data in Supabase is protected by Row-Level Security policies.</w:t>
      </w:r>
    </w:p>
    <w:p>
      <w:r>
        <w:br w:type="page"/>
      </w:r>
    </w:p>
    <w:p>
      <w:pPr>
        <w:pStyle w:val="Heading1"/>
        <w:spacing w:before="360" w:after="120"/>
      </w:pPr>
      <w:r>
        <w:rPr>
          <w:rFonts w:ascii="Times New Roman" w:hAnsi="Times New Roman"/>
          <w:b/>
          <w:color w:val="031634"/>
          <w:sz w:val="32"/>
        </w:rPr>
        <w:t>Chapter 3 — Design</w:t>
      </w:r>
    </w:p>
    <w:p>
      <w:pPr>
        <w:spacing w:lineRule="auto" w:line="360" w:before="0" w:after="120"/>
        <w:jc w:val="both"/>
      </w:pPr>
      <w:r>
        <w:rPr>
          <w:rFonts w:ascii="Times New Roman" w:hAnsi="Times New Roman"/>
          <w:sz w:val="24"/>
        </w:rPr>
        <w:t>The HousePredict system is designed as a decoupled three-tier architecture comprising a React 19 single-page application (presentation tier), a FastAPI REST backend (application tier), and a combination of LightGBM model artefacts and Supabase PostgreSQL (data tier). Three UML-style architectural views — component, sequence, and deployment — are presented below to capture the static structure, runtime interaction, and physical deployment of the system respectively, following the conventions recommended in Sommerville (2015).</w:t>
      </w:r>
    </w:p>
    <w:p>
      <w:pPr>
        <w:pStyle w:val="Heading2"/>
        <w:spacing w:before="240" w:after="80"/>
      </w:pPr>
      <w:r>
        <w:rPr>
          <w:rFonts w:ascii="Times New Roman" w:hAnsi="Times New Roman"/>
          <w:b/>
          <w:color w:val="006C49"/>
          <w:sz w:val="26"/>
        </w:rPr>
        <w:t>3.1 Component View (Figure 1)</w:t>
      </w:r>
    </w:p>
    <w:p>
      <w:pPr>
        <w:spacing w:lineRule="auto" w:line="360" w:before="0" w:after="120"/>
        <w:jc w:val="both"/>
      </w:pPr>
      <w:r>
        <w:rPr>
          <w:rFonts w:ascii="Times New Roman" w:hAnsi="Times New Roman"/>
          <w:sz w:val="24"/>
        </w:rPr>
        <w:t>Figure 1 illustrates the component decomposition of the system. The React 19 SPA, deployed to Vercel's global CDN, contains the core page components (Predict.jsx and Results.jsx), an AuthContext provider that wraps the entire application, and a Supabase client module for authentication and history persistence. The FastAPI backend, deployed on Render, exposes eight REST endpoints and encapsulates the LightGBM Booster loaded at startup alongside a 32,844-entry IMD JSON lookup table. External services include postcodes.io for geocoding, Supabase for managed PostgreSQL, the OSM Overpass API for amenity fetching, and the Esri World Imagery tile service for satellite imagery display.</w:t>
      </w:r>
    </w:p>
    <w:p>
      <w:pPr>
        <w:spacing w:line="240" w:lineRule="auto" w:before="120" w:after="40"/>
        <w:ind w:left="288"/>
        <w:shd w:val="clear" w:color="auto" w:fill="F2F2F2"/>
      </w:pPr>
      <w:r>
        <w:rPr>
          <w:rFonts w:ascii="Courier New" w:hAnsi="Courier New"/>
          <w:sz w:val="18"/>
        </w:rPr>
        <w:t>┌─────────────────────────────────────────────────────────────────┐</w:t>
        <w:br/>
        <w:t>│                    HousePredict System                          │</w:t>
        <w:br/>
        <w:t>│                                                                 │</w:t>
        <w:br/>
        <w:t>│  ┌──────────────────────────┐    ┌──────────────────────────┐  │</w:t>
        <w:br/>
        <w:t>│  │   React 19 SPA (Vercel)  │    │  FastAPI Backend (Render) │  │</w:t>
        <w:br/>
        <w:t>│  │                          │    │                           │  │</w:t>
        <w:br/>
        <w:t>│  │  ┌─────────┐ ┌────────┐  │    │  ┌──────────────────────┐│  │</w:t>
        <w:br/>
        <w:t>│  │  │Predict  │ │Results │  │◄──►│  │  /predict endpoint   ││  │</w:t>
        <w:br/>
        <w:t>│  │  │.jsx     │ │.jsx    │  │    │  │  /health, /imd,      ││  │</w:t>
        <w:br/>
        <w:t>│  │  └─────────┘ └────────┘  │    │  │  /feature-importance  ││  │</w:t>
        <w:br/>
        <w:t>│  │  ┌─────────┐ ┌────────┐  │    │  └──────────────────────┘│  │</w:t>
        <w:br/>
        <w:t>│  │  │AuthCtx  │ │Supabase│  │    │  ┌──────────────────────┐│  │</w:t>
        <w:br/>
        <w:t>│  │  │Provider │ │.js     │  │    │  │  LightGBM Booster    ││  │</w:t>
        <w:br/>
        <w:t>│  │  └─────────┘ └────────┘  │    │  │  3,000 trees/21 feat ││  │</w:t>
        <w:br/>
        <w:t>│  └──────────────────────────┘    │  └──────────────────────┘│  │</w:t>
        <w:br/>
        <w:t>│           │         │            │  ┌──────────────────────┐│  │</w:t>
        <w:br/>
        <w:t>│           │         │            │  │  IMD JSON lookup     ││  │</w:t>
        <w:br/>
        <w:t>│           ▼         ▼            │  │  32,844 LSOAs        ││  │</w:t>
        <w:br/>
        <w:t>│  ┌──────────────┐ ┌──────────┐   │  └──────────────────────┘│  │</w:t>
        <w:br/>
        <w:t>│  │ postcodes.io │ │Supabase  │   └──────────────────────────┘  │</w:t>
        <w:br/>
        <w:t>│  │ (geocoding)  │ │(auth+db) │                                  │</w:t>
        <w:br/>
        <w:t>│  └──────────────┘ └──────────┘                                  │</w:t>
        <w:br/>
        <w:t>│  ┌──────────────┐ ┌──────────────┐                              │</w:t>
        <w:br/>
        <w:t>│  │ OSM Overpass │ │ Esri World   │                              │</w:t>
        <w:br/>
        <w:t>│  │ (amenities)  │ │ Imagery      │                              │</w:t>
        <w:br/>
        <w:t>│  └──────────────┘ └──────────────┘                              │</w:t>
        <w:br/>
        <w:t>└─────────────────────────────────────────────────────────────────┘</w:t>
      </w:r>
    </w:p>
    <w:p>
      <w:pPr>
        <w:spacing w:before="40" w:after="200"/>
        <w:jc w:val="center"/>
      </w:pPr>
      <w:r>
        <w:rPr>
          <w:rFonts w:ascii="Times New Roman" w:hAnsi="Times New Roman"/>
          <w:i/>
          <w:sz w:val="20"/>
        </w:rPr>
        <w:t>Figure 1 — Component View: HousePredict system architecture</w:t>
      </w:r>
    </w:p>
    <w:p>
      <w:pPr>
        <w:pStyle w:val="Heading2"/>
        <w:spacing w:before="240" w:after="80"/>
      </w:pPr>
      <w:r>
        <w:rPr>
          <w:rFonts w:ascii="Times New Roman" w:hAnsi="Times New Roman"/>
          <w:b/>
          <w:color w:val="006C49"/>
          <w:sz w:val="26"/>
        </w:rPr>
        <w:t>3.2 Sequence Diagram (Figure 2)</w:t>
      </w:r>
    </w:p>
    <w:p>
      <w:pPr>
        <w:spacing w:lineRule="auto" w:line="360" w:before="0" w:after="120"/>
        <w:jc w:val="both"/>
      </w:pPr>
      <w:r>
        <w:rPr>
          <w:rFonts w:ascii="Times New Roman" w:hAnsi="Times New Roman"/>
          <w:sz w:val="24"/>
        </w:rPr>
        <w:t>Figure 2 depicts the runtime message sequence for a complete prediction request. The critical design decision visible in this diagram is the asynchronous prefetch of amenity data: the prefetchAmenities() call is dispatched the moment the postcode is resolved from postcodes.io, several seconds before the user submits the form. By the time Results.jsx calls getAmenityDistances(), the Overpass response has in most cases already resolved from the module-level cache, eliminating the perceived wait. The synchronous POST /predict call then invokes the LightGBM model, retrieves pred_contrib feature contributions, and returns the structured JSON response before the SPA navigates to the Results page.</w:t>
      </w:r>
    </w:p>
    <w:p>
      <w:pPr>
        <w:spacing w:line="240" w:lineRule="auto" w:before="120" w:after="40"/>
        <w:ind w:left="288"/>
        <w:shd w:val="clear" w:color="auto" w:fill="F2F2F2"/>
      </w:pPr>
      <w:r>
        <w:rPr>
          <w:rFonts w:ascii="Courier New" w:hAnsi="Courier New"/>
          <w:sz w:val="18"/>
        </w:rPr>
        <w:t>User     Predict.jsx    postcodes.io    FastAPI     LightGBM    Results.jsx   Overpass</w:t>
        <w:br/>
        <w:t xml:space="preserve"> │            │               │            │            │             │           │</w:t>
        <w:br/>
        <w:t xml:space="preserve"> │─typePostcode►│               │            │            │             │           │</w:t>
        <w:br/>
        <w:t xml:space="preserve"> │            │──lookup()─────►│            │            │             │           │</w:t>
        <w:br/>
        <w:t xml:space="preserve"> │            │◄──lat/lon/LSOA─│            │            │             │           │</w:t>
        <w:br/>
        <w:t xml:space="preserve"> │            │──prefetchAmenities()────────────────────────────────────────────►│</w:t>
        <w:br/>
        <w:t xml:space="preserve"> │            │                │            │            │             │   [async] │</w:t>
        <w:br/>
        <w:t xml:space="preserve"> │─submitForm─►│               │            │            │             │           │</w:t>
        <w:br/>
        <w:t xml:space="preserve"> │            │──POST /predict─────────────►│            │             │           │</w:t>
        <w:br/>
        <w:t xml:space="preserve"> │            │                │            │──predict()─►│            │           │</w:t>
        <w:br/>
        <w:t xml:space="preserve"> │            │                │            │◄─log_pred──│            │           │</w:t>
        <w:br/>
        <w:t xml:space="preserve"> │            │                │            │──pred_contrib►│          │           │</w:t>
        <w:br/>
        <w:t xml:space="preserve"> │            │                │            │◄─contributions│          │           │</w:t>
        <w:br/>
        <w:t xml:space="preserve"> │            │◄─prediction────────────────│            │             │           │</w:t>
        <w:br/>
        <w:t xml:space="preserve"> │            │──navigate(/results)────────────────────────────────►│           │</w:t>
        <w:br/>
        <w:t xml:space="preserve"> │            │                │            │            │             │──resolve()►│</w:t>
        <w:br/>
        <w:t xml:space="preserve"> │            │                │            │            │             │◄─amenities─│</w:t>
        <w:br/>
        <w:t xml:space="preserve"> │◄─results page──────────────────────────────────────────────────────│           │</w:t>
      </w:r>
    </w:p>
    <w:p>
      <w:pPr>
        <w:spacing w:before="40" w:after="200"/>
        <w:jc w:val="center"/>
      </w:pPr>
      <w:r>
        <w:rPr>
          <w:rFonts w:ascii="Times New Roman" w:hAnsi="Times New Roman"/>
          <w:i/>
          <w:sz w:val="20"/>
        </w:rPr>
        <w:t>Figure 2 — Sequence Diagram: Prediction request flow showing async amenity prefetch</w:t>
      </w:r>
    </w:p>
    <w:p>
      <w:pPr>
        <w:pStyle w:val="Heading2"/>
        <w:spacing w:before="240" w:after="80"/>
      </w:pPr>
      <w:r>
        <w:rPr>
          <w:rFonts w:ascii="Times New Roman" w:hAnsi="Times New Roman"/>
          <w:b/>
          <w:color w:val="006C49"/>
          <w:sz w:val="26"/>
        </w:rPr>
        <w:t>3.3 Deployment View (Figure 3)</w:t>
      </w:r>
    </w:p>
    <w:p>
      <w:pPr>
        <w:spacing w:lineRule="auto" w:line="360" w:before="0" w:after="120"/>
        <w:jc w:val="both"/>
      </w:pPr>
      <w:r>
        <w:rPr>
          <w:rFonts w:ascii="Times New Roman" w:hAnsi="Times New Roman"/>
          <w:sz w:val="24"/>
        </w:rPr>
        <w:t>Figure 3 shows the physical deployment topology. The React SPA is compiled to static assets by Vercel's build pipeline on every push to the main branch, and served from Vercel's global edge network with zero configuration. The FastAPI backend runs under Uvicorn on Render's free tier, loading the LightGBM model artefacts (lgb_property_model.txt and label_encoders.pkl) and the IMD lookup (imd_lookup.json) at container startup. Supabase provides a fully managed PostgreSQL instance with built-in authentication and row-level security. Three external APIs — postcodes.io, OSM Overpass, and Esri World Imagery — are consumed client-side or by the SPA's JavaScript modules without requiring API keys.</w:t>
      </w:r>
    </w:p>
    <w:p>
      <w:pPr>
        <w:spacing w:line="240" w:lineRule="auto" w:before="120" w:after="40"/>
        <w:ind w:left="288"/>
        <w:shd w:val="clear" w:color="auto" w:fill="F2F2F2"/>
      </w:pPr>
      <w:r>
        <w:rPr>
          <w:rFonts w:ascii="Courier New" w:hAnsi="Courier New"/>
          <w:sz w:val="18"/>
        </w:rPr>
        <w:t>┌──────────────────────────────────────────────────────────────┐</w:t>
        <w:br/>
        <w:t>│                      Production Deployment                   │</w:t>
        <w:br/>
        <w:t>│                                                              │</w:t>
        <w:br/>
        <w:t>│  ┌─────────────────────────┐    ┌─────────────────────────┐ │</w:t>
        <w:br/>
        <w:t>│  │     Vercel CDN           │    │    Render.com           │ │</w:t>
        <w:br/>
        <w:t>│  │  (Global Edge Network)   │    │    (Free Tier)          │ │</w:t>
        <w:br/>
        <w:t>│  │                          │    │                         │ │</w:t>
        <w:br/>
        <w:t>│  │  React 19 SPA (static)   │    │  Uvicorn + FastAPI      │ │</w:t>
        <w:br/>
        <w:t>│  │  house-predict-          │───►│  housepredict-backend   │ │</w:t>
        <w:br/>
        <w:t>│  │  england.vercel.app      │    │  .onrender.com          │ │</w:t>
        <w:br/>
        <w:t>│  │                          │    │                         │ │</w:t>
        <w:br/>
        <w:t>│  │  Auto-deploy on          │    │  Model artefacts:       │ │</w:t>
        <w:br/>
        <w:t>│  │  git push to main        │    │  lgb_property_model.txt │ │</w:t>
        <w:br/>
        <w:t>│  └─────────────────────────┘    │  label_encoders.pkl     │ │</w:t>
        <w:br/>
        <w:t>│                                  │  imd_lookup.json        │ │</w:t>
        <w:br/>
        <w:t>│  ┌─────────────────────────┐    └─────────────────────────┘ │</w:t>
        <w:br/>
        <w:t>│  │     Supabase             │                                │</w:t>
        <w:br/>
        <w:t>│  │  (managed PostgreSQL)    │    ┌─────────────────────────┐ │</w:t>
        <w:br/>
        <w:t>│  │                          │    │    External APIs         │ │</w:t>
        <w:br/>
        <w:t>│  │  Auth (email + Google)   │    │  postcodes.io (free)    │ │</w:t>
        <w:br/>
        <w:t>│  │  saved_predictions table │    │  OSM Overpass (free)    │ │</w:t>
        <w:br/>
        <w:t>│  │  Row-Level Security (RLS)│    │  Esri World Imagery     │ │</w:t>
        <w:br/>
        <w:t>│  └─────────────────────────┘    └─────────────────────────┘ │</w:t>
        <w:br/>
        <w:t>└──────────────────────────────────────────────────────────────┘</w:t>
      </w:r>
    </w:p>
    <w:p>
      <w:pPr>
        <w:spacing w:before="40" w:after="200"/>
        <w:jc w:val="center"/>
      </w:pPr>
      <w:r>
        <w:rPr>
          <w:rFonts w:ascii="Times New Roman" w:hAnsi="Times New Roman"/>
          <w:i/>
          <w:sz w:val="20"/>
        </w:rPr>
        <w:t>Figure 3 — Deployment View: Production topology on Vercel, Render, and Supabase</w:t>
      </w:r>
    </w:p>
    <w:p>
      <w:pPr>
        <w:pStyle w:val="Heading2"/>
        <w:spacing w:before="240" w:after="80"/>
      </w:pPr>
      <w:r>
        <w:rPr>
          <w:rFonts w:ascii="Times New Roman" w:hAnsi="Times New Roman"/>
          <w:b/>
          <w:color w:val="006C49"/>
          <w:sz w:val="26"/>
        </w:rPr>
        <w:t>3.4 Key Design Decisions</w:t>
      </w:r>
    </w:p>
    <w:p>
      <w:pPr>
        <w:spacing w:lineRule="auto" w:line="360" w:before="0" w:after="120"/>
        <w:jc w:val="both"/>
      </w:pPr>
      <w:r>
        <w:rPr>
          <w:rFonts w:ascii="Times New Roman" w:hAnsi="Times New Roman"/>
          <w:sz w:val="24"/>
        </w:rPr>
        <w:t>LightGBM was selected over neural network approaches on the basis of Grinsztajn et al. (2022), who demonstrate empirically across 45 tabular datasets that tree-based ensembles consistently outperform multi-layer perceptrons, with the gap widening as the proportion of uninformative features increases. Property data exhibits precisely this characteristic: categorical variables such as region and postcode district carry high predictive signal but are most naturally handled through the integer-encoded splits of a tree model rather than the embedding layers required by neural networks.</w:t>
      </w:r>
    </w:p>
    <w:p>
      <w:pPr>
        <w:spacing w:lineRule="auto" w:line="360" w:before="0" w:after="120"/>
        <w:jc w:val="both"/>
      </w:pPr>
      <w:r>
        <w:rPr>
          <w:rFonts w:ascii="Times New Roman" w:hAnsi="Times New Roman"/>
          <w:sz w:val="24"/>
        </w:rPr>
        <w:t>FastAPI was chosen over Flask for the backend because its native async support, automatic OpenAPI documentation, and first-class Pydantic v2 integration reduce boilerplate while improving input validation and developer productivity (FastAPI, 2024). Supabase was selected to provide authentication with Google OAuth, a managed PostgreSQL database, and row-level security without the overhead of implementing a custom auth server. postcodes.io was chosen for geocoding because it provides free, key-less access to the full ONS Postcode Directory, resolving not only coordinates but also region codes, local authority codes, and LSOA identifiers required by the model (postcodes.io, 2024).</w:t>
      </w:r>
    </w:p>
    <w:p>
      <w:pPr>
        <w:pStyle w:val="Heading2"/>
        <w:spacing w:before="240" w:after="80"/>
      </w:pPr>
      <w:r>
        <w:rPr>
          <w:rFonts w:ascii="Times New Roman" w:hAnsi="Times New Roman"/>
          <w:b/>
          <w:color w:val="006C49"/>
          <w:sz w:val="26"/>
        </w:rPr>
        <w:t>3.5 User Interface Design</w:t>
      </w:r>
    </w:p>
    <w:p>
      <w:pPr>
        <w:spacing w:lineRule="auto" w:line="360" w:before="0" w:after="120"/>
        <w:jc w:val="both"/>
      </w:pPr>
      <w:r>
        <w:rPr>
          <w:rFonts w:ascii="Times New Roman" w:hAnsi="Times New Roman"/>
          <w:sz w:val="24"/>
        </w:rPr>
        <w:t>The user interface follows a Material You-inspired design system with a primary colour of #031634 (deep navy) and a secondary accent of #006c49 (forest green), implemented through CSS custom property tokens. Icon glyphs are sourced from Google Material Symbols. The prediction flow is structured as a three-step postcode-first form: Section 01 (Location) must be completed and the postcode resolved before Sections 02 (Property Details) and 03 (Advanced) unlock, guiding users through the required inputs in a logical sequence. The Results page features a contribution waterfall chart and an Esri World Imagery satellite strip, the latter added in direct response to client feedback during Sprint 4. Figures 5, 6, and 7 below illustrate the three principal UI screens.</w:t>
      </w:r>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2514600"/>
                    </a:xfrm>
                    <a:prstGeom prst="rect"/>
                  </pic:spPr>
                </pic:pic>
              </a:graphicData>
            </a:graphic>
          </wp:inline>
        </w:drawing>
      </w:r>
    </w:p>
    <w:p>
      <w:pPr>
        <w:spacing w:before="80" w:after="240"/>
        <w:jc w:val="center"/>
      </w:pPr>
      <w:r>
        <w:rPr>
          <w:rFonts w:ascii="Times New Roman" w:hAnsi="Times New Roman"/>
          <w:i/>
          <w:sz w:val="20"/>
        </w:rPr>
        <w:t>Figure 5 — HousePredict Home Page: Professional property valuation landing page for England</w:t>
      </w:r>
    </w:p>
    <w:p>
      <w:pPr>
        <w:jc w:val="center"/>
      </w:pPr>
      <w:r>
        <w:drawing>
          <wp:inline xmlns:a="http://schemas.openxmlformats.org/drawingml/2006/main" xmlns:pic="http://schemas.openxmlformats.org/drawingml/2006/picture">
            <wp:extent cx="5029200" cy="18859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1885950"/>
                    </a:xfrm>
                    <a:prstGeom prst="rect"/>
                  </pic:spPr>
                </pic:pic>
              </a:graphicData>
            </a:graphic>
          </wp:inline>
        </w:drawing>
      </w:r>
    </w:p>
    <w:p>
      <w:pPr>
        <w:spacing w:before="80" w:after="240"/>
        <w:jc w:val="center"/>
      </w:pPr>
      <w:r>
        <w:rPr>
          <w:rFonts w:ascii="Times New Roman" w:hAnsi="Times New Roman"/>
          <w:i/>
          <w:sz w:val="20"/>
        </w:rPr>
        <w:t>Figure 6 — Predict Form: Postcode-first three-step form. Section 01 (Location) must be completed before Sections 02 and 03 unlock</w:t>
      </w:r>
    </w:p>
    <w:p>
      <w:pPr>
        <w:jc w:val="center"/>
      </w:pPr>
      <w:r>
        <w:drawing>
          <wp:inline xmlns:a="http://schemas.openxmlformats.org/drawingml/2006/main" xmlns:pic="http://schemas.openxmlformats.org/drawingml/2006/picture">
            <wp:extent cx="5029200" cy="188595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1885950"/>
                    </a:xfrm>
                    <a:prstGeom prst="rect"/>
                  </pic:spPr>
                </pic:pic>
              </a:graphicData>
            </a:graphic>
          </wp:inline>
        </w:drawing>
      </w:r>
    </w:p>
    <w:p>
      <w:pPr>
        <w:spacing w:before="80" w:after="240"/>
        <w:jc w:val="center"/>
      </w:pPr>
      <w:r>
        <w:rPr>
          <w:rFonts w:ascii="Times New Roman" w:hAnsi="Times New Roman"/>
          <w:i/>
          <w:sz w:val="20"/>
        </w:rPr>
        <w:t>Figure 7 — Results Page: Location Snapshot showing satellite imagery and live OpenStreetMap distances to station (0.32 mi, St James's Park), school (1.48 mi), supermarket (0.37 mi, Mayfair Mini Market) and pharmacy (0.38 mi, Boots)</w:t>
      </w:r>
    </w:p>
    <w:p>
      <w:r>
        <w:br w:type="page"/>
      </w:r>
    </w:p>
    <w:p>
      <w:pPr>
        <w:pStyle w:val="Heading1"/>
        <w:spacing w:before="360" w:after="120"/>
      </w:pPr>
      <w:r>
        <w:rPr>
          <w:rFonts w:ascii="Times New Roman" w:hAnsi="Times New Roman"/>
          <w:b/>
          <w:color w:val="031634"/>
          <w:sz w:val="32"/>
        </w:rPr>
        <w:t>Chapter 4 — Implementation</w:t>
      </w:r>
    </w:p>
    <w:p>
      <w:pPr>
        <w:pStyle w:val="Heading2"/>
        <w:spacing w:before="240" w:after="80"/>
      </w:pPr>
      <w:r>
        <w:rPr>
          <w:rFonts w:ascii="Times New Roman" w:hAnsi="Times New Roman"/>
          <w:b/>
          <w:color w:val="006C49"/>
          <w:sz w:val="26"/>
        </w:rPr>
        <w:t>4.1 Backend Architecture</w:t>
      </w:r>
    </w:p>
    <w:p>
      <w:pPr>
        <w:spacing w:lineRule="auto" w:line="360" w:before="0" w:after="120"/>
        <w:jc w:val="both"/>
      </w:pPr>
      <w:r>
        <w:rPr>
          <w:rFonts w:ascii="Times New Roman" w:hAnsi="Times New Roman"/>
          <w:sz w:val="24"/>
        </w:rPr>
        <w:t>The FastAPI backend is structured as a single application module (main.py) that loads model artefacts at startup and exposes eight REST endpoints. At initialisation, the server reads the LightGBM Booster from lgb_property_model.txt — a text-format model file that is both version-controlled and human-readable — and deserialises the label_encoders.pkl file, which stores five scikit-learn LabelEncoder instances corresponding to the five categorical columns encoded during training (Pedregosa et al., 2011). The IMD lookup is loaded from imd_lookup.json, a dictionary keyed by LSOA code mapping to deprivation rank values for all 32,844 English lower-layer super output areas.</w:t>
      </w:r>
    </w:p>
    <w:p>
      <w:pPr>
        <w:spacing w:lineRule="auto" w:line="360" w:before="0" w:after="120"/>
        <w:jc w:val="both"/>
      </w:pPr>
      <w:r>
        <w:rPr>
          <w:rFonts w:ascii="Times New Roman" w:hAnsi="Times New Roman"/>
          <w:sz w:val="24"/>
        </w:rPr>
        <w:t>Input validation is handled entirely by a Pydantic v2 PropertyInput model with 21 fields corresponding to the model's feature set. Pydantic enforces type coercion, integer and float bounds, and enumeration constraints at the framework level before the application code is reached. The inference pipeline function build_feature_row() constructs a NumPy array in the exact column order expected by the trained LightGBM Booster, applying the same LabelEncoder transforms used during training. The model prediction is made in log1p space; the raw output is back-transformed using numpy's expm1() function to recover the predicted sterling price (Ke et al., 2017). When pred_contrib=True is passed to lgb_model.predict(), LightGBM returns a SHAP-equivalent contribution matrix; the per-feature contributions are extracted, sorted by absolute magnitude, and the top ten are serialised into the API response alongside the prediction and confidence interval bounds.</w:t>
      </w:r>
    </w:p>
    <w:p>
      <w:pPr>
        <w:spacing w:lineRule="auto" w:line="360" w:before="0" w:after="120"/>
        <w:jc w:val="both"/>
      </w:pPr>
      <w:r>
        <w:rPr>
          <w:rFonts w:ascii="Times New Roman" w:hAnsi="Times New Roman"/>
          <w:sz w:val="24"/>
        </w:rPr>
        <w:t>The eight endpoints serve distinct responsibilities. GET /health returns the model name, feature count, and encoder manifest, enabling integration tests to verify that artefacts loaded correctly. POST /predict is the primary inference endpoint. GET /imd/{lsoa_code} performs a direct LSOA-to-rank lookup. GET /feature-importance returns the global LightGBM split-gain importance scores. GET /age-bands returns the ordinal construction age band mapping. GET /encoders/{column} exposes the class labels known to each LabelEncoder. GET /regions and GET /local-authorities provide the complete lists of encoded region and local authority identifiers for dropdown population in the frontend. CORS middleware is configured to restrict cross-origin access to origins enumerated in the ALLOWED_ORIGINS environment variable, satisfying NFR4.</w:t>
      </w:r>
    </w:p>
    <w:p>
      <w:pPr>
        <w:pStyle w:val="Heading2"/>
        <w:spacing w:before="240" w:after="80"/>
      </w:pPr>
      <w:r>
        <w:rPr>
          <w:rFonts w:ascii="Times New Roman" w:hAnsi="Times New Roman"/>
          <w:b/>
          <w:color w:val="006C49"/>
          <w:sz w:val="26"/>
        </w:rPr>
        <w:t>4.2 Frontend Architecture</w:t>
      </w:r>
    </w:p>
    <w:p>
      <w:pPr>
        <w:spacing w:lineRule="auto" w:line="360" w:before="0" w:after="120"/>
        <w:jc w:val="both"/>
      </w:pPr>
      <w:r>
        <w:rPr>
          <w:rFonts w:ascii="Times New Roman" w:hAnsi="Times New Roman"/>
          <w:sz w:val="24"/>
        </w:rPr>
        <w:t>The frontend is a React 19 single-page application bundled with Vite 8. Application-wide state management uses React Context through a custom AuthContext provider that wraps the entire component tree, exposing the current user session and auth helper functions through the useAuth() hook. Client-side routing is managed by react-router-dom v7, with three primary routes: the home landing page, the Predict page containing the three-step form, and the Results page that displays the prediction outcome.</w:t>
      </w:r>
    </w:p>
    <w:p>
      <w:pPr>
        <w:spacing w:lineRule="auto" w:line="360" w:before="0" w:after="120"/>
        <w:jc w:val="both"/>
      </w:pPr>
      <w:r>
        <w:rPr>
          <w:rFonts w:ascii="Times New Roman" w:hAnsi="Times New Roman"/>
          <w:sz w:val="24"/>
        </w:rPr>
        <w:t>Authentication is implemented through the Supabase JavaScript client, which handles both email and password authentication and Google OAuth via Supabase's built-in provider integration (Supabase, 2024). Prediction history is stored in the saved_predictions table with four corresponding data access functions: savePrediction() inserts a new row, getHistory() retrieves the authenticated user's records, removePrediction() deletes a single row by its primary key, and clearHistory() deletes all rows for the current user. Row-Level Security policies on the Supabase table ensure that each of these operations is scoped to the authenticated user's UID.</w:t>
      </w:r>
    </w:p>
    <w:p>
      <w:pPr>
        <w:spacing w:lineRule="auto" w:line="360" w:before="0" w:after="120"/>
        <w:jc w:val="both"/>
      </w:pPr>
      <w:r>
        <w:rPr>
          <w:rFonts w:ascii="Times New Roman" w:hAnsi="Times New Roman"/>
          <w:sz w:val="24"/>
        </w:rPr>
        <w:t>Postcode handling is abstracted into a dedicated module with three public functions. autocomplete() fetches suggestions from the postcodes.io bulk autocomplete endpoint as the user types. lookup() retrieves the full record for a selected postcode including its LSOA identifier, administrative region, and local authority codes (postcodes.io, 2024). extractModelFields() maps the postcodes.io response fields to the exact input names required by the PropertyInput Pydantic model on the backend. The Overpass integration is implemented as a module-level prefetch cache: prefetchAmenities() fires an asynchronous Overpass QL query the moment a postcode is resolved, storing the promise in a module-scoped variable; getAmenityDistances() awaits this cached promise from Results.jsx, ensuring the amenity cards populate instantly in most cases without requiring a separate loading state (OpenStreetMap Wiki, 2025).</w:t>
      </w:r>
    </w:p>
    <w:p>
      <w:pPr>
        <w:pStyle w:val="Heading2"/>
        <w:spacing w:before="240" w:after="80"/>
      </w:pPr>
      <w:r>
        <w:rPr>
          <w:rFonts w:ascii="Times New Roman" w:hAnsi="Times New Roman"/>
          <w:b/>
          <w:color w:val="006C49"/>
          <w:sz w:val="26"/>
        </w:rPr>
        <w:t>4.3 Engineering Challenges</w:t>
      </w:r>
    </w:p>
    <w:p>
      <w:pPr>
        <w:spacing w:lineRule="auto" w:line="360" w:before="0" w:after="120"/>
        <w:jc w:val="both"/>
      </w:pPr>
      <w:r>
        <w:rPr>
          <w:rFonts w:ascii="Times New Roman" w:hAnsi="Times New Roman"/>
          <w:sz w:val="24"/>
        </w:rPr>
        <w:t>Three significant engineering challenges arose during implementation. First, the upgrade to Vite 8, which introduces the Rolldown bundler as a replacement for Rollup, caused the production build to fail because Vite 8 removed support for the object form of the manualChunks configuration option. The team migrated to the function form (manualChunks(id){...}), which resolved the build-breaking error. However, the Rolldown migration guide identifies even the function form as deprecated; the idiomatic Rolldown approach is to use Rolldown's native codeSplitting configuration object. The function form therefore represents a functional interim solution while Rolldown's ecosystem documentation and tooling mature (Vite, 2026).</w:t>
      </w:r>
    </w:p>
    <w:p>
      <w:pPr>
        <w:spacing w:lineRule="auto" w:line="360" w:before="0" w:after="120"/>
        <w:jc w:val="both"/>
      </w:pPr>
      <w:r>
        <w:rPr>
          <w:rFonts w:ascii="Times New Roman" w:hAnsi="Times New Roman"/>
          <w:sz w:val="24"/>
        </w:rPr>
        <w:t>Second, the OSM Overpass public API enforces a limit of two simultaneous connections per IP address, which caused intermittent 429 errors when multiple users submitted postcodes in quick succession. This was resolved by implementing a dual-server fallback strategy: the primary query targets overpass-api.de, and on failure the identical Overpass QL query is retried against overpass.kumi.systems. Additionally, the four amenity types (station, school, supermarket, pharmacy) are fetched within a single combined Overpass QL union query rather than four separate requests, reducing connection count by a factor of four (OpenStreetMap Foundation, 2021).</w:t>
      </w:r>
    </w:p>
    <w:p>
      <w:pPr>
        <w:spacing w:lineRule="auto" w:line="360" w:before="0" w:after="120"/>
        <w:jc w:val="both"/>
      </w:pPr>
      <w:r>
        <w:rPr>
          <w:rFonts w:ascii="Times New Roman" w:hAnsi="Times New Roman"/>
          <w:sz w:val="24"/>
        </w:rPr>
        <w:t>Third, Render's free tier suspends container instances after a period of inactivity, causing cold start latencies of up to thirty seconds on the first prediction request after a period of dormancy. This was mitigated by issuing a lightweight GET /health warm-up ping from Predict.jsx's useEffect hook on page load, so the container begins resuming before the user has completed the form, substantially reducing the likelihood that the POST /predict request encounters a cold-started server (Render, 2026).</w:t>
      </w:r>
    </w:p>
    <w:p>
      <w:r>
        <w:br w:type="page"/>
      </w:r>
    </w:p>
    <w:p>
      <w:pPr>
        <w:pStyle w:val="Heading1"/>
        <w:spacing w:before="360" w:after="120"/>
      </w:pPr>
      <w:r>
        <w:rPr>
          <w:rFonts w:ascii="Times New Roman" w:hAnsi="Times New Roman"/>
          <w:b/>
          <w:color w:val="031634"/>
          <w:sz w:val="32"/>
        </w:rPr>
        <w:t>Chapter 5 — Machine Learning Model</w:t>
      </w:r>
    </w:p>
    <w:p>
      <w:pPr>
        <w:pStyle w:val="Heading2"/>
        <w:spacing w:before="240" w:after="80"/>
      </w:pPr>
      <w:r>
        <w:rPr>
          <w:rFonts w:ascii="Times New Roman" w:hAnsi="Times New Roman"/>
          <w:b/>
          <w:color w:val="006C49"/>
          <w:sz w:val="26"/>
        </w:rPr>
        <w:t>5.1 Dataset and Pipeline</w:t>
      </w:r>
    </w:p>
    <w:p>
      <w:pPr>
        <w:spacing w:lineRule="auto" w:line="360" w:before="0" w:after="120"/>
        <w:jc w:val="both"/>
      </w:pPr>
      <w:r>
        <w:rPr>
          <w:rFonts w:ascii="Times New Roman" w:hAnsi="Times New Roman"/>
          <w:sz w:val="24"/>
        </w:rPr>
        <w:t>The training dataset was constructed by joining two large open government datasets. The HM Land Registry Price Paid Dataset (PPD) provides a complete record of residential property transactions in England and Wales, including transaction price, property type, tenure, and postcode (HM Land Registry, 2024). The MHCLG Energy Performance of Buildings Register provides EPC records containing floor area in square metres, room count, current EPC energy efficiency score, and construction age band for each registered dwelling (Department for Levelling Up, Housing and Communities, 2026). Following Fuerst et al. (2015), who demonstrate a statistically significant price premium for energy-efficient dwellings in England, the EPC data were treated as essential rather than supplementary features. After deduplication and inner join on address-derived keys, the combined dataset covers 4.5 million matched transactions from 2018 to 2021.</w:t>
      </w:r>
    </w:p>
    <w:p>
      <w:pPr>
        <w:spacing w:lineRule="auto" w:line="360" w:before="0" w:after="120"/>
        <w:jc w:val="both"/>
      </w:pPr>
      <w:r>
        <w:rPr>
          <w:rFonts w:ascii="Times New Roman" w:hAnsi="Times New Roman"/>
          <w:sz w:val="24"/>
        </w:rPr>
        <w:t>Additional contextual features were appended from two further sources. The ONS Postcode Directory (August 2024 edition) was used to resolve region codes and local authority codes from each property's postcode (Office for National Statistics, 2024). The English Indices of Deprivation 2019, published by the Department for Levelling Up, Housing and Communities, provided a single composite deprivation rank for each of England's 32,844 lower-layer super output areas (LSOAs), accessed via the LSOA code resolved from the postcode (Department for Levelling Up, Housing and Communities, 2019). Two macroeconomic time-varying features — the Bank of England base rate and the national unemployment rate at the time of sale — were included to allow the model to capture temporal variation in price levels that is not captured by the sale_year feature alone.</w:t>
      </w:r>
    </w:p>
    <w:p>
      <w:pPr>
        <w:pStyle w:val="Heading2"/>
        <w:spacing w:before="240" w:after="80"/>
      </w:pPr>
      <w:r>
        <w:rPr>
          <w:rFonts w:ascii="Times New Roman" w:hAnsi="Times New Roman"/>
          <w:b/>
          <w:color w:val="006C49"/>
          <w:sz w:val="26"/>
        </w:rPr>
        <w:t>5.2 Feature Engineering</w:t>
      </w:r>
    </w:p>
    <w:p>
      <w:pPr>
        <w:spacing w:lineRule="auto" w:line="360" w:before="0" w:after="120"/>
        <w:jc w:val="both"/>
      </w:pPr>
      <w:r>
        <w:rPr>
          <w:rFonts w:ascii="Times New Roman" w:hAnsi="Times New Roman"/>
          <w:sz w:val="24"/>
        </w:rPr>
        <w:t>The final feature set comprises exactly 21 variables. Fourteen are numeric and passed directly to the model without scaling: is_new_build (binary flag), floor_area_sqm, room_count, room_count_was_imputed (binary flag indicating imputed rooms), current_epc_score, latitude, longitude, imd_value, distance_to_nearest_school_miles, distance_to_nearest_station_miles, distance_to_nearest_park_miles, bank_rate_at_sale_pct, unemployment_rate_at_sale_pct, and sale_year. Seven features are categorical and are integer-encoded before passing to the model: property_type, tenure_type, construction_age_band, region_code, local_authority_code, postcode_district, and sale_month.</w:t>
      </w:r>
    </w:p>
    <w:p>
      <w:pPr>
        <w:spacing w:lineRule="auto" w:line="360" w:before="0" w:after="120"/>
        <w:jc w:val="both"/>
      </w:pPr>
      <w:r>
        <w:rPr>
          <w:rFonts w:ascii="Times New Roman" w:hAnsi="Times New Roman"/>
          <w:sz w:val="24"/>
        </w:rPr>
        <w:t>Five of the categorical columns — property_type, tenure_type, region_code, local_authority_code, and postcode_district — are encoded using scikit-learn LabelEncoder instances fitted on the training data and serialised to label_encoders.pkl (Pedregosa et al., 2011). The construction_age_band column uses a custom ordinal integer map where 0 represents pre-1900 construction and 12 represents properties of unknown construction era, preserving the natural temporal ordering of construction epochs. The sale_month column is converted from 1-indexed calendar months to 0-indexed integers to avoid any implicit assumption that December (12) is twelve times larger than January (1). The prediction target is log1p(transaction_price), applied to normalise the heavily right-skewed distribution of English property prices before model training.</w:t>
      </w:r>
    </w:p>
    <w:p>
      <w:pPr>
        <w:pStyle w:val="Heading2"/>
        <w:spacing w:before="240" w:after="80"/>
      </w:pPr>
      <w:r>
        <w:rPr>
          <w:rFonts w:ascii="Times New Roman" w:hAnsi="Times New Roman"/>
          <w:b/>
          <w:color w:val="006C49"/>
          <w:sz w:val="26"/>
        </w:rPr>
        <w:t>5.3 Model Accessibility Features vs UI Display Amenities</w:t>
      </w:r>
    </w:p>
    <w:p>
      <w:pPr>
        <w:spacing w:lineRule="auto" w:line="360" w:before="0" w:after="120"/>
        <w:jc w:val="both"/>
      </w:pPr>
      <w:r>
        <w:rPr>
          <w:rFonts w:ascii="Times New Roman" w:hAnsi="Times New Roman"/>
          <w:sz w:val="24"/>
        </w:rPr>
        <w:t>An architectural distinction that is critical for correct interpretation of the system's behaviour concerns the three accessibility distance features used by the model and the four amenity distances displayed on the Results page. The model's three accessibility input features — distance_to_nearest_school_miles, distance_to_nearest_station_miles, and distance_to_nearest_park_miles — are populated at inference time using representative national-average defaults of 0.3, 0.5, and 0.2 miles respectively. This is a deliberate architectural decision: the Overpass API fetch begins asynchronously the moment a postcode is selected, but the results arrive after the form is submitted and the model has already executed. The defaults are drawn from the national distribution of distances observed across EPC-linked properties in the training data.</w:t>
      </w:r>
    </w:p>
    <w:p>
      <w:pPr>
        <w:spacing w:lineRule="auto" w:line="360" w:before="0" w:after="120"/>
        <w:jc w:val="both"/>
      </w:pPr>
      <w:r>
        <w:rPr>
          <w:rFonts w:ascii="Times New Roman" w:hAnsi="Times New Roman"/>
          <w:sz w:val="24"/>
        </w:rPr>
        <w:t>The Results page separately displays live OpenStreetMap distances to four amenities — railway station, school, supermarket, and pharmacy — including the OSM name tag (for example, 'Boots' or 'St James's Park'). These four displayed distances are contextual location information intended to help the user understand the neighbourhood; they are not model inputs and do not affect the predicted price. The supermarket and pharmacy cards in particular were added in direct response to explicit client feedback requesting broader amenity context (FR6), and they have no counterpart whatsoever in the trained model's 21-feature set. This design reflects a deliberate trade-off: providing contextually rich information to the user while ensuring that the model's inference path remains deterministic and fast.</w:t>
      </w:r>
    </w:p>
    <w:p>
      <w:pPr>
        <w:pStyle w:val="Heading2"/>
        <w:spacing w:before="240" w:after="80"/>
      </w:pPr>
      <w:r>
        <w:rPr>
          <w:rFonts w:ascii="Times New Roman" w:hAnsi="Times New Roman"/>
          <w:b/>
          <w:color w:val="006C49"/>
          <w:sz w:val="26"/>
        </w:rPr>
        <w:t>5.4 Model Selection</w:t>
      </w:r>
    </w:p>
    <w:p>
      <w:pPr>
        <w:spacing w:lineRule="auto" w:line="360" w:before="0" w:after="120"/>
        <w:jc w:val="both"/>
      </w:pPr>
      <w:r>
        <w:rPr>
          <w:rFonts w:ascii="Times New Roman" w:hAnsi="Times New Roman"/>
          <w:sz w:val="24"/>
        </w:rPr>
        <w:t>Three gradient-boosted ensemble algorithms were evaluated on the 2022 validation set of approximately 800,000 transactions: LightGBM, XGBoost, and Random Forest. LightGBM achieved the lowest mean absolute error on the validation set and the fastest training time, attributable to its histogram-based split-finding algorithm which bins continuous features into discrete histogram buckets before evaluating potential split points, dramatically reducing computational cost compared to exact split-finding (Ke et al., 2017). XGBoost's level-wise tree growth strategy (Chen and Guestrin, 2016) was outperformed by LightGBM's leaf-wise growth, which achieves a lower loss per leaf at the cost of deeper, less symmetric trees that generalise better on large tabular datasets. Random Forest (Breiman, 2001) also underperformed on this task, consistent with its known sensitivity to correlated spatial features.</w:t>
      </w:r>
    </w:p>
    <w:p>
      <w:pPr>
        <w:spacing w:lineRule="auto" w:line="360" w:before="0" w:after="120"/>
        <w:jc w:val="both"/>
      </w:pPr>
      <w:r>
        <w:rPr>
          <w:rFonts w:ascii="Times New Roman" w:hAnsi="Times New Roman"/>
          <w:sz w:val="24"/>
        </w:rPr>
        <w:t>The result confirms the broader finding of Grinsztajn et al. (2022) that tree-based models consistently outperform deep learning architectures on structured tabular data with mixed feature types. The final LightGBM model was trained with 3,000 boosting rounds, a learning rate of 0.05, and num_leaves=127, with the log1p transaction price as the target. A lasso regression model (Tibshirani, 1996) was explored as a linear baseline to quantify the value of non-linear modelling; it substantially underperformed on spatial non-linearities, particularly the interaction between postcode district and property type, confirming that a non-linear ensemble approach was necessary.</w:t>
      </w:r>
    </w:p>
    <w:p>
      <w:pPr>
        <w:pStyle w:val="Heading2"/>
        <w:spacing w:before="240" w:after="80"/>
      </w:pPr>
      <w:r>
        <w:rPr>
          <w:rFonts w:ascii="Times New Roman" w:hAnsi="Times New Roman"/>
          <w:b/>
          <w:color w:val="006C49"/>
          <w:sz w:val="26"/>
        </w:rPr>
        <w:t>5.5 Temporal Train/Test Split and Evaluation</w:t>
      </w:r>
    </w:p>
    <w:p>
      <w:pPr>
        <w:spacing w:lineRule="auto" w:line="360" w:before="0" w:after="120"/>
        <w:jc w:val="both"/>
      </w:pPr>
      <w:r>
        <w:rPr>
          <w:rFonts w:ascii="Times New Roman" w:hAnsi="Times New Roman"/>
          <w:sz w:val="24"/>
        </w:rPr>
        <w:t>The data were partitioned by transaction date into three non-overlapping temporal splits. The training set covers 2018 to 2021 (4.5 million transactions), the validation set covers 2022 (approximately 800,000 transactions), and the test set covers 2023 to 2024 (approximately 620,000 transactions). The test set was withheld entirely during all training and hyperparameter optimisation steps, accessed only once for final metric reporting. This temporal holdout approach is essential for honest AVM evaluation: Bergmeir and Benitez (2012) demonstrate that random k-fold cross-validation applied to time-ordered data introduces look-ahead bias by allowing the model to train on observations that are temporally posterior to validation observations, artificially inflating apparent performance.</w:t>
      </w:r>
    </w:p>
    <w:p>
      <w:pPr>
        <w:spacing w:lineRule="auto" w:line="360" w:before="0" w:after="120"/>
        <w:jc w:val="both"/>
      </w:pPr>
      <w:r>
        <w:rPr>
          <w:rFonts w:ascii="Times New Roman" w:hAnsi="Times New Roman"/>
          <w:sz w:val="24"/>
        </w:rPr>
        <w:t>On the 2023–2024 test set, the model achieved a mean absolute error of £65,342, a median absolute percentage error (MedAPE) of 14.75%, a within-20% accuracy of 66.8%, an R-squared of 0.89, and a root mean squared error in log1p space (LOG_RMSE) of 0.2408. These results compare favourably with published ML AVM benchmarks: Ho et al. (2021) report MAPE values of 12 to 14 percent on Hong Kong residential data using comparable gradient-boosted models, while Hjort et al. (2022) achieve a median APE of 14.3 percent on Norwegian transactions using gradient-boosted trees under various loss functions. The 14.75% MedAPE obtained here is therefore directly comparable with the international published literature, despite the considerably larger and more geographically diverse English market. The 95% confidence interval for any given prediction is constructed in log1p space as the point prediction plus or minus 1.96 multiplied by 0.2408, and then back-transformed to sterling using expm1(), yielding asymmetric bounds that correctly reflect the multiplicative nature of percentage price uncertainty.</w:t>
      </w:r>
    </w:p>
    <w:p>
      <w:r>
        <w:br w:type="page"/>
      </w:r>
    </w:p>
    <w:p>
      <w:pPr>
        <w:pStyle w:val="Heading1"/>
        <w:spacing w:before="360" w:after="120"/>
      </w:pPr>
      <w:r>
        <w:rPr>
          <w:rFonts w:ascii="Times New Roman" w:hAnsi="Times New Roman"/>
          <w:b/>
          <w:color w:val="031634"/>
          <w:sz w:val="32"/>
        </w:rPr>
        <w:t>Chapter 6 — Testing</w:t>
      </w:r>
    </w:p>
    <w:p>
      <w:pPr>
        <w:spacing w:lineRule="auto" w:line="360" w:before="0" w:after="120"/>
        <w:jc w:val="both"/>
      </w:pPr>
      <w:r>
        <w:rPr>
          <w:rFonts w:ascii="Times New Roman" w:hAnsi="Times New Roman"/>
          <w:sz w:val="24"/>
        </w:rPr>
        <w:t>The test strategy for HousePredict employs three complementary levels of testing: unit tests that verify individual endpoint response schemas and field values, integration tests that exercise the full request-to-response path through the FastAPI application, and system-level tests that validate end-to-end model inference with realistic inputs across all supported property types. All tests are implemented using pytest and the FastAPI TestClient, which instantiates the application in-process without requiring a running HTTP server, enabling fast deterministic execution in CI pipelines.</w:t>
      </w:r>
    </w:p>
    <w:p>
      <w:pPr>
        <w:pStyle w:val="Heading2"/>
        <w:spacing w:before="240" w:after="80"/>
      </w:pPr>
      <w:r>
        <w:rPr>
          <w:rFonts w:ascii="Times New Roman" w:hAnsi="Times New Roman"/>
          <w:b/>
          <w:color w:val="006C49"/>
          <w:sz w:val="26"/>
        </w:rPr>
        <w:t>6.1 Test Suite Structure</w:t>
      </w:r>
    </w:p>
    <w:p>
      <w:pPr>
        <w:spacing w:lineRule="auto" w:line="360" w:before="0" w:after="120"/>
        <w:jc w:val="both"/>
      </w:pPr>
      <w:r>
        <w:rPr>
          <w:rFonts w:ascii="Times New Roman" w:hAnsi="Times New Roman"/>
          <w:sz w:val="24"/>
        </w:rPr>
        <w:t>The test suite comprises 52 test functions distributed across 58 test cases in nine test classes. Table 1 below summarises the class names, case counts, and primary scope of each class. TestHealth verifies that the /health endpoint returns the correct HTTP status, model name, feature count, encoder manifest, and response structure. TestPredictHappyPath exercises 12 valid prediction scenarios covering diverse combinations of property type, region, and price range. TestPredictPropertyTypes submits requests for each of the six supported property type codes to ensure all LabelEncoder classes are present. TestPredictValidation confirms that all 13 invalid-input scenarios are correctly rejected with HTTP 422 responses. TestImd checks the /imd/{lsoa_code} endpoint for a valid LSOA, an unknown LSOA (expecting the national median fallback of 15,000), and a malformed LSOA code. TestFeatureImportance verifies that the /feature-importance endpoint returns exactly 21 entries with non-negative importance values. TestAgeBands validates the /age-bands ordinal mapping. TestEncoders confirms that /encoders/{column} returns the correct class labels for all five encoded columns. TestFeatureCols asserts that the model exposes exactly 21 features with no duplicates.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rFonts w:ascii="Times New Roman" w:hAnsi="Times New Roman"/>
                <w:b/>
                <w:sz w:val="22"/>
              </w:rPr>
              <w:t>Test Class</w:t>
            </w:r>
          </w:p>
        </w:tc>
        <w:tc>
          <w:tcPr>
            <w:tcW w:type="dxa" w:w="2880"/>
            <w:shd w:val="clear" w:color="auto" w:fill="D9E2F3"/>
          </w:tcPr>
          <w:p>
            <w:r>
              <w:rPr>
                <w:rFonts w:ascii="Times New Roman" w:hAnsi="Times New Roman"/>
                <w:b/>
                <w:sz w:val="22"/>
              </w:rPr>
              <w:t>Cases</w:t>
            </w:r>
          </w:p>
        </w:tc>
        <w:tc>
          <w:tcPr>
            <w:tcW w:type="dxa" w:w="2880"/>
            <w:shd w:val="clear" w:color="auto" w:fill="D9E2F3"/>
          </w:tcPr>
          <w:p>
            <w:r>
              <w:rPr>
                <w:rFonts w:ascii="Times New Roman" w:hAnsi="Times New Roman"/>
                <w:b/>
                <w:sz w:val="22"/>
              </w:rPr>
              <w:t>Primary Scope</w:t>
            </w:r>
          </w:p>
        </w:tc>
      </w:tr>
      <w:tr>
        <w:tc>
          <w:tcPr>
            <w:tcW w:type="dxa" w:w="2880"/>
          </w:tcPr>
          <w:p>
            <w:r>
              <w:rPr>
                <w:rFonts w:ascii="Times New Roman" w:hAnsi="Times New Roman"/>
                <w:sz w:val="20"/>
              </w:rPr>
              <w:t>TestHealth</w:t>
            </w:r>
          </w:p>
        </w:tc>
        <w:tc>
          <w:tcPr>
            <w:tcW w:type="dxa" w:w="2880"/>
          </w:tcPr>
          <w:p>
            <w:r>
              <w:rPr>
                <w:rFonts w:ascii="Times New Roman" w:hAnsi="Times New Roman"/>
                <w:sz w:val="20"/>
              </w:rPr>
              <w:t>5</w:t>
            </w:r>
          </w:p>
        </w:tc>
        <w:tc>
          <w:tcPr>
            <w:tcW w:type="dxa" w:w="2880"/>
          </w:tcPr>
          <w:p>
            <w:r>
              <w:rPr>
                <w:rFonts w:ascii="Times New Roman" w:hAnsi="Times New Roman"/>
                <w:sz w:val="20"/>
              </w:rPr>
              <w:t>GET /health status, model name, feature count, encoder manifest, response structure</w:t>
            </w:r>
          </w:p>
        </w:tc>
      </w:tr>
      <w:tr>
        <w:tc>
          <w:tcPr>
            <w:tcW w:type="dxa" w:w="2880"/>
          </w:tcPr>
          <w:p>
            <w:r>
              <w:rPr>
                <w:rFonts w:ascii="Times New Roman" w:hAnsi="Times New Roman"/>
                <w:sz w:val="20"/>
              </w:rPr>
              <w:t>TestPredictHappyPath</w:t>
            </w:r>
          </w:p>
        </w:tc>
        <w:tc>
          <w:tcPr>
            <w:tcW w:type="dxa" w:w="2880"/>
          </w:tcPr>
          <w:p>
            <w:r>
              <w:rPr>
                <w:rFonts w:ascii="Times New Roman" w:hAnsi="Times New Roman"/>
                <w:sz w:val="20"/>
              </w:rPr>
              <w:t>12</w:t>
            </w:r>
          </w:p>
        </w:tc>
        <w:tc>
          <w:tcPr>
            <w:tcW w:type="dxa" w:w="2880"/>
          </w:tcPr>
          <w:p>
            <w:r>
              <w:rPr>
                <w:rFonts w:ascii="Times New Roman" w:hAnsi="Times New Roman"/>
                <w:sz w:val="20"/>
              </w:rPr>
              <w:t>POST /predict with valid inputs across diverse property types and regions</w:t>
            </w:r>
          </w:p>
        </w:tc>
      </w:tr>
      <w:tr>
        <w:tc>
          <w:tcPr>
            <w:tcW w:type="dxa" w:w="2880"/>
          </w:tcPr>
          <w:p>
            <w:r>
              <w:rPr>
                <w:rFonts w:ascii="Times New Roman" w:hAnsi="Times New Roman"/>
                <w:sz w:val="20"/>
              </w:rPr>
              <w:t>TestPredictPropertyTypes</w:t>
            </w:r>
          </w:p>
        </w:tc>
        <w:tc>
          <w:tcPr>
            <w:tcW w:type="dxa" w:w="2880"/>
          </w:tcPr>
          <w:p>
            <w:r>
              <w:rPr>
                <w:rFonts w:ascii="Times New Roman" w:hAnsi="Times New Roman"/>
                <w:sz w:val="20"/>
              </w:rPr>
              <w:t>6</w:t>
            </w:r>
          </w:p>
        </w:tc>
        <w:tc>
          <w:tcPr>
            <w:tcW w:type="dxa" w:w="2880"/>
          </w:tcPr>
          <w:p>
            <w:r>
              <w:rPr>
                <w:rFonts w:ascii="Times New Roman" w:hAnsi="Times New Roman"/>
                <w:sz w:val="20"/>
              </w:rPr>
              <w:t>POST /predict for each of the six supported property type codes</w:t>
            </w:r>
          </w:p>
        </w:tc>
      </w:tr>
      <w:tr>
        <w:tc>
          <w:tcPr>
            <w:tcW w:type="dxa" w:w="2880"/>
          </w:tcPr>
          <w:p>
            <w:r>
              <w:rPr>
                <w:rFonts w:ascii="Times New Roman" w:hAnsi="Times New Roman"/>
                <w:sz w:val="20"/>
              </w:rPr>
              <w:t>TestPredictValidation</w:t>
            </w:r>
          </w:p>
        </w:tc>
        <w:tc>
          <w:tcPr>
            <w:tcW w:type="dxa" w:w="2880"/>
          </w:tcPr>
          <w:p>
            <w:r>
              <w:rPr>
                <w:rFonts w:ascii="Times New Roman" w:hAnsi="Times New Roman"/>
                <w:sz w:val="20"/>
              </w:rPr>
              <w:t>13</w:t>
            </w:r>
          </w:p>
        </w:tc>
        <w:tc>
          <w:tcPr>
            <w:tcW w:type="dxa" w:w="2880"/>
          </w:tcPr>
          <w:p>
            <w:r>
              <w:rPr>
                <w:rFonts w:ascii="Times New Roman" w:hAnsi="Times New Roman"/>
                <w:sz w:val="20"/>
              </w:rPr>
              <w:t>POST /predict with invalid inputs; expects HTTP 422 for each case</w:t>
            </w:r>
          </w:p>
        </w:tc>
      </w:tr>
      <w:tr>
        <w:tc>
          <w:tcPr>
            <w:tcW w:type="dxa" w:w="2880"/>
          </w:tcPr>
          <w:p>
            <w:r>
              <w:rPr>
                <w:rFonts w:ascii="Times New Roman" w:hAnsi="Times New Roman"/>
                <w:sz w:val="20"/>
              </w:rPr>
              <w:t>TestImd</w:t>
            </w:r>
          </w:p>
        </w:tc>
        <w:tc>
          <w:tcPr>
            <w:tcW w:type="dxa" w:w="2880"/>
          </w:tcPr>
          <w:p>
            <w:r>
              <w:rPr>
                <w:rFonts w:ascii="Times New Roman" w:hAnsi="Times New Roman"/>
                <w:sz w:val="20"/>
              </w:rPr>
              <w:t>3</w:t>
            </w:r>
          </w:p>
        </w:tc>
        <w:tc>
          <w:tcPr>
            <w:tcW w:type="dxa" w:w="2880"/>
          </w:tcPr>
          <w:p>
            <w:r>
              <w:rPr>
                <w:rFonts w:ascii="Times New Roman" w:hAnsi="Times New Roman"/>
                <w:sz w:val="20"/>
              </w:rPr>
              <w:t>GET /imd/{lsoa_code} — valid LSOA, unknown LSOA (fallback), malformed code</w:t>
            </w:r>
          </w:p>
        </w:tc>
      </w:tr>
      <w:tr>
        <w:tc>
          <w:tcPr>
            <w:tcW w:type="dxa" w:w="2880"/>
          </w:tcPr>
          <w:p>
            <w:r>
              <w:rPr>
                <w:rFonts w:ascii="Times New Roman" w:hAnsi="Times New Roman"/>
                <w:sz w:val="20"/>
              </w:rPr>
              <w:t>TestFeatureImportance</w:t>
            </w:r>
          </w:p>
        </w:tc>
        <w:tc>
          <w:tcPr>
            <w:tcW w:type="dxa" w:w="2880"/>
          </w:tcPr>
          <w:p>
            <w:r>
              <w:rPr>
                <w:rFonts w:ascii="Times New Roman" w:hAnsi="Times New Roman"/>
                <w:sz w:val="20"/>
              </w:rPr>
              <w:t>5</w:t>
            </w:r>
          </w:p>
        </w:tc>
        <w:tc>
          <w:tcPr>
            <w:tcW w:type="dxa" w:w="2880"/>
          </w:tcPr>
          <w:p>
            <w:r>
              <w:rPr>
                <w:rFonts w:ascii="Times New Roman" w:hAnsi="Times New Roman"/>
                <w:sz w:val="20"/>
              </w:rPr>
              <w:t>GET /feature-importance — 21 entries, non-negative values, key presence</w:t>
            </w:r>
          </w:p>
        </w:tc>
      </w:tr>
      <w:tr>
        <w:tc>
          <w:tcPr>
            <w:tcW w:type="dxa" w:w="2880"/>
          </w:tcPr>
          <w:p>
            <w:r>
              <w:rPr>
                <w:rFonts w:ascii="Times New Roman" w:hAnsi="Times New Roman"/>
                <w:sz w:val="20"/>
              </w:rPr>
              <w:t>TestAgeBands</w:t>
            </w:r>
          </w:p>
        </w:tc>
        <w:tc>
          <w:tcPr>
            <w:tcW w:type="dxa" w:w="2880"/>
          </w:tcPr>
          <w:p>
            <w:r>
              <w:rPr>
                <w:rFonts w:ascii="Times New Roman" w:hAnsi="Times New Roman"/>
                <w:sz w:val="20"/>
              </w:rPr>
              <w:t>4</w:t>
            </w:r>
          </w:p>
        </w:tc>
        <w:tc>
          <w:tcPr>
            <w:tcW w:type="dxa" w:w="2880"/>
          </w:tcPr>
          <w:p>
            <w:r>
              <w:rPr>
                <w:rFonts w:ascii="Times New Roman" w:hAnsi="Times New Roman"/>
                <w:sz w:val="20"/>
              </w:rPr>
              <w:t>GET /age-bands — ordinal map correctness and range validation</w:t>
            </w:r>
          </w:p>
        </w:tc>
      </w:tr>
      <w:tr>
        <w:tc>
          <w:tcPr>
            <w:tcW w:type="dxa" w:w="2880"/>
          </w:tcPr>
          <w:p>
            <w:r>
              <w:rPr>
                <w:rFonts w:ascii="Times New Roman" w:hAnsi="Times New Roman"/>
                <w:sz w:val="20"/>
              </w:rPr>
              <w:t>TestEncoders</w:t>
            </w:r>
          </w:p>
        </w:tc>
        <w:tc>
          <w:tcPr>
            <w:tcW w:type="dxa" w:w="2880"/>
          </w:tcPr>
          <w:p>
            <w:r>
              <w:rPr>
                <w:rFonts w:ascii="Times New Roman" w:hAnsi="Times New Roman"/>
                <w:sz w:val="20"/>
              </w:rPr>
              <w:t>4</w:t>
            </w:r>
          </w:p>
        </w:tc>
        <w:tc>
          <w:tcPr>
            <w:tcW w:type="dxa" w:w="2880"/>
          </w:tcPr>
          <w:p>
            <w:r>
              <w:rPr>
                <w:rFonts w:ascii="Times New Roman" w:hAnsi="Times New Roman"/>
                <w:sz w:val="20"/>
              </w:rPr>
              <w:t>GET /encoders/{column} — class labels for all five encoded columns</w:t>
            </w:r>
          </w:p>
        </w:tc>
      </w:tr>
      <w:tr>
        <w:tc>
          <w:tcPr>
            <w:tcW w:type="dxa" w:w="2880"/>
          </w:tcPr>
          <w:p>
            <w:r>
              <w:rPr>
                <w:rFonts w:ascii="Times New Roman" w:hAnsi="Times New Roman"/>
                <w:sz w:val="20"/>
              </w:rPr>
              <w:t>TestFeatureCols</w:t>
            </w:r>
          </w:p>
        </w:tc>
        <w:tc>
          <w:tcPr>
            <w:tcW w:type="dxa" w:w="2880"/>
          </w:tcPr>
          <w:p>
            <w:r>
              <w:rPr>
                <w:rFonts w:ascii="Times New Roman" w:hAnsi="Times New Roman"/>
                <w:sz w:val="20"/>
              </w:rPr>
              <w:t>4</w:t>
            </w:r>
          </w:p>
        </w:tc>
        <w:tc>
          <w:tcPr>
            <w:tcW w:type="dxa" w:w="2880"/>
          </w:tcPr>
          <w:p>
            <w:r>
              <w:rPr>
                <w:rFonts w:ascii="Times New Roman" w:hAnsi="Times New Roman"/>
                <w:sz w:val="20"/>
              </w:rPr>
              <w:t>Asserts exactly 21 features with no duplicates in model feature list</w:t>
            </w:r>
          </w:p>
        </w:tc>
      </w:tr>
    </w:tbl>
    <w:p>
      <w:pPr>
        <w:spacing w:before="40" w:after="120"/>
        <w:jc w:val="center"/>
      </w:pPr>
      <w:r>
        <w:rPr>
          <w:rFonts w:ascii="Times New Roman" w:hAnsi="Times New Roman"/>
          <w:i/>
          <w:sz w:val="20"/>
        </w:rPr>
        <w:t>Table 1 — Test suite: nine classes, 58 cases, 52 functions.</w:t>
      </w:r>
    </w:p>
    <w:p>
      <w:pPr>
        <w:pStyle w:val="Heading2"/>
        <w:spacing w:before="240" w:after="80"/>
      </w:pPr>
      <w:r>
        <w:rPr>
          <w:rFonts w:ascii="Times New Roman" w:hAnsi="Times New Roman"/>
          <w:b/>
          <w:color w:val="006C49"/>
          <w:sz w:val="26"/>
        </w:rPr>
        <w:t>6.2 pytest Output (Figure 4)</w:t>
      </w:r>
    </w:p>
    <w:p>
      <w:pPr>
        <w:spacing w:line="240" w:lineRule="auto" w:before="120" w:after="40"/>
        <w:ind w:left="288"/>
        <w:shd w:val="clear" w:color="auto" w:fill="F2F2F2"/>
      </w:pPr>
      <w:r>
        <w:rPr>
          <w:rFonts w:ascii="Courier New" w:hAnsi="Courier New"/>
          <w:sz w:val="18"/>
        </w:rPr>
        <w:t>collected 58 items</w:t>
        <w:br/>
        <w:br/>
        <w:t>test_main.py::TestHealth::test_health_returns_200 PASSED</w:t>
        <w:br/>
        <w:t>test_main.py::TestHealth::test_model_name PASSED</w:t>
        <w:br/>
        <w:t>test_main.py::TestHealth::test_feature_count PASSED</w:t>
        <w:br/>
        <w:t>test_main.py::TestHealth::test_encoders_present PASSED</w:t>
        <w:br/>
        <w:t>test_main.py::TestHealth::test_response_structure PASSED</w:t>
        <w:br/>
        <w:t>test_main.py::TestPredictHappyPath::test_valid_prediction_returns_200 PASSED</w:t>
        <w:br/>
        <w:t>test_main.py::TestPredictHappyPath::test_prediction_is_positive PASSED</w:t>
        <w:br/>
        <w:t>test_main.py::TestPredictHappyPath::test_confidence_interval_present PASSED</w:t>
        <w:br/>
        <w:t>test_main.py::TestPredictHappyPath::test_contributions_top_ten PASSED</w:t>
        <w:br/>
        <w:t>...</w:t>
        <w:br/>
        <w:t>test_main.py::TestPredictPropertyTypes::test_type_D PASSED</w:t>
        <w:br/>
        <w:t>test_main.py::TestPredictPropertyTypes::test_type_S PASSED</w:t>
        <w:br/>
        <w:t>test_main.py::TestPredictPropertyTypes::test_type_T PASSED</w:t>
        <w:br/>
        <w:t>test_main.py::TestPredictPropertyTypes::test_type_F PASSED</w:t>
        <w:br/>
        <w:t>test_main.py::TestPredictPropertyTypes::test_type_O PASSED</w:t>
        <w:br/>
        <w:t>...</w:t>
        <w:br/>
        <w:t>test_main.py::TestPredictValidation::test_invalid_property_type PASSED</w:t>
        <w:br/>
        <w:t>test_main.py::TestPredictValidation::test_missing_postcode_district PASSED</w:t>
        <w:br/>
        <w:t>test_main.py::TestPredictValidation::test_negative_floor_area PASSED</w:t>
        <w:br/>
        <w:t>...</w:t>
        <w:br/>
        <w:t>test_main.py::TestFeatureCols::test_21_features PASSED</w:t>
        <w:br/>
        <w:t>test_main.py::TestFeatureCols::test_no_duplicates PASSED</w:t>
        <w:br/>
        <w:br/>
        <w:t>========== 58 passed in 4.23s ==========</w:t>
      </w:r>
    </w:p>
    <w:p>
      <w:pPr>
        <w:spacing w:before="40" w:after="200"/>
        <w:jc w:val="center"/>
      </w:pPr>
      <w:r>
        <w:rPr>
          <w:rFonts w:ascii="Times New Roman" w:hAnsi="Times New Roman"/>
          <w:i/>
          <w:sz w:val="20"/>
        </w:rPr>
        <w:t>Figure 4 — Full pytest run: 58 passed, 0 failed</w:t>
      </w:r>
    </w:p>
    <w:p>
      <w:pPr>
        <w:pStyle w:val="Heading2"/>
        <w:spacing w:before="240" w:after="80"/>
      </w:pPr>
      <w:r>
        <w:rPr>
          <w:rFonts w:ascii="Times New Roman" w:hAnsi="Times New Roman"/>
          <w:b/>
          <w:color w:val="006C49"/>
          <w:sz w:val="26"/>
        </w:rPr>
        <w:t>6.3 Temporal Split as Evaluation Rigour</w:t>
      </w:r>
    </w:p>
    <w:p>
      <w:pPr>
        <w:spacing w:lineRule="auto" w:line="360" w:before="0" w:after="120"/>
        <w:jc w:val="both"/>
      </w:pPr>
      <w:r>
        <w:rPr>
          <w:rFonts w:ascii="Times New Roman" w:hAnsi="Times New Roman"/>
          <w:sz w:val="24"/>
        </w:rPr>
        <w:t>The temporal train/test split described in Section 5.5 serves a dual purpose: it provides the primary evaluation metric for model performance, and it directly informs the testing philosophy for the system as a whole. Bergmeir and Benitez (2012) establish formally that random k-fold cross-validation applied to time-series data introduces look-ahead bias, because observations from later periods can appear in training folds when the model is evaluated on earlier periods. For property pricing in particular, where market conditions, interest rates, and planning policies shift significantly year to year, any contamination of the test set with training data from later periods would produce optimistic metrics that do not reflect real-world deployment performance. The strict temporal holdout — 2023 to 2024 data never used during training or validation — provides an honest upper bound on the generalisation error of the deployed model.</w:t>
      </w:r>
    </w:p>
    <w:p>
      <w:pPr>
        <w:spacing w:lineRule="auto" w:line="360" w:before="0" w:after="120"/>
        <w:jc w:val="both"/>
      </w:pPr>
      <w:r>
        <w:rPr>
          <w:rFonts w:ascii="Times New Roman" w:hAnsi="Times New Roman"/>
          <w:sz w:val="24"/>
        </w:rPr>
        <w:t>The confidence interval calculation follows directly from the test-set LOG_RMSE. The 95% prediction interval for any given prediction is computed as: predicted_price = expm1(log_pred); lower_bound = expm1(log_pred minus 1.96 multiplied by 0.2408); upper_bound = expm1(log_pred plus 1.96 multiplied by 0.2408). The asymmetry of these bounds — the upper bound being further from the point estimate than the lower bound in sterling terms — correctly reflects the log-normal nature of property price distributions.</w:t>
      </w:r>
    </w:p>
    <w:p>
      <w:r>
        <w:br w:type="page"/>
      </w:r>
    </w:p>
    <w:p>
      <w:pPr>
        <w:pStyle w:val="Heading1"/>
        <w:spacing w:before="360" w:after="120"/>
      </w:pPr>
      <w:r>
        <w:rPr>
          <w:rFonts w:ascii="Times New Roman" w:hAnsi="Times New Roman"/>
          <w:b/>
          <w:color w:val="031634"/>
          <w:sz w:val="32"/>
        </w:rPr>
        <w:t>Chapter 7 — Evaluation</w:t>
      </w:r>
    </w:p>
    <w:p>
      <w:pPr>
        <w:pStyle w:val="Heading2"/>
        <w:spacing w:before="240" w:after="80"/>
      </w:pPr>
      <w:r>
        <w:rPr>
          <w:rFonts w:ascii="Times New Roman" w:hAnsi="Times New Roman"/>
          <w:b/>
          <w:color w:val="006C49"/>
          <w:sz w:val="26"/>
        </w:rPr>
        <w:t>7.1 Quantitative Performance</w:t>
      </w:r>
    </w:p>
    <w:p>
      <w:pPr>
        <w:spacing w:lineRule="auto" w:line="360" w:before="0" w:after="120"/>
        <w:jc w:val="both"/>
      </w:pPr>
      <w:r>
        <w:rPr>
          <w:rFonts w:ascii="Times New Roman" w:hAnsi="Times New Roman"/>
          <w:sz w:val="24"/>
        </w:rPr>
        <w:t>On the held-out 2023–2024 test set of approximately 620,000 transactions, the LightGBM model achieved the following metrics: a mean absolute error (MAE) of £65,342, a median absolute percentage error (MedAPE) of 14.75%, a within-20% accuracy of 66.8%, and an R-squared coefficient of determination of 0.89. The log-space root mean squared error (LOG_RMSE) was 0.2408. The R-squared value of 0.89 indicates that the model accounts for 89% of the variance in transaction prices across the test set, a figure that compares favourably with published residential AVM studies on comparable markets (Ho et al., 2021; Hjort et al., 2022).</w:t>
      </w:r>
    </w:p>
    <w:p>
      <w:pPr>
        <w:spacing w:lineRule="auto" w:line="360" w:before="0" w:after="120"/>
        <w:jc w:val="both"/>
      </w:pPr>
      <w:r>
        <w:rPr>
          <w:rFonts w:ascii="Times New Roman" w:hAnsi="Times New Roman"/>
          <w:sz w:val="24"/>
        </w:rPr>
        <w:t>The MedAPE of 14.75% places the model's typical prediction error within the range reported for gradient-boosted tree AVMs in peer-reviewed literature. Hjort et al. (2022) report a median APE of 14.3% on Norwegian residential data using LightGBM with a Huber loss function, while Ho et al. (2021) achieve MAPE values of 12 to 14% on Hong Kong data. The English market is considerably more geographically diverse and price-dispersed than either of these comparators, with transaction prices spanning from under £100,000 in northern regions to over £10 million in central London, making a 14.75% MedAPE a strong result. LightGBM outperformed both XGBoost and Random Forest on the 2022 validation MAE, consistent with the algorithm comparisons reported by Ke et al. (2017).</w:t>
      </w:r>
    </w:p>
    <w:p>
      <w:pPr>
        <w:pStyle w:val="Heading2"/>
        <w:spacing w:before="240" w:after="80"/>
      </w:pPr>
      <w:r>
        <w:rPr>
          <w:rFonts w:ascii="Times New Roman" w:hAnsi="Times New Roman"/>
          <w:b/>
          <w:color w:val="006C49"/>
          <w:sz w:val="26"/>
        </w:rPr>
        <w:t>7.2 Qualitative Evaluation</w:t>
      </w:r>
    </w:p>
    <w:p>
      <w:pPr>
        <w:spacing w:lineRule="auto" w:line="360" w:before="0" w:after="120"/>
        <w:jc w:val="both"/>
      </w:pPr>
      <w:r>
        <w:rPr>
          <w:rFonts w:ascii="Times New Roman" w:hAnsi="Times New Roman"/>
          <w:sz w:val="24"/>
        </w:rPr>
        <w:t>Beyond quantitative metrics, the system was evaluated qualitatively through client demo sessions with the module's industry liaison during Sprint 4. These sessions produced five concrete UX improvements that were implemented before the final submission. The postcode-first form redesign, which locks Sections 02 and 03 until the postcode in Section 01 has been resolved, substantially reduced user confusion about the required input sequence. The module-level Overpass prefetch cache near-eliminated the amenity data loading delay that users had previously reported as the most frustrating aspect of the Results page. The addition of OSM name tags to the amenity cards (displaying names such as 'Boots' or 'St James's Park' rather than generic category labels) was identified by the client as materially improving the usefulness of the location context panel. The Esri World Imagery satellite strip, added following explicit client feedback that 'there's no map context', gave users an immediate visual reference for the property's neighbourhood. The feature contribution chart, which displays the top ten SHAP-equivalent LightGBM contributions as directional bars labelled with feature names and percentage impacts, was consistently described by demo users as the most valuable element of the Results page.</w:t>
      </w:r>
    </w:p>
    <w:p>
      <w:pPr>
        <w:pStyle w:val="Heading2"/>
        <w:spacing w:before="240" w:after="80"/>
      </w:pPr>
      <w:r>
        <w:rPr>
          <w:rFonts w:ascii="Times New Roman" w:hAnsi="Times New Roman"/>
          <w:b/>
          <w:color w:val="006C49"/>
          <w:sz w:val="26"/>
        </w:rPr>
        <w:t>7.3 Limitations</w:t>
      </w:r>
    </w:p>
    <w:p>
      <w:pPr>
        <w:spacing w:lineRule="auto" w:line="360" w:before="0" w:after="120"/>
        <w:jc w:val="both"/>
      </w:pPr>
      <w:r>
        <w:rPr>
          <w:rFonts w:ascii="Times New Roman" w:hAnsi="Times New Roman"/>
          <w:sz w:val="24"/>
        </w:rPr>
        <w:t>Several limitations of the current system warrant acknowledgement. The three accessibility distance features (distance_to_nearest_school_miles, distance_to_nearest_station_miles, distance_to_nearest_park_miles) are populated with national-average defaults of 0.3, 0.5, and 0.2 miles respectively at inference time, rather than property-specific live distances. This means the model cannot reflect the genuine accessibility premium or penalty for properties that are unusually close to or distant from these amenities. A future improvement would implement an asynchronous pre-computation step that waits for the Overpass result before executing the model, allowing property-specific distances to be used. EPC coverage for pre-2008 properties is incomplete, requiring imputation of room counts for a substantial proportion of the training data; the room_count_was_imputed binary flag partially compensates for this, but imputation error propagates into the model. The model was trained exclusively on English property data from 2018 to 2024, and accuracy is expected to degrade for atypical property categories (the O code, covering other property types, has very sparse training representation) and for ultra-high-value properties above approximately £5 million, where the training data is thin and the log-normal price assumption breaks down. Finally, Render's free tier introduces cold start latency of up to thirty seconds following periods of inactivity (Render, 2026), and Supabase's free tier accommodates a maximum of 50,000 monthly active users (Supabase, 2026), both of which constrain the system's scalability for production use at scale.</w:t>
      </w:r>
    </w:p>
    <w:p>
      <w:r>
        <w:br w:type="page"/>
      </w:r>
    </w:p>
    <w:p>
      <w:pPr>
        <w:pStyle w:val="Heading1"/>
        <w:spacing w:before="360" w:after="120"/>
      </w:pPr>
      <w:r>
        <w:rPr>
          <w:rFonts w:ascii="Times New Roman" w:hAnsi="Times New Roman"/>
          <w:b/>
          <w:color w:val="031634"/>
          <w:sz w:val="32"/>
        </w:rPr>
        <w:t>Chapter 8 — Project Management</w:t>
      </w:r>
    </w:p>
    <w:p>
      <w:pPr>
        <w:pStyle w:val="Heading2"/>
        <w:spacing w:before="240" w:after="80"/>
      </w:pPr>
      <w:r>
        <w:rPr>
          <w:rFonts w:ascii="Times New Roman" w:hAnsi="Times New Roman"/>
          <w:b/>
          <w:color w:val="006C49"/>
          <w:sz w:val="26"/>
        </w:rPr>
        <w:t>8.1 Methodology</w:t>
      </w:r>
    </w:p>
    <w:p>
      <w:pPr>
        <w:spacing w:lineRule="auto" w:line="360" w:before="0" w:after="120"/>
        <w:jc w:val="both"/>
      </w:pPr>
      <w:r>
        <w:rPr>
          <w:rFonts w:ascii="Times New Roman" w:hAnsi="Times New Roman"/>
          <w:sz w:val="24"/>
        </w:rPr>
        <w:t>The project was conducted using the Agile Scrum framework (Schwaber and Sutherland, 2020), adapted for a team of four working across eight weeks of active development. The Scrum framework's core ceremonies — sprint planning at the start of each two-week sprint, daily standups to surface blockers, sprint review to demonstrate working software, and sprint retrospective to reflect on process improvements — were observed throughout. The four values of the Agile Manifesto underpinned the team's working agreements: prioritising working software over comprehensive documentation, responding to change over following a fixed plan, collaborating with the client over contractual negotiation, and valuing individuals and interactions over rigid processes (Beck et al., 2001). The product backlog was maintained as a MoSCoW-prioritised list of user stories in Trello, with sprint tasks broken out as Kanban cards. GitHub served as the version control system, with the main branch protected and all feature work developed on short-lived feature branches merged via pull requests requiring at least one peer review.</w:t>
      </w:r>
    </w:p>
    <w:p>
      <w:pPr>
        <w:pStyle w:val="Heading2"/>
        <w:spacing w:before="240" w:after="80"/>
      </w:pPr>
      <w:r>
        <w:rPr>
          <w:rFonts w:ascii="Times New Roman" w:hAnsi="Times New Roman"/>
          <w:b/>
          <w:color w:val="006C49"/>
          <w:sz w:val="26"/>
        </w:rPr>
        <w:t>8.2 Sprint Log</w:t>
      </w:r>
    </w:p>
    <w:p>
      <w:pPr>
        <w:spacing w:lineRule="auto" w:line="360" w:before="0" w:after="120"/>
        <w:jc w:val="both"/>
      </w:pPr>
      <w:r>
        <w:rPr>
          <w:rFonts w:ascii="Times New Roman" w:hAnsi="Times New Roman"/>
          <w:sz w:val="24"/>
        </w:rPr>
        <w:t>Sprint 1 (Weeks 1–2) focused on data engineering and model training. The team downloaded the HM Land Registry Price Paid Dataset and the MHCLG EPC Register, performed exploratory data analysis to understand the distributions of price, floor area, and room count, engineered the 21-feature matrix, and trained a baseline LightGBM model. Comparisons against XGBoost and Random Forest on the 2022 validation set confirmed LightGBM as the optimal algorithm for this dataset. The model artefacts (lgb_property_model.txt and label_encoders.pkl) were serialised and committed to the repository.</w:t>
      </w:r>
    </w:p>
    <w:p>
      <w:pPr>
        <w:spacing w:lineRule="auto" w:line="360" w:before="0" w:after="120"/>
        <w:jc w:val="both"/>
      </w:pPr>
      <w:r>
        <w:rPr>
          <w:rFonts w:ascii="Times New Roman" w:hAnsi="Times New Roman"/>
          <w:sz w:val="24"/>
        </w:rPr>
        <w:t>Sprint 2 (Weeks 3–4) focused on the FastAPI backend and test suite. The eight API endpoints were implemented with Pydantic v2 validation, CORS middleware, and the IMD JSON lookup integrated. The Pytest suite of 58 test cases was written test-first for the validation endpoints and post-hoc for the inference and lookup endpoints, achieving coverage across all eight endpoint paths.</w:t>
      </w:r>
    </w:p>
    <w:p>
      <w:pPr>
        <w:spacing w:lineRule="auto" w:line="360" w:before="0" w:after="120"/>
        <w:jc w:val="both"/>
      </w:pPr>
      <w:r>
        <w:rPr>
          <w:rFonts w:ascii="Times New Roman" w:hAnsi="Times New Roman"/>
          <w:sz w:val="24"/>
        </w:rPr>
        <w:t>Sprint 3 (Weeks 5–6) focused on the React 19 frontend. The three-page SPA was built with react-router-dom v7, the Supabase client was integrated for authentication and history persistence, the postcode-first form was implemented with postcodes.io autocomplete, and the Overpass integration was built with the module-level prefetch cache. Row-Level Security policies were configured on the saved_predictions table in Supabase.</w:t>
      </w:r>
    </w:p>
    <w:p>
      <w:pPr>
        <w:spacing w:lineRule="auto" w:line="360" w:before="0" w:after="120"/>
        <w:jc w:val="both"/>
      </w:pPr>
      <w:r>
        <w:rPr>
          <w:rFonts w:ascii="Times New Roman" w:hAnsi="Times New Roman"/>
          <w:sz w:val="24"/>
        </w:rPr>
        <w:t>Sprint 4 (Weeks 7–8) focused on deployment, client feedback, and stabilisation. The frontend was deployed to Vercel with continuous deployment from the main branch. The backend was deployed to Render with the Uvicorn ASGI server. The client review session identified five usability improvements: the dual-server Overpass fallback, the prefetch cache, the OSM name tag display, the Esri satellite imagery strip, and the postcode-first locked-section form redesign. All five were implemented and verified before the end of the sprint.</w:t>
      </w:r>
    </w:p>
    <w:p>
      <w:pPr>
        <w:pStyle w:val="Heading2"/>
        <w:spacing w:before="240" w:after="80"/>
      </w:pPr>
      <w:r>
        <w:rPr>
          <w:rFonts w:ascii="Times New Roman" w:hAnsi="Times New Roman"/>
          <w:b/>
          <w:color w:val="006C49"/>
          <w:sz w:val="26"/>
        </w:rPr>
        <w:t>8.3 Team Roles and Contributions</w:t>
      </w:r>
    </w:p>
    <w:p>
      <w:pPr>
        <w:spacing w:lineRule="auto" w:line="360" w:before="0" w:after="120"/>
        <w:jc w:val="both"/>
      </w:pPr>
      <w:r>
        <w:rPr>
          <w:rFonts w:ascii="Times New Roman" w:hAnsi="Times New Roman"/>
          <w:sz w:val="24"/>
        </w:rPr>
        <w:t>Responsibilities were allocated according to individual areas of expertise and interest. Akif Hameed (Student ID: 4436513) led the machine learning pipeline, including data join, feature engineering, LightGBM training and hyperparameter optimisation, and the FastAPI backend implementation. Pooja Rani (Student ID: 4503094) led the React 19 frontend development, the Supabase authentication integration, and the UI design system including the Material You-inspired token system, the contribution waterfall chart, and the satellite imagery strip. Md Shamadul Islam (Student ID: 4426783) was responsible for the Pytest test suite, the Render deployment configuration, and CORS middleware setup. Dhiraj (Student ID: pending) led the HM Land Registry and EPC dataset join pipeline and the IMD lookup integration pipeline, producing the imd_lookup.json artefact used at inference time.</w:t>
      </w:r>
    </w:p>
    <w:p>
      <w:pPr>
        <w:pStyle w:val="Heading2"/>
        <w:spacing w:before="240" w:after="80"/>
      </w:pPr>
      <w:r>
        <w:rPr>
          <w:rFonts w:ascii="Times New Roman" w:hAnsi="Times New Roman"/>
          <w:b/>
          <w:color w:val="006C49"/>
          <w:sz w:val="26"/>
        </w:rPr>
        <w:t>8.4 Tools and Infrastructure</w:t>
      </w:r>
    </w:p>
    <w:p>
      <w:pPr>
        <w:spacing w:lineRule="auto" w:line="360" w:before="0" w:after="120"/>
        <w:jc w:val="both"/>
      </w:pPr>
      <w:r>
        <w:rPr>
          <w:rFonts w:ascii="Times New Roman" w:hAnsi="Times New Roman"/>
          <w:sz w:val="24"/>
        </w:rPr>
        <w:t>The team used GitHub for version control with branch protection on main and mandatory pull request reviews. Trello provided the sprint Kanban board for backlog management and sprint task tracking. Development environments were managed through Anaconda with shared environment.yml files to ensure reproducibility. VS Code was the primary development editor. Production infrastructure comprised Vercel for frontend hosting with automatic deployment on git push (Vercel, 2026), Render for backend hosting on the free tier with Uvicorn (Render, 2026), and Supabase for managed PostgreSQL with built-in authentication (Supabase, 2024).</w:t>
      </w:r>
    </w:p>
    <w:p>
      <w:pPr>
        <w:pStyle w:val="Heading2"/>
        <w:spacing w:before="240" w:after="80"/>
      </w:pPr>
      <w:r>
        <w:rPr>
          <w:rFonts w:ascii="Times New Roman" w:hAnsi="Times New Roman"/>
          <w:b/>
          <w:color w:val="006C49"/>
          <w:sz w:val="26"/>
        </w:rPr>
        <w:t>8.5 Technical Challenges in Project Execution</w:t>
      </w:r>
    </w:p>
    <w:p>
      <w:pPr>
        <w:spacing w:lineRule="auto" w:line="360" w:before="0" w:after="120"/>
        <w:jc w:val="both"/>
      </w:pPr>
      <w:r>
        <w:rPr>
          <w:rFonts w:ascii="Times New Roman" w:hAnsi="Times New Roman"/>
          <w:sz w:val="24"/>
        </w:rPr>
        <w:t>Three technical challenges materially affected the project timeline. The Render cold-start problem described in Section 4.3 was not anticipated during Sprint 2, and only became apparent after the backend was deployed in Sprint 4. The health-check warm-up ping solution was identified and implemented within the same sprint. IMD download failures caused by intermittent connectivity to the ONS data portal during Sprint 1 were mitigated by pre-caching the full LSOA-to-rank mapping in a local JSON file committed to the repository, with a national median fallback of 15,000 for unknown LSOA codes. The Overpass rate limiting issue was encountered during Sprint 3 integration testing and resolved with the dual-server fallback strategy documented in Section 4.3, which was subsequently validated by the Sprint 4 client demo session confirming that amenity cards now populate reliably.</w:t>
      </w:r>
    </w:p>
    <w:p>
      <w:r>
        <w:br w:type="page"/>
      </w:r>
    </w:p>
    <w:p>
      <w:pPr>
        <w:pStyle w:val="Heading1"/>
        <w:spacing w:before="360" w:after="120"/>
      </w:pPr>
      <w:r>
        <w:rPr>
          <w:rFonts w:ascii="Times New Roman" w:hAnsi="Times New Roman"/>
          <w:b/>
          <w:color w:val="031634"/>
          <w:sz w:val="32"/>
        </w:rPr>
        <w:t>Chapter 9 — Conclusion</w:t>
      </w:r>
    </w:p>
    <w:p>
      <w:pPr>
        <w:spacing w:lineRule="auto" w:line="360" w:before="0" w:after="120"/>
        <w:jc w:val="both"/>
      </w:pPr>
      <w:r>
        <w:rPr>
          <w:rFonts w:ascii="Times New Roman" w:hAnsi="Times New Roman"/>
          <w:sz w:val="24"/>
        </w:rPr>
        <w:t>HousePredict successfully delivers all six functional requirements identified in the requirements phase. FR1 is met by the LightGBM prediction endpoint, which returns a price estimate and 95% confidence interval within two seconds on warm containers. FR2 is met by the postcodes.io autocomplete and geocoding integration with immediate Overpass prefetch. FR3 is met by the 32,844-entry IMD LSOA lookup with national median fallback. FR4 is met by the Supabase authentication system supporting email, password, and Google OAuth with full prediction history persistence under Row-Level Security. FR5 is met by the SHAP-equivalent per-prediction feature contribution chart derived from LightGBM's pred_contrib output. FR6 — the client-requested amenity display — is met by the live OpenStreetMap distances and OSM name tags for station, school, supermarket, and pharmacy on the Results page.</w:t>
      </w:r>
    </w:p>
    <w:p>
      <w:pPr>
        <w:spacing w:lineRule="auto" w:line="360" w:before="0" w:after="120"/>
        <w:jc w:val="both"/>
      </w:pPr>
      <w:r>
        <w:rPr>
          <w:rFonts w:ascii="Times New Roman" w:hAnsi="Times New Roman"/>
          <w:sz w:val="24"/>
        </w:rPr>
        <w:t>The core model achieves an R-squared of 0.89 and a mean absolute error of £65,342 on a temporally held-out test set of 620,000 English residential transactions from 2023 to 2024, with a MedAPE of 14.75% that compares directly with the published state of the art for gradient-boosted tree AVMs (Hjort et al., 2022; Ho et al., 2021). The strict temporal split provides a rigorous and honest evaluation of the model's generalisation to future market conditions, free from the look-ahead bias that affects random cross-validation on time-series data (Bergmeir and Benitez, 2012). The four-sprint Agile Scrum delivery process, guided by the principles of the Agile Manifesto (Beck et al., 2001), enabled the team to respond to client feedback rapidly and incorporate five substantive UX improvements during the final sprint.</w:t>
      </w:r>
    </w:p>
    <w:p>
      <w:pPr>
        <w:spacing w:lineRule="auto" w:line="360" w:before="0" w:after="120"/>
        <w:jc w:val="both"/>
      </w:pPr>
      <w:r>
        <w:rPr>
          <w:rFonts w:ascii="Times New Roman" w:hAnsi="Times New Roman"/>
          <w:sz w:val="24"/>
        </w:rPr>
        <w:t>Several directions for future work would meaningfully improve the system. First, the model's three accessibility distance features should be populated with property-specific live Overpass distances rather than national-average defaults, which would require a brief asynchronous wait before model execution but would improve prediction accuracy for properties with unusually high or low amenity accessibility. Second, the model should be extended to cover Wales and Scotland by incorporating the Scottish Assessors Association data and the Welsh Government property dataset. Third, a mobile-optimised native application would better serve the growing proportion of property searches conducted on smartphones. Fourth, the model should be retrained annually on the most recent 12 months of Land Registry data to maintain accuracy as market conditions evolve. Finally, a production-grade deployment on paid Render and Supabase tiers would eliminate the cold-start and monthly active user constraints that currently limit scalability.</w:t>
      </w:r>
    </w:p>
    <w:p>
      <w:r>
        <w:br w:type="page"/>
      </w:r>
    </w:p>
    <w:p>
      <w:pPr>
        <w:pStyle w:val="Heading1"/>
        <w:spacing w:before="360" w:after="120"/>
      </w:pPr>
      <w:r>
        <w:rPr>
          <w:rFonts w:ascii="Times New Roman" w:hAnsi="Times New Roman"/>
          <w:b/>
          <w:color w:val="031634"/>
          <w:sz w:val="32"/>
        </w:rPr>
        <w:t>References</w:t>
      </w:r>
    </w:p>
    <w:p>
      <w:pPr>
        <w:spacing w:line="240" w:lineRule="auto" w:before="0" w:after="120"/>
        <w:ind w:left="720" w:hanging="720"/>
      </w:pPr>
      <w:r>
        <w:rPr>
          <w:rFonts w:ascii="Times New Roman" w:hAnsi="Times New Roman"/>
          <w:sz w:val="24"/>
        </w:rPr>
        <w:t>Antipov, E.A. and Pokryshevskaya, E.B. (2012) 'Mass appraisal of residential apartments: An application of Random forest for valuation and a CART-based approach for model diagnostics', Expert Systems with Applications, 39(2), pp. 1772–1778.</w:t>
      </w:r>
    </w:p>
    <w:p>
      <w:pPr>
        <w:spacing w:line="240" w:lineRule="auto" w:before="0" w:after="120"/>
        <w:ind w:left="720" w:hanging="720"/>
      </w:pPr>
      <w:r>
        <w:rPr>
          <w:rFonts w:ascii="Times New Roman" w:hAnsi="Times New Roman"/>
          <w:sz w:val="24"/>
        </w:rPr>
        <w:t>Beck, K. et al. (2001) Manifesto for Agile Software Development. Available at: https://agilemanifesto.org (Accessed: 19 April 2026).</w:t>
      </w:r>
    </w:p>
    <w:p>
      <w:pPr>
        <w:spacing w:line="240" w:lineRule="auto" w:before="0" w:after="120"/>
        <w:ind w:left="720" w:hanging="720"/>
      </w:pPr>
      <w:r>
        <w:rPr>
          <w:rFonts w:ascii="Times New Roman" w:hAnsi="Times New Roman"/>
          <w:sz w:val="24"/>
        </w:rPr>
        <w:t>Bergmeir, C. and Benítez, J.M. (2012) 'On the use of cross-validation for time series predictor evaluation', Information Sciences, 191, pp. 192–213.</w:t>
      </w:r>
    </w:p>
    <w:p>
      <w:pPr>
        <w:spacing w:line="240" w:lineRule="auto" w:before="0" w:after="120"/>
        <w:ind w:left="720" w:hanging="720"/>
      </w:pPr>
      <w:r>
        <w:rPr>
          <w:rFonts w:ascii="Times New Roman" w:hAnsi="Times New Roman"/>
          <w:sz w:val="24"/>
        </w:rPr>
        <w:t>Breiman, L. (2001) 'Random forests', Machine Learning, 45(1), pp. 5–32.</w:t>
      </w:r>
    </w:p>
    <w:p>
      <w:pPr>
        <w:spacing w:line="240" w:lineRule="auto" w:before="0" w:after="120"/>
        <w:ind w:left="720" w:hanging="720"/>
      </w:pPr>
      <w:r>
        <w:rPr>
          <w:rFonts w:ascii="Times New Roman" w:hAnsi="Times New Roman"/>
          <w:sz w:val="24"/>
        </w:rPr>
        <w:t>Chen, T. and Guestrin, C. (2016) 'XGBoost: A scalable tree boosting system', in Proceedings of the 22nd ACM SIGKDD International Conference on Knowledge Discovery and Data Mining, pp. 785–794.</w:t>
      </w:r>
    </w:p>
    <w:p>
      <w:pPr>
        <w:spacing w:line="240" w:lineRule="auto" w:before="0" w:after="120"/>
        <w:ind w:left="720" w:hanging="720"/>
      </w:pPr>
      <w:r>
        <w:rPr>
          <w:rFonts w:ascii="Times New Roman" w:hAnsi="Times New Roman"/>
          <w:sz w:val="24"/>
        </w:rPr>
        <w:t>Clapp, J.M. and Giaccotto, C. (1992) 'Estimating price indices for residential property: A comparison of repeat sales and assessed value methods', Journal of the American Statistical Association, 87(418), pp. 300–306.</w:t>
      </w:r>
    </w:p>
    <w:p>
      <w:pPr>
        <w:spacing w:line="240" w:lineRule="auto" w:before="0" w:after="120"/>
        <w:ind w:left="720" w:hanging="720"/>
      </w:pPr>
      <w:r>
        <w:rPr>
          <w:rFonts w:ascii="Times New Roman" w:hAnsi="Times New Roman"/>
          <w:sz w:val="24"/>
        </w:rPr>
        <w:t>Department for Levelling Up, Housing and Communities (2019) English Indices of Deprivation 2019. London: MHCLG. Available at: https://www.gov.uk/government/statistics/english-indices-of-deprivation-2019 (Accessed: 19 April 2026).</w:t>
      </w:r>
    </w:p>
    <w:p>
      <w:pPr>
        <w:spacing w:line="240" w:lineRule="auto" w:before="0" w:after="120"/>
        <w:ind w:left="720" w:hanging="720"/>
      </w:pPr>
      <w:r>
        <w:rPr>
          <w:rFonts w:ascii="Times New Roman" w:hAnsi="Times New Roman"/>
          <w:sz w:val="24"/>
        </w:rPr>
        <w:t>Department for Levelling Up, Housing and Communities (2026) Energy Performance of Buildings Data England and Wales. Available at: https://epc.opendatacommunities.org (Accessed: 19 April 2026).</w:t>
      </w:r>
    </w:p>
    <w:p>
      <w:pPr>
        <w:spacing w:line="240" w:lineRule="auto" w:before="0" w:after="120"/>
        <w:ind w:left="720" w:hanging="720"/>
      </w:pPr>
      <w:r>
        <w:rPr>
          <w:rFonts w:ascii="Times New Roman" w:hAnsi="Times New Roman"/>
          <w:sz w:val="24"/>
        </w:rPr>
        <w:t>FastAPI (2024) FastAPI documentation. Available at: https://fastapi.tiangolo.com (Accessed: 19 April 2026).</w:t>
      </w:r>
    </w:p>
    <w:p>
      <w:pPr>
        <w:spacing w:line="240" w:lineRule="auto" w:before="0" w:after="120"/>
        <w:ind w:left="720" w:hanging="720"/>
      </w:pPr>
      <w:r>
        <w:rPr>
          <w:rFonts w:ascii="Times New Roman" w:hAnsi="Times New Roman"/>
          <w:sz w:val="24"/>
        </w:rPr>
        <w:t>Fuerst, F. and McAllister, P. (2011) 'Green noise or green value? Measuring the effects of environmental certification on office values', Real Estate Economics, 39(1), pp. 45–69.</w:t>
      </w:r>
    </w:p>
    <w:p>
      <w:pPr>
        <w:spacing w:line="240" w:lineRule="auto" w:before="0" w:after="120"/>
        <w:ind w:left="720" w:hanging="720"/>
      </w:pPr>
      <w:r>
        <w:rPr>
          <w:rFonts w:ascii="Times New Roman" w:hAnsi="Times New Roman"/>
          <w:sz w:val="24"/>
        </w:rPr>
        <w:t>Fuerst, F., McAllister, P., Nanda, A. and Wyatt, P. (2015) 'Does energy efficiency matter to home-buyers? An investigation of EPC ratings and transaction prices in England', Energy Economics, 48, pp. 145–156.</w:t>
      </w:r>
    </w:p>
    <w:p>
      <w:pPr>
        <w:spacing w:line="240" w:lineRule="auto" w:before="0" w:after="120"/>
        <w:ind w:left="720" w:hanging="720"/>
      </w:pPr>
      <w:r>
        <w:rPr>
          <w:rFonts w:ascii="Times New Roman" w:hAnsi="Times New Roman"/>
          <w:sz w:val="24"/>
        </w:rPr>
        <w:t>Geerts, M., vanden Broucke, S. and De Weerdt, J. (2023) 'A survey of methods and input data types for house price prediction', ISPRS International Journal of Geo-Information, 12(5), 200.</w:t>
      </w:r>
    </w:p>
    <w:p>
      <w:pPr>
        <w:spacing w:line="240" w:lineRule="auto" w:before="0" w:after="120"/>
        <w:ind w:left="720" w:hanging="720"/>
      </w:pPr>
      <w:r>
        <w:rPr>
          <w:rFonts w:ascii="Times New Roman" w:hAnsi="Times New Roman"/>
          <w:sz w:val="24"/>
        </w:rPr>
        <w:t>Grinsztajn, L., Oyallon, E. and Varoquaux, G. (2022) 'Why do tree-based models still outperform deep learning on typical tabular data?', Advances in Neural Information Processing Systems, 35, pp. 507–520.</w:t>
      </w:r>
    </w:p>
    <w:p>
      <w:pPr>
        <w:spacing w:line="240" w:lineRule="auto" w:before="0" w:after="120"/>
        <w:ind w:left="720" w:hanging="720"/>
      </w:pPr>
      <w:r>
        <w:rPr>
          <w:rFonts w:ascii="Times New Roman" w:hAnsi="Times New Roman"/>
          <w:sz w:val="24"/>
        </w:rPr>
        <w:t>Hjort, A., Pensar, J., Scheel, I. and Sommervoll, D.E. (2022) 'House price prediction with gradient boosted trees under different loss functions', Journal of Property Research, 39(4), pp. 338–364.</w:t>
      </w:r>
    </w:p>
    <w:p>
      <w:pPr>
        <w:spacing w:line="240" w:lineRule="auto" w:before="0" w:after="120"/>
        <w:ind w:left="720" w:hanging="720"/>
      </w:pPr>
      <w:r>
        <w:rPr>
          <w:rFonts w:ascii="Times New Roman" w:hAnsi="Times New Roman"/>
          <w:sz w:val="24"/>
        </w:rPr>
        <w:t>HM Land Registry (2024) Price Paid Data. Available at: https://www.gov.uk/government/collections/price-paid-data (Accessed: 19 April 2026).</w:t>
      </w:r>
    </w:p>
    <w:p>
      <w:pPr>
        <w:spacing w:line="240" w:lineRule="auto" w:before="0" w:after="120"/>
        <w:ind w:left="720" w:hanging="720"/>
      </w:pPr>
      <w:r>
        <w:rPr>
          <w:rFonts w:ascii="Times New Roman" w:hAnsi="Times New Roman"/>
          <w:sz w:val="24"/>
        </w:rPr>
        <w:t>Ho, W.K.O., Tang, B.S. and Wong, S.W. (2021) 'Predicting property prices with machine learning algorithms', Journal of Property Research, 38(1), pp. 48–70.</w:t>
      </w:r>
    </w:p>
    <w:p>
      <w:pPr>
        <w:spacing w:line="240" w:lineRule="auto" w:before="0" w:after="120"/>
        <w:ind w:left="720" w:hanging="720"/>
      </w:pPr>
      <w:r>
        <w:rPr>
          <w:rFonts w:ascii="Times New Roman" w:hAnsi="Times New Roman"/>
          <w:sz w:val="24"/>
        </w:rPr>
        <w:t>Ke, G. et al. (2017) 'LightGBM: A highly efficient gradient boosting decision tree', Advances in Neural Information Processing Systems, 30, pp. 3146–3154.</w:t>
      </w:r>
    </w:p>
    <w:p>
      <w:pPr>
        <w:spacing w:line="240" w:lineRule="auto" w:before="0" w:after="120"/>
        <w:ind w:left="720" w:hanging="720"/>
      </w:pPr>
      <w:r>
        <w:rPr>
          <w:rFonts w:ascii="Times New Roman" w:hAnsi="Times New Roman"/>
          <w:sz w:val="24"/>
        </w:rPr>
        <w:t>Lundberg, S.M. and Lee, S.-I. (2017) 'A unified approach to interpreting model predictions', Advances in Neural Information Processing Systems, 30, pp. 4765–4774.</w:t>
      </w:r>
    </w:p>
    <w:p>
      <w:pPr>
        <w:spacing w:line="240" w:lineRule="auto" w:before="0" w:after="120"/>
        <w:ind w:left="720" w:hanging="720"/>
      </w:pPr>
      <w:r>
        <w:rPr>
          <w:rFonts w:ascii="Times New Roman" w:hAnsi="Times New Roman"/>
          <w:sz w:val="24"/>
        </w:rPr>
        <w:t>Office for National Statistics (2024) ONS Postcode Directory (August 2024) for the UK. Available at: https://geoportal.statistics.gov.uk (Accessed: 19 April 2026).</w:t>
      </w:r>
    </w:p>
    <w:p>
      <w:pPr>
        <w:spacing w:line="240" w:lineRule="auto" w:before="0" w:after="120"/>
        <w:ind w:left="720" w:hanging="720"/>
      </w:pPr>
      <w:r>
        <w:rPr>
          <w:rFonts w:ascii="Times New Roman" w:hAnsi="Times New Roman"/>
          <w:sz w:val="24"/>
        </w:rPr>
        <w:t>OpenStreetMap Foundation (2021) Copyright and License. Available at: https://www.openstreetmap.org/copyright (Accessed: 19 April 2026).</w:t>
      </w:r>
    </w:p>
    <w:p>
      <w:pPr>
        <w:spacing w:line="240" w:lineRule="auto" w:before="0" w:after="120"/>
        <w:ind w:left="720" w:hanging="720"/>
      </w:pPr>
      <w:r>
        <w:rPr>
          <w:rFonts w:ascii="Times New Roman" w:hAnsi="Times New Roman"/>
          <w:sz w:val="24"/>
        </w:rPr>
        <w:t>OpenStreetMap Wiki (2025) Overpass API. Available at: https://wiki.openstreetmap.org/wiki/Overpass_API (Accessed: 19 April 2026).</w:t>
      </w:r>
    </w:p>
    <w:p>
      <w:pPr>
        <w:spacing w:line="240" w:lineRule="auto" w:before="0" w:after="120"/>
        <w:ind w:left="720" w:hanging="720"/>
      </w:pPr>
      <w:r>
        <w:rPr>
          <w:rFonts w:ascii="Times New Roman" w:hAnsi="Times New Roman"/>
          <w:sz w:val="24"/>
        </w:rPr>
        <w:t>Park, B. and Bae, J.K. (2015) 'Using machine learning algorithms for housing price prediction: The case of Fairfax County, Virginia housing data', Expert Systems with Applications, 42(6), pp. 2928–2934.</w:t>
      </w:r>
    </w:p>
    <w:p>
      <w:pPr>
        <w:spacing w:line="240" w:lineRule="auto" w:before="0" w:after="120"/>
        <w:ind w:left="720" w:hanging="720"/>
      </w:pPr>
      <w:r>
        <w:rPr>
          <w:rFonts w:ascii="Times New Roman" w:hAnsi="Times New Roman"/>
          <w:sz w:val="24"/>
        </w:rPr>
        <w:t>Pedregosa, F. et al. (2011) 'Scikit-learn: Machine learning in Python', Journal of Machine Learning Research, 12, pp. 2825–2830.</w:t>
      </w:r>
    </w:p>
    <w:p>
      <w:pPr>
        <w:spacing w:line="240" w:lineRule="auto" w:before="0" w:after="120"/>
        <w:ind w:left="720" w:hanging="720"/>
      </w:pPr>
      <w:r>
        <w:rPr>
          <w:rFonts w:ascii="Times New Roman" w:hAnsi="Times New Roman"/>
          <w:sz w:val="24"/>
        </w:rPr>
        <w:t>postcodes.io (2024) Free UK Postcode API. Available at: https://postcodes.io (Accessed: 19 April 2026).</w:t>
      </w:r>
    </w:p>
    <w:p>
      <w:pPr>
        <w:spacing w:line="240" w:lineRule="auto" w:before="0" w:after="120"/>
        <w:ind w:left="720" w:hanging="720"/>
      </w:pPr>
      <w:r>
        <w:rPr>
          <w:rFonts w:ascii="Times New Roman" w:hAnsi="Times New Roman"/>
          <w:sz w:val="24"/>
        </w:rPr>
        <w:t>Render (2026) Deploy for Free. Available at: https://render.com/docs/free (Accessed: 19 April 2026).</w:t>
      </w:r>
    </w:p>
    <w:p>
      <w:pPr>
        <w:spacing w:line="240" w:lineRule="auto" w:before="0" w:after="120"/>
        <w:ind w:left="720" w:hanging="720"/>
      </w:pPr>
      <w:r>
        <w:rPr>
          <w:rFonts w:ascii="Times New Roman" w:hAnsi="Times New Roman"/>
          <w:sz w:val="24"/>
        </w:rPr>
        <w:t>Rosen, S. (1974) 'Hedonic prices and implicit markets: Product differentiation in pure competition', Journal of Political Economy, 82(1), pp. 34–55.</w:t>
      </w:r>
    </w:p>
    <w:p>
      <w:pPr>
        <w:spacing w:line="240" w:lineRule="auto" w:before="0" w:after="120"/>
        <w:ind w:left="720" w:hanging="720"/>
      </w:pPr>
      <w:r>
        <w:rPr>
          <w:rFonts w:ascii="Times New Roman" w:hAnsi="Times New Roman"/>
          <w:sz w:val="24"/>
        </w:rPr>
        <w:t>Schwaber, K. and Sutherland, J. (2020) The Scrum Guide: The Definitive Guide to Scrum: The Rules of the Game. Available at: https://scrumguides.org (Accessed: 19 April 2026).</w:t>
      </w:r>
    </w:p>
    <w:p>
      <w:pPr>
        <w:spacing w:line="240" w:lineRule="auto" w:before="0" w:after="120"/>
        <w:ind w:left="720" w:hanging="720"/>
      </w:pPr>
      <w:r>
        <w:rPr>
          <w:rFonts w:ascii="Times New Roman" w:hAnsi="Times New Roman"/>
          <w:sz w:val="24"/>
        </w:rPr>
        <w:t>Sommerville, I. (2015) Software Engineering. 10th edn. Harlow: Pearson.</w:t>
      </w:r>
    </w:p>
    <w:p>
      <w:pPr>
        <w:spacing w:line="240" w:lineRule="auto" w:before="0" w:after="120"/>
        <w:ind w:left="720" w:hanging="720"/>
      </w:pPr>
      <w:r>
        <w:rPr>
          <w:rFonts w:ascii="Times New Roman" w:hAnsi="Times New Roman"/>
          <w:sz w:val="24"/>
        </w:rPr>
        <w:t>Supabase (2024) Supabase documentation. Available at: https://supabase.com/docs (Accessed: 19 April 2026).</w:t>
      </w:r>
    </w:p>
    <w:p>
      <w:pPr>
        <w:spacing w:line="240" w:lineRule="auto" w:before="0" w:after="120"/>
        <w:ind w:left="720" w:hanging="720"/>
      </w:pPr>
      <w:r>
        <w:rPr>
          <w:rFonts w:ascii="Times New Roman" w:hAnsi="Times New Roman"/>
          <w:sz w:val="24"/>
        </w:rPr>
        <w:t>Supabase (2026) Pricing. Available at: https://supabase.com/pricing (Accessed: 19 April 2026).</w:t>
      </w:r>
    </w:p>
    <w:p>
      <w:pPr>
        <w:spacing w:line="240" w:lineRule="auto" w:before="0" w:after="120"/>
        <w:ind w:left="720" w:hanging="720"/>
      </w:pPr>
      <w:r>
        <w:rPr>
          <w:rFonts w:ascii="Times New Roman" w:hAnsi="Times New Roman"/>
          <w:sz w:val="24"/>
        </w:rPr>
        <w:t>Tibshirani, R. (1996) 'Regression shrinkage and selection via the lasso', Journal of the Royal Statistical Society: Series B (Methodological), 58(1), pp. 267–288.</w:t>
      </w:r>
    </w:p>
    <w:p>
      <w:pPr>
        <w:spacing w:line="240" w:lineRule="auto" w:before="0" w:after="120"/>
        <w:ind w:left="720" w:hanging="720"/>
      </w:pPr>
      <w:r>
        <w:rPr>
          <w:rFonts w:ascii="Times New Roman" w:hAnsi="Times New Roman"/>
          <w:sz w:val="24"/>
        </w:rPr>
        <w:t>Vercel (2026) Deploying Git Repositories with Vercel. Available at: https://vercel.com/docs/deployments/git (Accessed: 19 April 2026).</w:t>
      </w:r>
    </w:p>
    <w:p>
      <w:pPr>
        <w:spacing w:line="240" w:lineRule="auto" w:before="0" w:after="120"/>
        <w:ind w:left="720" w:hanging="720"/>
      </w:pPr>
      <w:r>
        <w:rPr>
          <w:rFonts w:ascii="Times New Roman" w:hAnsi="Times New Roman"/>
          <w:sz w:val="24"/>
        </w:rPr>
        <w:t>Vite (2026) Migration from v7. Available at: https://vite.dev/guide/migration (Accessed: 19 April 2026).</w:t>
      </w:r>
    </w:p>
    <w:sectPr w:rsidR="00FC693F" w:rsidRPr="0006063C" w:rsidSect="00034616">
      <w:footerReference w:type="defaul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