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Times New Roman" w:hAnsi="Times New Roman"/>
          <w:b/>
          <w:i w:val="0"/>
          <w:sz w:val="26"/>
        </w:rPr>
        <w:t>ARDUINO TABANLI OTOMATİK YANGIN TESPİT VE SÖNDÜRME KULESİ: DİJİTAL İKİZ TASARIMI VE 3D BASKI UYGULAMASI</w:t>
      </w:r>
    </w:p>
    <w:p>
      <w:pPr>
        <w:spacing w:after="40" w:before="0"/>
        <w:jc w:val="center"/>
      </w:pPr>
      <w:r>
        <w:rPr>
          <w:rFonts w:ascii="Times New Roman" w:hAnsi="Times New Roman"/>
          <w:b w:val="0"/>
          <w:i w:val="0"/>
          <w:sz w:val="22"/>
        </w:rPr>
        <w:t>(Öğrenci İsmi)   (Öğrenci No)</w:t>
      </w:r>
    </w:p>
    <w:p>
      <w:pPr>
        <w:spacing w:after="240" w:before="0"/>
        <w:jc w:val="center"/>
      </w:pPr>
      <w:r>
        <w:rPr>
          <w:rFonts w:ascii="Times New Roman" w:hAnsi="Times New Roman"/>
          <w:b w:val="0"/>
          <w:i/>
          <w:sz w:val="20"/>
        </w:rPr>
        <w:t>Erciyes Üniversitesi, Mühendislik Fakültesi, Mekatronik Mühendisliği Bölümü – KAYSERİ</w:t>
      </w:r>
    </w:p>
    <w:p>
      <w:pPr>
        <w:spacing w:after="120" w:before="200"/>
        <w:jc w:val="left"/>
      </w:pPr>
      <w:r>
        <w:rPr>
          <w:rFonts w:ascii="Times New Roman" w:hAnsi="Times New Roman"/>
          <w:b/>
          <w:i w:val="0"/>
          <w:sz w:val="24"/>
        </w:rPr>
        <w:t>ÖZET</w:t>
      </w:r>
    </w:p>
    <w:p>
      <w:pPr>
        <w:spacing w:after="120" w:before="0"/>
        <w:jc w:val="both"/>
      </w:pPr>
      <w:r>
        <w:rPr>
          <w:rFonts w:ascii="Times New Roman" w:hAnsi="Times New Roman"/>
          <w:b w:val="0"/>
          <w:i w:val="0"/>
          <w:sz w:val="22"/>
        </w:rPr>
        <w:t>Bu çalışmada, kapalı/açık alanlarda erken yangın müdahalesi için iki SG90 servo motorlu, dönen bir otomatik yangın tespit ve söndürme kulesi tasarlanmış ve geliştirilmiştir. Sistem; alt servo üzerine yerleştirilen bir alev (IR) sensörü ile yatay eksende 0–180° sürekli tarama yapar, bir yangın yönü algılandığında üst servo üzerindeki su nozülünü aynı açıya yönlendirir ve röle ile sürülen mini DC pompayı çalıştırarak hedefe su püskürtür; alev sönünce pompa durur ve tarama yeniden başlar. Donanım kurulmadan önce kontrol mantığını doğrulamak amacıyla, gerçek sistemin Three.js tabanlı bir dijital ikizi (tarayıcıda çalışan 3B benzetim) hazırlanmış ve Web Serial API üzerinden gerçek karta bağlanabilecek şekilde tasarlanmıştır. Mekanik parçalar parametrik olarak modellenmiş ve 3D baskıya hazır STL dosyaları üretilmiştir. Çalışma sonucunda tara–bul–nişan al–söndür durum makinesi hem benzetimde hem gömülü yazılımda (Arduino) tutarlı biçimde elde edilmiş; düşük maliyetli, modüler ve genişletilebilir bir prototip ortaya konmuştur.</w:t>
      </w:r>
    </w:p>
    <w:p>
      <w:pPr>
        <w:spacing w:after="200" w:before="0"/>
        <w:jc w:val="both"/>
      </w:pPr>
      <w:r>
        <w:rPr>
          <w:rFonts w:ascii="Times New Roman" w:hAnsi="Times New Roman"/>
          <w:b w:val="0"/>
          <w:i/>
          <w:sz w:val="22"/>
        </w:rPr>
        <w:t>Anahtar Kelimeler: Yangın tespiti, Arduino, dijital ikiz, servo kontrol, 3B baskı</w:t>
      </w:r>
    </w:p>
    <w:p>
      <w:pPr>
        <w:spacing w:after="120" w:before="200"/>
        <w:jc w:val="left"/>
      </w:pPr>
      <w:r>
        <w:rPr>
          <w:rFonts w:ascii="Times New Roman" w:hAnsi="Times New Roman"/>
          <w:b/>
          <w:i w:val="0"/>
          <w:sz w:val="24"/>
        </w:rPr>
        <w:t>ABSTRACT</w:t>
      </w:r>
    </w:p>
    <w:p>
      <w:pPr>
        <w:spacing w:after="120" w:before="0"/>
        <w:jc w:val="both"/>
      </w:pPr>
      <w:r>
        <w:rPr>
          <w:rFonts w:ascii="Times New Roman" w:hAnsi="Times New Roman"/>
          <w:b w:val="0"/>
          <w:i w:val="0"/>
          <w:sz w:val="22"/>
        </w:rPr>
        <w:t>In this study, a rotating automatic fire detection and suppression tower driven by two SG90 servo motors was designed and implemented for early fire response. A flame (IR) sensor mounted on the lower servo continuously scans the environment over a 0–180° horizontal range; when a fire direction is detected, the nozzle on the upper servo is aimed to the same angle and a relay-driven mini DC pump sprays water onto the target. The pump stops once the flame is extinguished and scanning resumes. A Three.js based digital twin (a browser 3D simulation) was developed to verify the control logic before building the hardware, and was designed to connect to the real board via the Web Serial API. Mechanical parts were modelled parametrically and print-ready STL files were produced. As a result, a consistent scan–detect–aim–extinguish state machine was achieved both in simulation and embedded firmware, yielding a low-cost, modular and extensible prototype.</w:t>
      </w:r>
    </w:p>
    <w:p>
      <w:pPr>
        <w:spacing w:after="200" w:before="0"/>
        <w:jc w:val="both"/>
      </w:pPr>
      <w:r>
        <w:rPr>
          <w:rFonts w:ascii="Times New Roman" w:hAnsi="Times New Roman"/>
          <w:b w:val="0"/>
          <w:i/>
          <w:sz w:val="22"/>
        </w:rPr>
        <w:t>Keywords: Fire detection, Arduino, digital twin, servo control, 3D printing</w:t>
      </w:r>
    </w:p>
    <w:p>
      <w:pPr>
        <w:spacing w:after="120" w:before="200"/>
        <w:jc w:val="left"/>
      </w:pPr>
      <w:r>
        <w:rPr>
          <w:rFonts w:ascii="Times New Roman" w:hAnsi="Times New Roman"/>
          <w:b/>
          <w:i w:val="0"/>
          <w:sz w:val="24"/>
        </w:rPr>
        <w:t>1. GİRİŞ</w:t>
      </w:r>
    </w:p>
    <w:p>
      <w:pPr>
        <w:spacing w:after="120" w:before="0"/>
        <w:jc w:val="both"/>
      </w:pPr>
      <w:r>
        <w:rPr>
          <w:rFonts w:ascii="Times New Roman" w:hAnsi="Times New Roman"/>
          <w:b w:val="0"/>
          <w:i w:val="0"/>
          <w:sz w:val="22"/>
        </w:rPr>
        <w:t>Yangınlar, can ve mal güvenliği açısından en önemli risklerden biridir ve erken tespit ile hızlı müdahale, hasarın sınırlanmasında belirleyicidir. Sabit yangın algılama sistemleri çoğunlukla yalnızca alarm üretir; müdahale ise insan gücüne bağlıdır. Bu çalışmanın amacı, ortamı sürekli tarayarak yangının yönünü belirleyen ve otomatik olarak hedefe su yönlendiren, düşük maliyetli ve modüler bir prototip geliştirmektir. Sistem bir mikrodenetleyici (Arduino UNO / ESP32) tarafından yönetilir; iki bağımsız servo eksen sayesinde tarama ve nişan alma işlevleri ayrıştırılmıştır.</w:t>
      </w:r>
    </w:p>
    <w:p>
      <w:pPr>
        <w:spacing w:after="120" w:before="0"/>
        <w:jc w:val="both"/>
      </w:pPr>
      <w:r>
        <w:rPr>
          <w:rFonts w:ascii="Times New Roman" w:hAnsi="Times New Roman"/>
          <w:b w:val="0"/>
          <w:i w:val="0"/>
          <w:sz w:val="22"/>
        </w:rPr>
        <w:t>Çalışmanın bir diğer özgün yönü, donanım kurulmadan önce kontrol algoritmasının doğrulanabilmesi için geliştirilen dijital ikizdir. Tarayıcıda çalışan bu üç boyutlu benzetim, gerçek sistemin servolarını, sensörünü, pompasını ve durum makinesini birebir taklit eder; Web Serial API ile gerçek karta bağlanarak donanım-içinde-döngü (hardware-in-the-loop) çalışmaya da uygundur (Şekil 1).</w:t>
      </w:r>
    </w:p>
    <w:p>
      <w:pPr>
        <w:jc w:val="center"/>
      </w:pPr>
      <w:r>
        <w:drawing>
          <wp:inline xmlns:a="http://schemas.openxmlformats.org/drawingml/2006/main" xmlns:pic="http://schemas.openxmlformats.org/drawingml/2006/picture">
            <wp:extent cx="4140000" cy="4134692"/>
            <wp:docPr id="1" name="Picture 1"/>
            <wp:cNvGraphicFramePr>
              <a:graphicFrameLocks noChangeAspect="1"/>
            </wp:cNvGraphicFramePr>
            <a:graphic>
              <a:graphicData uri="http://schemas.openxmlformats.org/drawingml/2006/picture">
                <pic:pic>
                  <pic:nvPicPr>
                    <pic:cNvPr id="0" name="montaj.png"/>
                    <pic:cNvPicPr/>
                  </pic:nvPicPr>
                  <pic:blipFill>
                    <a:blip r:embed="rId9"/>
                    <a:stretch>
                      <a:fillRect/>
                    </a:stretch>
                  </pic:blipFill>
                  <pic:spPr>
                    <a:xfrm>
                      <a:off x="0" y="0"/>
                      <a:ext cx="4140000" cy="4134692"/>
                    </a:xfrm>
                    <a:prstGeom prst="rect"/>
                  </pic:spPr>
                </pic:pic>
              </a:graphicData>
            </a:graphic>
          </wp:inline>
        </w:drawing>
      </w:r>
    </w:p>
    <w:p>
      <w:pPr>
        <w:spacing w:after="160"/>
        <w:jc w:val="center"/>
      </w:pPr>
      <w:r>
        <w:rPr>
          <w:rFonts w:ascii="Times New Roman" w:hAnsi="Times New Roman"/>
          <w:i/>
          <w:sz w:val="20"/>
        </w:rPr>
        <w:t>Şekil 1. Yangın kulesinin tüm parçalarıyla montaj (dijital model) görünümü.</w:t>
      </w:r>
    </w:p>
    <w:p>
      <w:pPr>
        <w:spacing w:after="120" w:before="200"/>
        <w:jc w:val="left"/>
      </w:pPr>
      <w:r>
        <w:rPr>
          <w:rFonts w:ascii="Times New Roman" w:hAnsi="Times New Roman"/>
          <w:b/>
          <w:i w:val="0"/>
          <w:sz w:val="24"/>
        </w:rPr>
        <w:t>2. SİSTEM TASARIMI VE ÇALIŞMA PRENSİBİ</w:t>
      </w:r>
    </w:p>
    <w:p>
      <w:pPr>
        <w:spacing w:after="120" w:before="0"/>
        <w:jc w:val="both"/>
      </w:pPr>
      <w:r>
        <w:rPr>
          <w:rFonts w:ascii="Times New Roman" w:hAnsi="Times New Roman"/>
          <w:b w:val="0"/>
          <w:i w:val="0"/>
          <w:sz w:val="22"/>
        </w:rPr>
        <w:t>Sistem, kare bir taban plakası üzerine kurulu dikey bir kuleden oluşur. Alt SG90 servo (TARAMA), üzerinde alev sensörü kartı bulunan bir platformu yatay eksende 0–180° süpürür. Üst SG90 servo (HEDEFLEME), üzerinde su nozülü bulunan kolu döndürür. Mini DC pompa, bir röle (veya MOSFET) üzerinden anahtarlanarak nozüle su besler. İki servo eksen birbirinden bağımsızdır: biri tararken diğeri nişan alır.</w:t>
      </w:r>
    </w:p>
    <w:p>
      <w:pPr>
        <w:spacing w:after="80" w:before="0"/>
        <w:jc w:val="both"/>
      </w:pPr>
      <w:r>
        <w:rPr>
          <w:rFonts w:ascii="Times New Roman" w:hAnsi="Times New Roman"/>
          <w:b w:val="0"/>
          <w:i w:val="0"/>
          <w:sz w:val="22"/>
        </w:rPr>
        <w:t>Sistemin çalışması beş durumlu bir durum makinesiyle yönetilir:</w:t>
      </w:r>
    </w:p>
    <w:p>
      <w:pPr>
        <w:pStyle w:val="ListBullet"/>
      </w:pPr>
      <w:r>
        <w:rPr>
          <w:rFonts w:ascii="Times New Roman" w:hAnsi="Times New Roman"/>
          <w:sz w:val="22"/>
        </w:rPr>
        <w:t>TARAMA: Alt servo 0↔180° süpürür, sensör ortamı tarar.</w:t>
      </w:r>
    </w:p>
    <w:p>
      <w:pPr>
        <w:pStyle w:val="ListBullet"/>
      </w:pPr>
      <w:r>
        <w:rPr>
          <w:rFonts w:ascii="Times New Roman" w:hAnsi="Times New Roman"/>
          <w:sz w:val="22"/>
        </w:rPr>
        <w:t>TESPİT: Sensörün baktığı açıda alev algılanırsa yangının yönü bu açı olarak kaydedilir; tarama kısa süre durur.</w:t>
      </w:r>
    </w:p>
    <w:p>
      <w:pPr>
        <w:pStyle w:val="ListBullet"/>
      </w:pPr>
      <w:r>
        <w:rPr>
          <w:rFonts w:ascii="Times New Roman" w:hAnsi="Times New Roman"/>
          <w:sz w:val="22"/>
        </w:rPr>
        <w:t>HEDEFLEME: Üst servo (nozül) yumuşak geçişle tespit açısına döner.</w:t>
      </w:r>
    </w:p>
    <w:p>
      <w:pPr>
        <w:pStyle w:val="ListBullet"/>
      </w:pPr>
      <w:r>
        <w:rPr>
          <w:rFonts w:ascii="Times New Roman" w:hAnsi="Times New Roman"/>
          <w:sz w:val="22"/>
        </w:rPr>
        <w:t>SÖNDÜRME: Pompa ON; nozülden yerçekimiyle kavis çizen su hedefe püskürtülür; alev sönene kadar sürer.</w:t>
      </w:r>
    </w:p>
    <w:p>
      <w:pPr>
        <w:pStyle w:val="ListBullet"/>
      </w:pPr>
      <w:r>
        <w:rPr>
          <w:rFonts w:ascii="Times New Roman" w:hAnsi="Times New Roman"/>
          <w:sz w:val="22"/>
        </w:rPr>
        <w:t>DÖNÜŞ: Alev sönünce pompa OFF; sistem yeniden taramaya geçer.</w:t>
      </w:r>
    </w:p>
    <w:p>
      <w:pPr>
        <w:spacing w:after="120" w:before="80"/>
        <w:jc w:val="both"/>
      </w:pPr>
      <w:r>
        <w:rPr>
          <w:rFonts w:ascii="Times New Roman" w:hAnsi="Times New Roman"/>
          <w:b w:val="0"/>
          <w:i w:val="0"/>
          <w:sz w:val="22"/>
        </w:rPr>
        <w:t>Bu sıralama (önce tara, bul, nişan al, söndür) hem dijital ikizde hem de Arduino gömülü yazılımında aynı şekilde uygulanmıştır. Geliştirilen tarayıcı benzetimi, alev titreşimi, su partikülleri, tarama ışını ve durum göstergeleri ile sistemi gerçek zamanlı görselleştirir.</w:t>
      </w:r>
    </w:p>
    <w:p>
      <w:pPr>
        <w:spacing w:after="120" w:before="200"/>
        <w:jc w:val="left"/>
      </w:pPr>
      <w:r>
        <w:rPr>
          <w:rFonts w:ascii="Times New Roman" w:hAnsi="Times New Roman"/>
          <w:b/>
          <w:i w:val="0"/>
          <w:sz w:val="24"/>
        </w:rPr>
        <w:t>3. MEKANİK TASARIM VE 3B BASKI</w:t>
      </w:r>
    </w:p>
    <w:p>
      <w:pPr>
        <w:spacing w:after="120" w:before="0"/>
        <w:jc w:val="both"/>
      </w:pPr>
      <w:r>
        <w:rPr>
          <w:rFonts w:ascii="Times New Roman" w:hAnsi="Times New Roman"/>
          <w:b w:val="0"/>
          <w:i w:val="0"/>
          <w:sz w:val="22"/>
        </w:rPr>
        <w:t>Tüm mekanik parçalar parametrik olarak (Python + manifold3d ile katı modelleme) tasarlanmış ve baskıya hazır, su geçirmez (manifold) STL dosyaları üretilmiştir. Parçalar SG90 servo ve kullanılan modüllerin gerçek ölçülerine göre boyutlandırılmıştır. Başlıca parçalar: taban plakası, alt/üst servo tutucuları, alev sensörü tutucusu, kule yükseltici, yukarı/aşağı ayarlı nozül kelepçesi ve elektronik kutusu.</w:t>
      </w:r>
    </w:p>
    <w:p>
      <w:pPr>
        <w:jc w:val="center"/>
      </w:pPr>
      <w:r>
        <w:drawing>
          <wp:inline xmlns:a="http://schemas.openxmlformats.org/drawingml/2006/main" xmlns:pic="http://schemas.openxmlformats.org/drawingml/2006/picture">
            <wp:extent cx="3060000" cy="3056077"/>
            <wp:docPr id="2" name="Picture 2"/>
            <wp:cNvGraphicFramePr>
              <a:graphicFrameLocks noChangeAspect="1"/>
            </wp:cNvGraphicFramePr>
            <a:graphic>
              <a:graphicData uri="http://schemas.openxmlformats.org/drawingml/2006/picture">
                <pic:pic>
                  <pic:nvPicPr>
                    <pic:cNvPr id="0" name="kule.png"/>
                    <pic:cNvPicPr/>
                  </pic:nvPicPr>
                  <pic:blipFill>
                    <a:blip r:embed="rId10"/>
                    <a:stretch>
                      <a:fillRect/>
                    </a:stretch>
                  </pic:blipFill>
                  <pic:spPr>
                    <a:xfrm>
                      <a:off x="0" y="0"/>
                      <a:ext cx="3060000" cy="3056077"/>
                    </a:xfrm>
                    <a:prstGeom prst="rect"/>
                  </pic:spPr>
                </pic:pic>
              </a:graphicData>
            </a:graphic>
          </wp:inline>
        </w:drawing>
      </w:r>
    </w:p>
    <w:p>
      <w:pPr>
        <w:spacing w:after="160"/>
        <w:jc w:val="center"/>
      </w:pPr>
      <w:r>
        <w:rPr>
          <w:rFonts w:ascii="Times New Roman" w:hAnsi="Times New Roman"/>
          <w:i/>
          <w:sz w:val="20"/>
        </w:rPr>
        <w:t>Şekil 2. Kule yükseltici (içi boş kablo kanallı, üst flanşı 45° pahlı).</w:t>
      </w:r>
    </w:p>
    <w:p>
      <w:pPr>
        <w:jc w:val="center"/>
      </w:pPr>
      <w:r>
        <w:drawing>
          <wp:inline xmlns:a="http://schemas.openxmlformats.org/drawingml/2006/main" xmlns:pic="http://schemas.openxmlformats.org/drawingml/2006/picture">
            <wp:extent cx="3240000" cy="3235846"/>
            <wp:docPr id="3" name="Picture 3"/>
            <wp:cNvGraphicFramePr>
              <a:graphicFrameLocks noChangeAspect="1"/>
            </wp:cNvGraphicFramePr>
            <a:graphic>
              <a:graphicData uri="http://schemas.openxmlformats.org/drawingml/2006/picture">
                <pic:pic>
                  <pic:nvPicPr>
                    <pic:cNvPr id="0" name="sensor.png"/>
                    <pic:cNvPicPr/>
                  </pic:nvPicPr>
                  <pic:blipFill>
                    <a:blip r:embed="rId11"/>
                    <a:stretch>
                      <a:fillRect/>
                    </a:stretch>
                  </pic:blipFill>
                  <pic:spPr>
                    <a:xfrm>
                      <a:off x="0" y="0"/>
                      <a:ext cx="3240000" cy="3235846"/>
                    </a:xfrm>
                    <a:prstGeom prst="rect"/>
                  </pic:spPr>
                </pic:pic>
              </a:graphicData>
            </a:graphic>
          </wp:inline>
        </w:drawing>
      </w:r>
    </w:p>
    <w:p>
      <w:pPr>
        <w:spacing w:after="160"/>
        <w:jc w:val="center"/>
      </w:pPr>
      <w:r>
        <w:rPr>
          <w:rFonts w:ascii="Times New Roman" w:hAnsi="Times New Roman"/>
          <w:i/>
          <w:sz w:val="20"/>
        </w:rPr>
        <w:t>Şekil 3. Alev sensörü tutucusu (arka plaka geride; lehim/SMD için boşluk).</w:t>
      </w:r>
    </w:p>
    <w:p>
      <w:pPr>
        <w:spacing w:after="120" w:before="80"/>
        <w:jc w:val="both"/>
      </w:pPr>
      <w:r>
        <w:rPr>
          <w:rFonts w:ascii="Times New Roman" w:hAnsi="Times New Roman"/>
          <w:b w:val="0"/>
          <w:i w:val="0"/>
          <w:sz w:val="22"/>
        </w:rPr>
        <w:t>Su nozülü, manuel olarak yukarı/aşağı eğilebilen iki parçalı bir menteşe ile bağlanır; somun gerektirmeyen tek vidalı sürtünme menteşesi ve elle çevrilen baskı düğmesi sayesinde açı anahtarsız ayarlanır (Şekil 4).</w:t>
      </w:r>
    </w:p>
    <w:p>
      <w:pPr>
        <w:jc w:val="center"/>
      </w:pPr>
      <w:r>
        <w:drawing>
          <wp:inline xmlns:a="http://schemas.openxmlformats.org/drawingml/2006/main" xmlns:pic="http://schemas.openxmlformats.org/drawingml/2006/picture">
            <wp:extent cx="3060000" cy="3056077"/>
            <wp:docPr id="4" name="Picture 4"/>
            <wp:cNvGraphicFramePr>
              <a:graphicFrameLocks noChangeAspect="1"/>
            </wp:cNvGraphicFramePr>
            <a:graphic>
              <a:graphicData uri="http://schemas.openxmlformats.org/drawingml/2006/picture">
                <pic:pic>
                  <pic:nvPicPr>
                    <pic:cNvPr id="0" name="nozul_taban.png"/>
                    <pic:cNvPicPr/>
                  </pic:nvPicPr>
                  <pic:blipFill>
                    <a:blip r:embed="rId12"/>
                    <a:stretch>
                      <a:fillRect/>
                    </a:stretch>
                  </pic:blipFill>
                  <pic:spPr>
                    <a:xfrm>
                      <a:off x="0" y="0"/>
                      <a:ext cx="3060000" cy="3056077"/>
                    </a:xfrm>
                    <a:prstGeom prst="rect"/>
                  </pic:spPr>
                </pic:pic>
              </a:graphicData>
            </a:graphic>
          </wp:inline>
        </w:drawing>
      </w:r>
    </w:p>
    <w:p>
      <w:pPr>
        <w:spacing w:after="160"/>
        <w:jc w:val="center"/>
      </w:pPr>
      <w:r>
        <w:rPr>
          <w:rFonts w:ascii="Times New Roman" w:hAnsi="Times New Roman"/>
          <w:i/>
          <w:sz w:val="20"/>
        </w:rPr>
        <w:t>Şekil 4. Nozül tabanı (pivot kulakları) ve eğilebilen kol.</w:t>
      </w:r>
    </w:p>
    <w:p>
      <w:pPr>
        <w:spacing w:after="120" w:before="80"/>
        <w:jc w:val="both"/>
      </w:pPr>
      <w:r>
        <w:rPr>
          <w:rFonts w:ascii="Times New Roman" w:hAnsi="Times New Roman"/>
          <w:b w:val="0"/>
          <w:i w:val="0"/>
          <w:sz w:val="22"/>
        </w:rPr>
        <w:t>Kontrol elektroniği için, Arduino UNO + 1 kanal röle + 50×50 mm prototip plaka bölmesi içeren, üstüne taban plakası vidalanan kapalı bir kutu tasarlanmıştır (Şekil 5). ESP32 tabanlı kullanım için ayrıca klipssiz/vidalı, yalnızca USB tarafı açık ayrı bir muhafaza üretilmiştir (Şekil 6).</w:t>
      </w:r>
    </w:p>
    <w:p>
      <w:pPr>
        <w:jc w:val="center"/>
      </w:pPr>
      <w:r>
        <w:drawing>
          <wp:inline xmlns:a="http://schemas.openxmlformats.org/drawingml/2006/main" xmlns:pic="http://schemas.openxmlformats.org/drawingml/2006/picture">
            <wp:extent cx="3420000" cy="3415615"/>
            <wp:docPr id="5" name="Picture 5"/>
            <wp:cNvGraphicFramePr>
              <a:graphicFrameLocks noChangeAspect="1"/>
            </wp:cNvGraphicFramePr>
            <a:graphic>
              <a:graphicData uri="http://schemas.openxmlformats.org/drawingml/2006/picture">
                <pic:pic>
                  <pic:nvPicPr>
                    <pic:cNvPr id="0" name="case.png"/>
                    <pic:cNvPicPr/>
                  </pic:nvPicPr>
                  <pic:blipFill>
                    <a:blip r:embed="rId13"/>
                    <a:stretch>
                      <a:fillRect/>
                    </a:stretch>
                  </pic:blipFill>
                  <pic:spPr>
                    <a:xfrm>
                      <a:off x="0" y="0"/>
                      <a:ext cx="3420000" cy="3415615"/>
                    </a:xfrm>
                    <a:prstGeom prst="rect"/>
                  </pic:spPr>
                </pic:pic>
              </a:graphicData>
            </a:graphic>
          </wp:inline>
        </w:drawing>
      </w:r>
    </w:p>
    <w:p>
      <w:pPr>
        <w:spacing w:after="160"/>
        <w:jc w:val="center"/>
      </w:pPr>
      <w:r>
        <w:rPr>
          <w:rFonts w:ascii="Times New Roman" w:hAnsi="Times New Roman"/>
          <w:i/>
          <w:sz w:val="20"/>
        </w:rPr>
        <w:t>Şekil 5. Arduino + röle + prototip plaka kutusu (taban altına monte).</w:t>
      </w:r>
    </w:p>
    <w:p>
      <w:pPr>
        <w:jc w:val="center"/>
      </w:pPr>
      <w:r>
        <w:drawing>
          <wp:inline xmlns:a="http://schemas.openxmlformats.org/drawingml/2006/main" xmlns:pic="http://schemas.openxmlformats.org/drawingml/2006/picture">
            <wp:extent cx="3240000" cy="3235846"/>
            <wp:docPr id="6" name="Picture 6"/>
            <wp:cNvGraphicFramePr>
              <a:graphicFrameLocks noChangeAspect="1"/>
            </wp:cNvGraphicFramePr>
            <a:graphic>
              <a:graphicData uri="http://schemas.openxmlformats.org/drawingml/2006/picture">
                <pic:pic>
                  <pic:nvPicPr>
                    <pic:cNvPr id="0" name="esp_kutu.png"/>
                    <pic:cNvPicPr/>
                  </pic:nvPicPr>
                  <pic:blipFill>
                    <a:blip r:embed="rId14"/>
                    <a:stretch>
                      <a:fillRect/>
                    </a:stretch>
                  </pic:blipFill>
                  <pic:spPr>
                    <a:xfrm>
                      <a:off x="0" y="0"/>
                      <a:ext cx="3240000" cy="3235846"/>
                    </a:xfrm>
                    <a:prstGeom prst="rect"/>
                  </pic:spPr>
                </pic:pic>
              </a:graphicData>
            </a:graphic>
          </wp:inline>
        </w:drawing>
      </w:r>
    </w:p>
    <w:p>
      <w:pPr>
        <w:spacing w:after="160"/>
        <w:jc w:val="center"/>
      </w:pPr>
      <w:r>
        <w:rPr>
          <w:rFonts w:ascii="Times New Roman" w:hAnsi="Times New Roman"/>
          <w:i/>
          <w:sz w:val="20"/>
        </w:rPr>
        <w:t>Şekil 6. ESP32 (DevKit 55×28) için vidalı kapaklı muhafaza.</w:t>
      </w:r>
    </w:p>
    <w:p>
      <w:pPr>
        <w:spacing w:after="120" w:before="200"/>
        <w:jc w:val="left"/>
      </w:pPr>
      <w:r>
        <w:rPr>
          <w:rFonts w:ascii="Times New Roman" w:hAnsi="Times New Roman"/>
          <w:b/>
          <w:i w:val="0"/>
          <w:sz w:val="24"/>
        </w:rPr>
        <w:t>4. ELEKTRONİK VE BAĞLANTILAR</w:t>
      </w:r>
    </w:p>
    <w:p>
      <w:pPr>
        <w:spacing w:after="120" w:before="0"/>
        <w:jc w:val="both"/>
      </w:pPr>
      <w:r>
        <w:rPr>
          <w:rFonts w:ascii="Times New Roman" w:hAnsi="Times New Roman"/>
          <w:b w:val="0"/>
          <w:i w:val="0"/>
          <w:sz w:val="22"/>
        </w:rPr>
        <w:t>Sistemde alt servo D9, üst servo D10 sinyal uçlarına; alev sensörü analog çıkışı A0'a; pompayı süren röle girişi D7'ye; tespit ve pompa LED'leri ise D5 ve D6'ya bağlanır. Servolar ve pompa, Arduino'dan değil ayrı bir 5 V güç kaynağından beslenir ve tüm GND uçları ortaklanır. Pompa hattı röle (veya MOSFET) üzerinden anahtarlanır (Şekil 7).</w:t>
      </w:r>
    </w:p>
    <w:p>
      <w:pPr>
        <w:jc w:val="center"/>
      </w:pPr>
      <w:r>
        <w:drawing>
          <wp:inline xmlns:a="http://schemas.openxmlformats.org/drawingml/2006/main" xmlns:pic="http://schemas.openxmlformats.org/drawingml/2006/picture">
            <wp:extent cx="5040000" cy="3694320"/>
            <wp:docPr id="7" name="Picture 7"/>
            <wp:cNvGraphicFramePr>
              <a:graphicFrameLocks noChangeAspect="1"/>
            </wp:cNvGraphicFramePr>
            <a:graphic>
              <a:graphicData uri="http://schemas.openxmlformats.org/drawingml/2006/picture">
                <pic:pic>
                  <pic:nvPicPr>
                    <pic:cNvPr id="0" name="baglanti.png"/>
                    <pic:cNvPicPr/>
                  </pic:nvPicPr>
                  <pic:blipFill>
                    <a:blip r:embed="rId15"/>
                    <a:stretch>
                      <a:fillRect/>
                    </a:stretch>
                  </pic:blipFill>
                  <pic:spPr>
                    <a:xfrm>
                      <a:off x="0" y="0"/>
                      <a:ext cx="5040000" cy="3694320"/>
                    </a:xfrm>
                    <a:prstGeom prst="rect"/>
                  </pic:spPr>
                </pic:pic>
              </a:graphicData>
            </a:graphic>
          </wp:inline>
        </w:drawing>
      </w:r>
    </w:p>
    <w:p>
      <w:pPr>
        <w:spacing w:after="160"/>
        <w:jc w:val="center"/>
      </w:pPr>
      <w:r>
        <w:rPr>
          <w:rFonts w:ascii="Times New Roman" w:hAnsi="Times New Roman"/>
          <w:i/>
          <w:sz w:val="20"/>
        </w:rPr>
        <w:t>Şekil 7. Sistemin bağlantı şeması (pin atamaları ve güç dağıtımı).</w:t>
      </w:r>
    </w:p>
    <w:p>
      <w:pPr>
        <w:spacing w:after="120" w:before="80"/>
        <w:jc w:val="both"/>
      </w:pPr>
      <w:r>
        <w:rPr>
          <w:rFonts w:ascii="Times New Roman" w:hAnsi="Times New Roman"/>
          <w:b w:val="0"/>
          <w:i w:val="0"/>
          <w:sz w:val="22"/>
        </w:rPr>
        <w:t>Çoğu röle modülü ters (active-LOW) çalıştığı için yazılımda röle polaritesi tek bir bayrakla ayarlanabilir hale getirilmiştir. Ayrıca alev sensörü olmadan test için bir “sahte alarm” girişi (D3, GND'ye çekilince tetiklenir) eklenmiştir.</w:t>
      </w:r>
    </w:p>
    <w:p>
      <w:pPr>
        <w:spacing w:after="120" w:before="200"/>
        <w:jc w:val="left"/>
      </w:pPr>
      <w:r>
        <w:rPr>
          <w:rFonts w:ascii="Times New Roman" w:hAnsi="Times New Roman"/>
          <w:b/>
          <w:i w:val="0"/>
          <w:sz w:val="24"/>
        </w:rPr>
        <w:t>5. YAZILIM VE KONTROL ALGORİTMASI</w:t>
      </w:r>
    </w:p>
    <w:p>
      <w:pPr>
        <w:spacing w:after="120" w:before="0"/>
        <w:jc w:val="both"/>
      </w:pPr>
      <w:r>
        <w:rPr>
          <w:rFonts w:ascii="Times New Roman" w:hAnsi="Times New Roman"/>
          <w:b w:val="0"/>
          <w:i w:val="0"/>
          <w:sz w:val="22"/>
        </w:rPr>
        <w:t>Gömülü yazılım, bloklamayan (millis tabanlı) bir döngüde durum makinesini işletir; aynı anda servo konumlarını günceller, alev sensörünü okur ve seri port üzerinden telemetri yayınlar. Yanlış alarmı engellemek için tespit, ardışık üç okuma ile doğrulanır. PC tarafındaki dijital ikiz, Web Serial API ile karta bağlanarak gerçek açıları/pompa durumunu görselleştirir ve Başlat/Durdur, tarama hızı ile tolerans komutlarını gönderir. Böylece kontrol mantığı, donanım kurulmadan doğrulanabilir.</w:t>
      </w:r>
    </w:p>
    <w:p>
      <w:pPr>
        <w:spacing w:after="120" w:before="200"/>
        <w:jc w:val="left"/>
      </w:pPr>
      <w:r>
        <w:rPr>
          <w:rFonts w:ascii="Times New Roman" w:hAnsi="Times New Roman"/>
          <w:b/>
          <w:i w:val="0"/>
          <w:sz w:val="24"/>
        </w:rPr>
        <w:t>6. SEMBOLLER VE KISALTMALAR</w:t>
      </w:r>
    </w:p>
    <w:p>
      <w:pPr>
        <w:spacing w:after="40"/>
      </w:pPr>
      <w:r>
        <w:rPr>
          <w:rFonts w:ascii="Times New Roman" w:hAnsi="Times New Roman"/>
          <w:b/>
          <w:sz w:val="22"/>
        </w:rPr>
        <w:t>a</w:t>
        <w:tab/>
      </w:r>
      <w:r>
        <w:rPr>
          <w:rFonts w:ascii="Times New Roman" w:hAnsi="Times New Roman"/>
          <w:sz w:val="22"/>
        </w:rPr>
        <w:t>Servo açısı (0–180°)</w:t>
      </w:r>
    </w:p>
    <w:p>
      <w:pPr>
        <w:spacing w:after="40"/>
      </w:pPr>
      <w:r>
        <w:rPr>
          <w:rFonts w:ascii="Times New Roman" w:hAnsi="Times New Roman"/>
          <w:b/>
          <w:sz w:val="22"/>
        </w:rPr>
        <w:t>θ</w:t>
        <w:tab/>
      </w:r>
      <w:r>
        <w:rPr>
          <w:rFonts w:ascii="Times New Roman" w:hAnsi="Times New Roman"/>
          <w:sz w:val="22"/>
        </w:rPr>
        <w:t>Yaw (yatay) eksen dönüş açısı</w:t>
      </w:r>
    </w:p>
    <w:p>
      <w:pPr>
        <w:spacing w:after="40"/>
      </w:pPr>
      <w:r>
        <w:rPr>
          <w:rFonts w:ascii="Times New Roman" w:hAnsi="Times New Roman"/>
          <w:b/>
          <w:sz w:val="22"/>
        </w:rPr>
        <w:t>g</w:t>
        <w:tab/>
      </w:r>
      <w:r>
        <w:rPr>
          <w:rFonts w:ascii="Times New Roman" w:hAnsi="Times New Roman"/>
          <w:sz w:val="22"/>
        </w:rPr>
        <w:t>Yerçekimi ivmesi</w:t>
      </w:r>
    </w:p>
    <w:p>
      <w:pPr>
        <w:spacing w:after="40"/>
      </w:pPr>
      <w:r>
        <w:rPr>
          <w:rFonts w:ascii="Times New Roman" w:hAnsi="Times New Roman"/>
          <w:b/>
          <w:sz w:val="22"/>
        </w:rPr>
        <w:t>t_f</w:t>
        <w:tab/>
      </w:r>
      <w:r>
        <w:rPr>
          <w:rFonts w:ascii="Times New Roman" w:hAnsi="Times New Roman"/>
          <w:sz w:val="22"/>
        </w:rPr>
        <w:t>Su partikülünün uçuş süresi</w:t>
      </w:r>
    </w:p>
    <w:p>
      <w:pPr>
        <w:spacing w:after="40"/>
      </w:pPr>
      <w:r>
        <w:rPr>
          <w:rFonts w:ascii="Times New Roman" w:hAnsi="Times New Roman"/>
          <w:b/>
          <w:sz w:val="22"/>
        </w:rPr>
        <w:t>IR</w:t>
        <w:tab/>
      </w:r>
      <w:r>
        <w:rPr>
          <w:rFonts w:ascii="Times New Roman" w:hAnsi="Times New Roman"/>
          <w:sz w:val="22"/>
        </w:rPr>
        <w:t>Kızılötesi (Infrared)</w:t>
      </w:r>
    </w:p>
    <w:p>
      <w:pPr>
        <w:spacing w:after="40"/>
      </w:pPr>
      <w:r>
        <w:rPr>
          <w:rFonts w:ascii="Times New Roman" w:hAnsi="Times New Roman"/>
          <w:b/>
          <w:sz w:val="22"/>
        </w:rPr>
        <w:t>HIL</w:t>
        <w:tab/>
      </w:r>
      <w:r>
        <w:rPr>
          <w:rFonts w:ascii="Times New Roman" w:hAnsi="Times New Roman"/>
          <w:sz w:val="22"/>
        </w:rPr>
        <w:t>Donanım-içinde-döngü (Hardware-in-the-loop)</w:t>
      </w:r>
    </w:p>
    <w:p>
      <w:pPr>
        <w:spacing w:after="40"/>
      </w:pPr>
      <w:r>
        <w:rPr>
          <w:rFonts w:ascii="Times New Roman" w:hAnsi="Times New Roman"/>
          <w:b/>
          <w:sz w:val="22"/>
        </w:rPr>
        <w:t>PWM</w:t>
        <w:tab/>
      </w:r>
      <w:r>
        <w:rPr>
          <w:rFonts w:ascii="Times New Roman" w:hAnsi="Times New Roman"/>
          <w:sz w:val="22"/>
        </w:rPr>
        <w:t>Darbe Genişlik Modülasyonu</w:t>
      </w:r>
    </w:p>
    <w:p>
      <w:pPr>
        <w:spacing w:after="40"/>
      </w:pPr>
      <w:r>
        <w:rPr>
          <w:rFonts w:ascii="Times New Roman" w:hAnsi="Times New Roman"/>
          <w:b/>
          <w:sz w:val="22"/>
        </w:rPr>
        <w:t>PLA/PETG</w:t>
        <w:tab/>
      </w:r>
      <w:r>
        <w:rPr>
          <w:rFonts w:ascii="Times New Roman" w:hAnsi="Times New Roman"/>
          <w:sz w:val="22"/>
        </w:rPr>
        <w:t>3B baskı termoplastikleri</w:t>
      </w:r>
    </w:p>
    <w:p>
      <w:pPr>
        <w:spacing w:after="120" w:before="200"/>
        <w:jc w:val="left"/>
      </w:pPr>
      <w:r>
        <w:rPr>
          <w:rFonts w:ascii="Times New Roman" w:hAnsi="Times New Roman"/>
          <w:b/>
          <w:i w:val="0"/>
          <w:sz w:val="24"/>
        </w:rPr>
        <w:t>7. DENKLEMLER</w:t>
      </w:r>
    </w:p>
    <w:p>
      <w:pPr>
        <w:spacing w:after="40" w:before="0"/>
        <w:jc w:val="both"/>
      </w:pPr>
      <w:r>
        <w:rPr>
          <w:rFonts w:ascii="Times New Roman" w:hAnsi="Times New Roman"/>
          <w:b w:val="0"/>
          <w:i w:val="0"/>
          <w:sz w:val="22"/>
        </w:rPr>
        <w:t>Sensörün/nozülün baktığı yatay yön, servo açısı a (0–180°) ile yaw dönüşü arasında θ = (a − 90)° bağıntısıyla ilişkilendirilir; ileri yön (+Z) a = 90°'ye karşılık gelir:</w:t>
      </w:r>
    </w:p>
    <w:p>
      <w:pPr>
        <w:spacing w:after="120" w:before="0"/>
        <w:jc w:val="left"/>
      </w:pPr>
      <w:r>
        <w:rPr>
          <w:rFonts w:ascii="Times New Roman" w:hAnsi="Times New Roman"/>
          <w:b w:val="0"/>
          <w:i w:val="0"/>
          <w:sz w:val="22"/>
        </w:rPr>
        <w:t xml:space="preserve">        θ = (a − 90)°            (1)</w:t>
      </w:r>
    </w:p>
    <w:p>
      <w:pPr>
        <w:spacing w:after="40" w:before="0"/>
        <w:jc w:val="both"/>
      </w:pPr>
      <w:r>
        <w:rPr>
          <w:rFonts w:ascii="Times New Roman" w:hAnsi="Times New Roman"/>
          <w:b w:val="0"/>
          <w:i w:val="0"/>
          <w:sz w:val="22"/>
        </w:rPr>
        <w:t>Bir yangının (x, z) konumu için gereken servo açısı, yön açısından elde edilir:</w:t>
      </w:r>
    </w:p>
    <w:p>
      <w:pPr>
        <w:spacing w:after="120" w:before="0"/>
        <w:jc w:val="left"/>
      </w:pPr>
      <w:r>
        <w:rPr>
          <w:rFonts w:ascii="Times New Roman" w:hAnsi="Times New Roman"/>
          <w:b w:val="0"/>
          <w:i w:val="0"/>
          <w:sz w:val="22"/>
        </w:rPr>
        <w:t xml:space="preserve">        a = atan2(x, z)·180/π + 90            (2)</w:t>
      </w:r>
    </w:p>
    <w:p>
      <w:pPr>
        <w:spacing w:after="40" w:before="0"/>
        <w:jc w:val="both"/>
      </w:pPr>
      <w:r>
        <w:rPr>
          <w:rFonts w:ascii="Times New Roman" w:hAnsi="Times New Roman"/>
          <w:b w:val="0"/>
          <w:i w:val="0"/>
          <w:sz w:val="22"/>
        </w:rPr>
        <w:t>Su partikülü balistik olarak modellenir; nozül ucu P₀'dan hedefe t_f sürede ulaşacak başlangıç hızı, y(t) = y₀ + v_y·t − ½·g·t² hareketinden çözülür:</w:t>
      </w:r>
    </w:p>
    <w:p>
      <w:pPr>
        <w:spacing w:after="120" w:before="0"/>
        <w:jc w:val="left"/>
      </w:pPr>
      <w:r>
        <w:rPr>
          <w:rFonts w:ascii="Times New Roman" w:hAnsi="Times New Roman"/>
          <w:b w:val="0"/>
          <w:i w:val="0"/>
          <w:sz w:val="22"/>
        </w:rPr>
        <w:t xml:space="preserve">        v = (T − P₀)/t_f + ½·g·t_f            (3)</w:t>
      </w:r>
    </w:p>
    <w:p>
      <w:pPr>
        <w:spacing w:after="120" w:before="0"/>
        <w:jc w:val="both"/>
      </w:pPr>
      <w:r>
        <w:rPr>
          <w:rFonts w:ascii="Times New Roman" w:hAnsi="Times New Roman"/>
          <w:b w:val="0"/>
          <w:i w:val="0"/>
          <w:sz w:val="22"/>
        </w:rPr>
        <w:t>Burada T hedef konumu, g yerçekimi ivmesi, t_f uçuş süresidir. (1)–(3) bağıntıları hem benzetimde hem de kontrol mantığında kullanılmıştır.</w:t>
      </w:r>
    </w:p>
    <w:p>
      <w:pPr>
        <w:spacing w:after="120" w:before="200"/>
        <w:jc w:val="left"/>
      </w:pPr>
      <w:r>
        <w:rPr>
          <w:rFonts w:ascii="Times New Roman" w:hAnsi="Times New Roman"/>
          <w:b/>
          <w:i w:val="0"/>
          <w:sz w:val="24"/>
        </w:rPr>
        <w:t>8. ÇEVRESEL ETKİ ANALİZİ</w:t>
      </w:r>
    </w:p>
    <w:p>
      <w:pPr>
        <w:spacing w:after="80" w:before="0"/>
        <w:jc w:val="both"/>
      </w:pPr>
      <w:r>
        <w:rPr>
          <w:rFonts w:ascii="Times New Roman" w:hAnsi="Times New Roman"/>
          <w:b w:val="0"/>
          <w:i/>
          <w:sz w:val="22"/>
        </w:rPr>
        <w:t>Tablo 1. Çevre etkisi ve sürdürülebilirlik tablosu</w:t>
      </w:r>
    </w:p>
    <w:tbl>
      <w:tblPr>
        <w:tblStyle w:val="TableGrid"/>
        <w:tblW w:type="auto" w:w="0"/>
        <w:jc w:val="center"/>
        <w:tblLook w:firstColumn="1" w:firstRow="1" w:lastColumn="0" w:lastRow="0" w:noHBand="0" w:noVBand="1" w:val="04A0"/>
      </w:tblPr>
      <w:tblGrid>
        <w:gridCol w:w="4819"/>
        <w:gridCol w:w="1304"/>
        <w:gridCol w:w="3402"/>
      </w:tblGrid>
      <w:tr>
        <w:tc>
          <w:tcPr>
            <w:tcW w:type="dxa" w:w="2880"/>
          </w:tcPr>
          <w:p>
            <w:r/>
            <w:r>
              <w:rPr>
                <w:rFonts w:ascii="Times New Roman" w:hAnsi="Times New Roman"/>
                <w:b/>
                <w:sz w:val="19"/>
              </w:rPr>
              <w:t>Soru</w:t>
            </w:r>
          </w:p>
        </w:tc>
        <w:tc>
          <w:tcPr>
            <w:tcW w:type="dxa" w:w="2880"/>
          </w:tcPr>
          <w:p>
            <w:r/>
            <w:r>
              <w:rPr>
                <w:rFonts w:ascii="Times New Roman" w:hAnsi="Times New Roman"/>
                <w:b/>
                <w:sz w:val="19"/>
              </w:rPr>
              <w:t>EVET/HAYIR</w:t>
            </w:r>
          </w:p>
        </w:tc>
        <w:tc>
          <w:tcPr>
            <w:tcW w:type="dxa" w:w="2880"/>
          </w:tcPr>
          <w:p>
            <w:r/>
            <w:r>
              <w:rPr>
                <w:rFonts w:ascii="Times New Roman" w:hAnsi="Times New Roman"/>
                <w:b/>
                <w:sz w:val="19"/>
              </w:rPr>
              <w:t>AÇIKLAMA</w:t>
            </w:r>
          </w:p>
        </w:tc>
      </w:tr>
      <w:tr>
        <w:tc>
          <w:tcPr>
            <w:tcW w:type="dxa" w:w="2880"/>
          </w:tcPr>
          <w:p>
            <w:r/>
            <w:r>
              <w:rPr>
                <w:rFonts w:ascii="Times New Roman" w:hAnsi="Times New Roman"/>
                <w:sz w:val="19"/>
              </w:rPr>
              <w:t>Yenilenebilir enerji kaynaklarına yönelik faaliyet içeriyor mu?</w:t>
            </w:r>
          </w:p>
        </w:tc>
        <w:tc>
          <w:tcPr>
            <w:tcW w:type="dxa" w:w="2880"/>
          </w:tcPr>
          <w:p>
            <w:r/>
            <w:r>
              <w:rPr>
                <w:rFonts w:ascii="Times New Roman" w:hAnsi="Times New Roman"/>
                <w:sz w:val="19"/>
              </w:rPr>
              <w:t>Hayır</w:t>
            </w:r>
          </w:p>
        </w:tc>
        <w:tc>
          <w:tcPr>
            <w:tcW w:type="dxa" w:w="2880"/>
          </w:tcPr>
          <w:p>
            <w:r/>
            <w:r>
              <w:rPr>
                <w:rFonts w:ascii="Times New Roman" w:hAnsi="Times New Roman"/>
                <w:sz w:val="19"/>
              </w:rPr>
              <w:t>Doğrudan içermez; ancak düşük güçle çalışır ve güneş paneli ile beslenmeye uygundur.</w:t>
            </w:r>
          </w:p>
        </w:tc>
      </w:tr>
      <w:tr>
        <w:tc>
          <w:tcPr>
            <w:tcW w:type="dxa" w:w="2880"/>
          </w:tcPr>
          <w:p>
            <w:r/>
            <w:r>
              <w:rPr>
                <w:rFonts w:ascii="Times New Roman" w:hAnsi="Times New Roman"/>
                <w:sz w:val="19"/>
              </w:rPr>
              <w:t>Çevresel sürdürülebilirliğe yönelik faaliyet içeriyor mu?</w:t>
            </w:r>
          </w:p>
        </w:tc>
        <w:tc>
          <w:tcPr>
            <w:tcW w:type="dxa" w:w="2880"/>
          </w:tcPr>
          <w:p>
            <w:r/>
            <w:r>
              <w:rPr>
                <w:rFonts w:ascii="Times New Roman" w:hAnsi="Times New Roman"/>
                <w:sz w:val="19"/>
              </w:rPr>
              <w:t>Evet</w:t>
            </w:r>
          </w:p>
        </w:tc>
        <w:tc>
          <w:tcPr>
            <w:tcW w:type="dxa" w:w="2880"/>
          </w:tcPr>
          <w:p>
            <w:r/>
            <w:r>
              <w:rPr>
                <w:rFonts w:ascii="Times New Roman" w:hAnsi="Times New Roman"/>
                <w:sz w:val="19"/>
              </w:rPr>
              <w:t>Erken yangın tespiti orman/çevre yangınlarının yayılmasını önlemeye katkı sağlar; söndürmede yalnızca su kullanılır, kimyasal yoktur.</w:t>
            </w:r>
          </w:p>
        </w:tc>
      </w:tr>
      <w:tr>
        <w:tc>
          <w:tcPr>
            <w:tcW w:type="dxa" w:w="2880"/>
          </w:tcPr>
          <w:p>
            <w:r/>
            <w:r>
              <w:rPr>
                <w:rFonts w:ascii="Times New Roman" w:hAnsi="Times New Roman"/>
                <w:sz w:val="19"/>
              </w:rPr>
              <w:t>Tarımsal sürdürülebilirliğe yönelik faaliyet içeriyor mu?</w:t>
            </w:r>
          </w:p>
        </w:tc>
        <w:tc>
          <w:tcPr>
            <w:tcW w:type="dxa" w:w="2880"/>
          </w:tcPr>
          <w:p>
            <w:r/>
            <w:r>
              <w:rPr>
                <w:rFonts w:ascii="Times New Roman" w:hAnsi="Times New Roman"/>
                <w:sz w:val="19"/>
              </w:rPr>
              <w:t>Evet</w:t>
            </w:r>
          </w:p>
        </w:tc>
        <w:tc>
          <w:tcPr>
            <w:tcW w:type="dxa" w:w="2880"/>
          </w:tcPr>
          <w:p>
            <w:r/>
            <w:r>
              <w:rPr>
                <w:rFonts w:ascii="Times New Roman" w:hAnsi="Times New Roman"/>
                <w:sz w:val="19"/>
              </w:rPr>
              <w:t>Tarla/sera/ahır gibi tarımsal alanların yangından korunmasında kullanılabilir.</w:t>
            </w:r>
          </w:p>
        </w:tc>
      </w:tr>
      <w:tr>
        <w:tc>
          <w:tcPr>
            <w:tcW w:type="dxa" w:w="2880"/>
          </w:tcPr>
          <w:p>
            <w:r/>
            <w:r>
              <w:rPr>
                <w:rFonts w:ascii="Times New Roman" w:hAnsi="Times New Roman"/>
                <w:sz w:val="19"/>
              </w:rPr>
              <w:t>Geri dönüşüm uygulamalarına yönelik faaliyet içeriyor mu?</w:t>
            </w:r>
          </w:p>
        </w:tc>
        <w:tc>
          <w:tcPr>
            <w:tcW w:type="dxa" w:w="2880"/>
          </w:tcPr>
          <w:p>
            <w:r/>
            <w:r>
              <w:rPr>
                <w:rFonts w:ascii="Times New Roman" w:hAnsi="Times New Roman"/>
                <w:sz w:val="19"/>
              </w:rPr>
              <w:t>Kısmen</w:t>
            </w:r>
          </w:p>
        </w:tc>
        <w:tc>
          <w:tcPr>
            <w:tcW w:type="dxa" w:w="2880"/>
          </w:tcPr>
          <w:p>
            <w:r/>
            <w:r>
              <w:rPr>
                <w:rFonts w:ascii="Times New Roman" w:hAnsi="Times New Roman"/>
                <w:sz w:val="19"/>
              </w:rPr>
              <w:t>Parçalar geri dönüştürülebilir PLA/PETG ile basılır; baskı atıkları tekrar değerlendirilebilir.</w:t>
            </w:r>
          </w:p>
        </w:tc>
      </w:tr>
      <w:tr>
        <w:tc>
          <w:tcPr>
            <w:tcW w:type="dxa" w:w="2880"/>
          </w:tcPr>
          <w:p>
            <w:r/>
            <w:r>
              <w:rPr>
                <w:rFonts w:ascii="Times New Roman" w:hAnsi="Times New Roman"/>
                <w:sz w:val="19"/>
              </w:rPr>
              <w:t>Zararlı gazların tespit/kontrolüne yönelik faaliyet içeriyor mu?</w:t>
            </w:r>
          </w:p>
        </w:tc>
        <w:tc>
          <w:tcPr>
            <w:tcW w:type="dxa" w:w="2880"/>
          </w:tcPr>
          <w:p>
            <w:r/>
            <w:r>
              <w:rPr>
                <w:rFonts w:ascii="Times New Roman" w:hAnsi="Times New Roman"/>
                <w:sz w:val="19"/>
              </w:rPr>
              <w:t>Hayır</w:t>
            </w:r>
          </w:p>
        </w:tc>
        <w:tc>
          <w:tcPr>
            <w:tcW w:type="dxa" w:w="2880"/>
          </w:tcPr>
          <w:p>
            <w:r/>
            <w:r>
              <w:rPr>
                <w:rFonts w:ascii="Times New Roman" w:hAnsi="Times New Roman"/>
                <w:sz w:val="19"/>
              </w:rPr>
              <w:t>Sistem alev/IR tespiti yapar; gaz sensörü ile genişletilebilir.</w:t>
            </w:r>
          </w:p>
        </w:tc>
      </w:tr>
      <w:tr>
        <w:tc>
          <w:tcPr>
            <w:tcW w:type="dxa" w:w="2880"/>
          </w:tcPr>
          <w:p>
            <w:r/>
            <w:r>
              <w:rPr>
                <w:rFonts w:ascii="Times New Roman" w:hAnsi="Times New Roman"/>
                <w:sz w:val="19"/>
              </w:rPr>
              <w:t>Faydalı gazların tespit/kontrolüne yönelik faaliyet içeriyor mu?</w:t>
            </w:r>
          </w:p>
        </w:tc>
        <w:tc>
          <w:tcPr>
            <w:tcW w:type="dxa" w:w="2880"/>
          </w:tcPr>
          <w:p>
            <w:r/>
            <w:r>
              <w:rPr>
                <w:rFonts w:ascii="Times New Roman" w:hAnsi="Times New Roman"/>
                <w:sz w:val="19"/>
              </w:rPr>
              <w:t>Hayır</w:t>
            </w:r>
          </w:p>
        </w:tc>
        <w:tc>
          <w:tcPr>
            <w:tcW w:type="dxa" w:w="2880"/>
          </w:tcPr>
          <w:p>
            <w:r/>
            <w:r>
              <w:rPr>
                <w:rFonts w:ascii="Times New Roman" w:hAnsi="Times New Roman"/>
                <w:sz w:val="19"/>
              </w:rPr>
              <w:t>Kapsam dışıdır.</w:t>
            </w:r>
          </w:p>
        </w:tc>
      </w:tr>
      <w:tr>
        <w:tc>
          <w:tcPr>
            <w:tcW w:type="dxa" w:w="2880"/>
          </w:tcPr>
          <w:p>
            <w:r/>
            <w:r>
              <w:rPr>
                <w:rFonts w:ascii="Times New Roman" w:hAnsi="Times New Roman"/>
                <w:sz w:val="19"/>
              </w:rPr>
              <w:t>Enerji tüketiminin azaltılmasına yönelik faaliyet içeriyor mu?</w:t>
            </w:r>
          </w:p>
        </w:tc>
        <w:tc>
          <w:tcPr>
            <w:tcW w:type="dxa" w:w="2880"/>
          </w:tcPr>
          <w:p>
            <w:r/>
            <w:r>
              <w:rPr>
                <w:rFonts w:ascii="Times New Roman" w:hAnsi="Times New Roman"/>
                <w:sz w:val="19"/>
              </w:rPr>
              <w:t>Evet</w:t>
            </w:r>
          </w:p>
        </w:tc>
        <w:tc>
          <w:tcPr>
            <w:tcW w:type="dxa" w:w="2880"/>
          </w:tcPr>
          <w:p>
            <w:r/>
            <w:r>
              <w:rPr>
                <w:rFonts w:ascii="Times New Roman" w:hAnsi="Times New Roman"/>
                <w:sz w:val="19"/>
              </w:rPr>
              <w:t>Düşük güçlü mikrodenetleyici kullanılır; pompa yalnızca yangın anında çalışır, bekleme tüketimi düşüktür.</w:t>
            </w:r>
          </w:p>
        </w:tc>
      </w:tr>
    </w:tbl>
    <w:p/>
    <w:p>
      <w:pPr>
        <w:spacing w:after="120" w:before="200"/>
        <w:jc w:val="left"/>
      </w:pPr>
      <w:r>
        <w:rPr>
          <w:rFonts w:ascii="Times New Roman" w:hAnsi="Times New Roman"/>
          <w:b/>
          <w:i w:val="0"/>
          <w:sz w:val="24"/>
        </w:rPr>
        <w:t>9. MALİYET ANALİZİ TABLOSU</w:t>
      </w:r>
    </w:p>
    <w:p>
      <w:pPr>
        <w:spacing w:after="80" w:before="0"/>
        <w:jc w:val="both"/>
      </w:pPr>
      <w:r>
        <w:rPr>
          <w:rFonts w:ascii="Times New Roman" w:hAnsi="Times New Roman"/>
          <w:b w:val="0"/>
          <w:i/>
          <w:sz w:val="22"/>
        </w:rPr>
        <w:t>Tablo 2. Maliyet analizi tablosu (yaklaşık, 2024–2025)</w:t>
      </w:r>
    </w:p>
    <w:tbl>
      <w:tblPr>
        <w:tblStyle w:val="TableGrid"/>
        <w:tblW w:type="auto" w:w="0"/>
        <w:jc w:val="center"/>
        <w:tblLook w:firstColumn="1" w:firstRow="1" w:lastColumn="0" w:lastRow="0" w:noHBand="0" w:noVBand="1" w:val="04A0"/>
      </w:tblPr>
      <w:tblGrid>
        <w:gridCol w:w="5386"/>
        <w:gridCol w:w="1134"/>
        <w:gridCol w:w="1984"/>
      </w:tblGrid>
      <w:tr>
        <w:tc>
          <w:tcPr>
            <w:tcW w:type="dxa" w:w="2880"/>
          </w:tcPr>
          <w:p>
            <w:r/>
            <w:r>
              <w:rPr>
                <w:rFonts w:ascii="Times New Roman" w:hAnsi="Times New Roman"/>
                <w:b/>
                <w:sz w:val="20"/>
              </w:rPr>
              <w:t>Maliyet Kalemi</w:t>
            </w:r>
          </w:p>
        </w:tc>
        <w:tc>
          <w:tcPr>
            <w:tcW w:type="dxa" w:w="2880"/>
          </w:tcPr>
          <w:p>
            <w:r/>
            <w:r>
              <w:rPr>
                <w:rFonts w:ascii="Times New Roman" w:hAnsi="Times New Roman"/>
                <w:b/>
                <w:sz w:val="20"/>
              </w:rPr>
              <w:t>Adet</w:t>
            </w:r>
          </w:p>
        </w:tc>
        <w:tc>
          <w:tcPr>
            <w:tcW w:type="dxa" w:w="2880"/>
          </w:tcPr>
          <w:p>
            <w:r/>
            <w:r>
              <w:rPr>
                <w:rFonts w:ascii="Times New Roman" w:hAnsi="Times New Roman"/>
                <w:b/>
                <w:sz w:val="20"/>
              </w:rPr>
              <w:t>Maliyet (TL)</w:t>
            </w:r>
          </w:p>
        </w:tc>
      </w:tr>
      <w:tr>
        <w:tc>
          <w:tcPr>
            <w:tcW w:type="dxa" w:w="2880"/>
          </w:tcPr>
          <w:p>
            <w:r/>
            <w:r>
              <w:rPr>
                <w:rFonts w:ascii="Times New Roman" w:hAnsi="Times New Roman"/>
                <w:sz w:val="20"/>
              </w:rPr>
              <w:t>Arduino UNO R3 (klon)</w:t>
            </w:r>
          </w:p>
        </w:tc>
        <w:tc>
          <w:tcPr>
            <w:tcW w:type="dxa" w:w="2880"/>
          </w:tcPr>
          <w:p>
            <w:r/>
            <w:r>
              <w:rPr>
                <w:rFonts w:ascii="Times New Roman" w:hAnsi="Times New Roman"/>
                <w:sz w:val="20"/>
              </w:rPr>
              <w:t>1</w:t>
            </w:r>
          </w:p>
        </w:tc>
        <w:tc>
          <w:tcPr>
            <w:tcW w:type="dxa" w:w="2880"/>
          </w:tcPr>
          <w:p>
            <w:r/>
            <w:r>
              <w:rPr>
                <w:rFonts w:ascii="Times New Roman" w:hAnsi="Times New Roman"/>
                <w:sz w:val="20"/>
              </w:rPr>
              <w:t>250</w:t>
            </w:r>
          </w:p>
        </w:tc>
      </w:tr>
      <w:tr>
        <w:tc>
          <w:tcPr>
            <w:tcW w:type="dxa" w:w="2880"/>
          </w:tcPr>
          <w:p>
            <w:r/>
            <w:r>
              <w:rPr>
                <w:rFonts w:ascii="Times New Roman" w:hAnsi="Times New Roman"/>
                <w:sz w:val="20"/>
              </w:rPr>
              <w:t>SG90 servo motor</w:t>
            </w:r>
          </w:p>
        </w:tc>
        <w:tc>
          <w:tcPr>
            <w:tcW w:type="dxa" w:w="2880"/>
          </w:tcPr>
          <w:p>
            <w:r/>
            <w:r>
              <w:rPr>
                <w:rFonts w:ascii="Times New Roman" w:hAnsi="Times New Roman"/>
                <w:sz w:val="20"/>
              </w:rPr>
              <w:t>2</w:t>
            </w:r>
          </w:p>
        </w:tc>
        <w:tc>
          <w:tcPr>
            <w:tcW w:type="dxa" w:w="2880"/>
          </w:tcPr>
          <w:p>
            <w:r/>
            <w:r>
              <w:rPr>
                <w:rFonts w:ascii="Times New Roman" w:hAnsi="Times New Roman"/>
                <w:sz w:val="20"/>
              </w:rPr>
              <w:t>120</w:t>
            </w:r>
          </w:p>
        </w:tc>
      </w:tr>
      <w:tr>
        <w:tc>
          <w:tcPr>
            <w:tcW w:type="dxa" w:w="2880"/>
          </w:tcPr>
          <w:p>
            <w:r/>
            <w:r>
              <w:rPr>
                <w:rFonts w:ascii="Times New Roman" w:hAnsi="Times New Roman"/>
                <w:sz w:val="20"/>
              </w:rPr>
              <w:t>Alev (IR) sensörü modülü</w:t>
            </w:r>
          </w:p>
        </w:tc>
        <w:tc>
          <w:tcPr>
            <w:tcW w:type="dxa" w:w="2880"/>
          </w:tcPr>
          <w:p>
            <w:r/>
            <w:r>
              <w:rPr>
                <w:rFonts w:ascii="Times New Roman" w:hAnsi="Times New Roman"/>
                <w:sz w:val="20"/>
              </w:rPr>
              <w:t>1</w:t>
            </w:r>
          </w:p>
        </w:tc>
        <w:tc>
          <w:tcPr>
            <w:tcW w:type="dxa" w:w="2880"/>
          </w:tcPr>
          <w:p>
            <w:r/>
            <w:r>
              <w:rPr>
                <w:rFonts w:ascii="Times New Roman" w:hAnsi="Times New Roman"/>
                <w:sz w:val="20"/>
              </w:rPr>
              <w:t>35</w:t>
            </w:r>
          </w:p>
        </w:tc>
      </w:tr>
      <w:tr>
        <w:tc>
          <w:tcPr>
            <w:tcW w:type="dxa" w:w="2880"/>
          </w:tcPr>
          <w:p>
            <w:r/>
            <w:r>
              <w:rPr>
                <w:rFonts w:ascii="Times New Roman" w:hAnsi="Times New Roman"/>
                <w:sz w:val="20"/>
              </w:rPr>
              <w:t>1 kanal röle modülü</w:t>
            </w:r>
          </w:p>
        </w:tc>
        <w:tc>
          <w:tcPr>
            <w:tcW w:type="dxa" w:w="2880"/>
          </w:tcPr>
          <w:p>
            <w:r/>
            <w:r>
              <w:rPr>
                <w:rFonts w:ascii="Times New Roman" w:hAnsi="Times New Roman"/>
                <w:sz w:val="20"/>
              </w:rPr>
              <w:t>1</w:t>
            </w:r>
          </w:p>
        </w:tc>
        <w:tc>
          <w:tcPr>
            <w:tcW w:type="dxa" w:w="2880"/>
          </w:tcPr>
          <w:p>
            <w:r/>
            <w:r>
              <w:rPr>
                <w:rFonts w:ascii="Times New Roman" w:hAnsi="Times New Roman"/>
                <w:sz w:val="20"/>
              </w:rPr>
              <w:t>40</w:t>
            </w:r>
          </w:p>
        </w:tc>
      </w:tr>
      <w:tr>
        <w:tc>
          <w:tcPr>
            <w:tcW w:type="dxa" w:w="2880"/>
          </w:tcPr>
          <w:p>
            <w:r/>
            <w:r>
              <w:rPr>
                <w:rFonts w:ascii="Times New Roman" w:hAnsi="Times New Roman"/>
                <w:sz w:val="20"/>
              </w:rPr>
              <w:t>Mini DC su pompası</w:t>
            </w:r>
          </w:p>
        </w:tc>
        <w:tc>
          <w:tcPr>
            <w:tcW w:type="dxa" w:w="2880"/>
          </w:tcPr>
          <w:p>
            <w:r/>
            <w:r>
              <w:rPr>
                <w:rFonts w:ascii="Times New Roman" w:hAnsi="Times New Roman"/>
                <w:sz w:val="20"/>
              </w:rPr>
              <w:t>1</w:t>
            </w:r>
          </w:p>
        </w:tc>
        <w:tc>
          <w:tcPr>
            <w:tcW w:type="dxa" w:w="2880"/>
          </w:tcPr>
          <w:p>
            <w:r/>
            <w:r>
              <w:rPr>
                <w:rFonts w:ascii="Times New Roman" w:hAnsi="Times New Roman"/>
                <w:sz w:val="20"/>
              </w:rPr>
              <w:t>120</w:t>
            </w:r>
          </w:p>
        </w:tc>
      </w:tr>
      <w:tr>
        <w:tc>
          <w:tcPr>
            <w:tcW w:type="dxa" w:w="2880"/>
          </w:tcPr>
          <w:p>
            <w:r/>
            <w:r>
              <w:rPr>
                <w:rFonts w:ascii="Times New Roman" w:hAnsi="Times New Roman"/>
                <w:sz w:val="20"/>
              </w:rPr>
              <w:t>Silikon hortum + nozül ucu</w:t>
            </w:r>
          </w:p>
        </w:tc>
        <w:tc>
          <w:tcPr>
            <w:tcW w:type="dxa" w:w="2880"/>
          </w:tcPr>
          <w:p>
            <w:r/>
            <w:r>
              <w:rPr>
                <w:rFonts w:ascii="Times New Roman" w:hAnsi="Times New Roman"/>
                <w:sz w:val="20"/>
              </w:rPr>
              <w:t>1</w:t>
            </w:r>
          </w:p>
        </w:tc>
        <w:tc>
          <w:tcPr>
            <w:tcW w:type="dxa" w:w="2880"/>
          </w:tcPr>
          <w:p>
            <w:r/>
            <w:r>
              <w:rPr>
                <w:rFonts w:ascii="Times New Roman" w:hAnsi="Times New Roman"/>
                <w:sz w:val="20"/>
              </w:rPr>
              <w:t>40</w:t>
            </w:r>
          </w:p>
        </w:tc>
      </w:tr>
      <w:tr>
        <w:tc>
          <w:tcPr>
            <w:tcW w:type="dxa" w:w="2880"/>
          </w:tcPr>
          <w:p>
            <w:r/>
            <w:r>
              <w:rPr>
                <w:rFonts w:ascii="Times New Roman" w:hAnsi="Times New Roman"/>
                <w:sz w:val="20"/>
              </w:rPr>
              <w:t>Jumper kablo + prototip plaka</w:t>
            </w:r>
          </w:p>
        </w:tc>
        <w:tc>
          <w:tcPr>
            <w:tcW w:type="dxa" w:w="2880"/>
          </w:tcPr>
          <w:p>
            <w:r/>
            <w:r>
              <w:rPr>
                <w:rFonts w:ascii="Times New Roman" w:hAnsi="Times New Roman"/>
                <w:sz w:val="20"/>
              </w:rPr>
              <w:t>1</w:t>
            </w:r>
          </w:p>
        </w:tc>
        <w:tc>
          <w:tcPr>
            <w:tcW w:type="dxa" w:w="2880"/>
          </w:tcPr>
          <w:p>
            <w:r/>
            <w:r>
              <w:rPr>
                <w:rFonts w:ascii="Times New Roman" w:hAnsi="Times New Roman"/>
                <w:sz w:val="20"/>
              </w:rPr>
              <w:t>80</w:t>
            </w:r>
          </w:p>
        </w:tc>
      </w:tr>
      <w:tr>
        <w:tc>
          <w:tcPr>
            <w:tcW w:type="dxa" w:w="2880"/>
          </w:tcPr>
          <w:p>
            <w:r/>
            <w:r>
              <w:rPr>
                <w:rFonts w:ascii="Times New Roman" w:hAnsi="Times New Roman"/>
                <w:sz w:val="20"/>
              </w:rPr>
              <w:t>5 V güç adaptörü</w:t>
            </w:r>
          </w:p>
        </w:tc>
        <w:tc>
          <w:tcPr>
            <w:tcW w:type="dxa" w:w="2880"/>
          </w:tcPr>
          <w:p>
            <w:r/>
            <w:r>
              <w:rPr>
                <w:rFonts w:ascii="Times New Roman" w:hAnsi="Times New Roman"/>
                <w:sz w:val="20"/>
              </w:rPr>
              <w:t>1</w:t>
            </w:r>
          </w:p>
        </w:tc>
        <w:tc>
          <w:tcPr>
            <w:tcW w:type="dxa" w:w="2880"/>
          </w:tcPr>
          <w:p>
            <w:r/>
            <w:r>
              <w:rPr>
                <w:rFonts w:ascii="Times New Roman" w:hAnsi="Times New Roman"/>
                <w:sz w:val="20"/>
              </w:rPr>
              <w:t>150</w:t>
            </w:r>
          </w:p>
        </w:tc>
      </w:tr>
      <w:tr>
        <w:tc>
          <w:tcPr>
            <w:tcW w:type="dxa" w:w="2880"/>
          </w:tcPr>
          <w:p>
            <w:r/>
            <w:r>
              <w:rPr>
                <w:rFonts w:ascii="Times New Roman" w:hAnsi="Times New Roman"/>
                <w:sz w:val="20"/>
              </w:rPr>
              <w:t>3B baskı filamenti (~250 g PLA/PETG)</w:t>
            </w:r>
          </w:p>
        </w:tc>
        <w:tc>
          <w:tcPr>
            <w:tcW w:type="dxa" w:w="2880"/>
          </w:tcPr>
          <w:p>
            <w:r/>
            <w:r>
              <w:rPr>
                <w:rFonts w:ascii="Times New Roman" w:hAnsi="Times New Roman"/>
                <w:sz w:val="20"/>
              </w:rPr>
              <w:t>-</w:t>
            </w:r>
          </w:p>
        </w:tc>
        <w:tc>
          <w:tcPr>
            <w:tcW w:type="dxa" w:w="2880"/>
          </w:tcPr>
          <w:p>
            <w:r/>
            <w:r>
              <w:rPr>
                <w:rFonts w:ascii="Times New Roman" w:hAnsi="Times New Roman"/>
                <w:sz w:val="20"/>
              </w:rPr>
              <w:t>130</w:t>
            </w:r>
          </w:p>
        </w:tc>
      </w:tr>
      <w:tr>
        <w:tc>
          <w:tcPr>
            <w:tcW w:type="dxa" w:w="2880"/>
          </w:tcPr>
          <w:p>
            <w:r/>
            <w:r>
              <w:rPr>
                <w:rFonts w:ascii="Times New Roman" w:hAnsi="Times New Roman"/>
                <w:sz w:val="20"/>
              </w:rPr>
              <w:t>Vida/somun (M2 / M3) seti</w:t>
            </w:r>
          </w:p>
        </w:tc>
        <w:tc>
          <w:tcPr>
            <w:tcW w:type="dxa" w:w="2880"/>
          </w:tcPr>
          <w:p>
            <w:r/>
            <w:r>
              <w:rPr>
                <w:rFonts w:ascii="Times New Roman" w:hAnsi="Times New Roman"/>
                <w:sz w:val="20"/>
              </w:rPr>
              <w:t>-</w:t>
            </w:r>
          </w:p>
        </w:tc>
        <w:tc>
          <w:tcPr>
            <w:tcW w:type="dxa" w:w="2880"/>
          </w:tcPr>
          <w:p>
            <w:r/>
            <w:r>
              <w:rPr>
                <w:rFonts w:ascii="Times New Roman" w:hAnsi="Times New Roman"/>
                <w:sz w:val="20"/>
              </w:rPr>
              <w:t>60</w:t>
            </w:r>
          </w:p>
        </w:tc>
      </w:tr>
      <w:tr>
        <w:tc>
          <w:tcPr>
            <w:tcW w:type="dxa" w:w="2880"/>
          </w:tcPr>
          <w:p>
            <w:r/>
            <w:r>
              <w:rPr>
                <w:rFonts w:ascii="Times New Roman" w:hAnsi="Times New Roman"/>
                <w:b/>
                <w:sz w:val="20"/>
              </w:rPr>
              <w:t>TOPLAM</w:t>
            </w:r>
          </w:p>
        </w:tc>
        <w:tc>
          <w:tcPr>
            <w:tcW w:type="dxa" w:w="2880"/>
          </w:tcPr>
          <w:p>
            <w:r/>
            <w:r>
              <w:rPr>
                <w:rFonts w:ascii="Times New Roman" w:hAnsi="Times New Roman"/>
                <w:b/>
                <w:sz w:val="20"/>
              </w:rPr>
            </w:r>
          </w:p>
        </w:tc>
        <w:tc>
          <w:tcPr>
            <w:tcW w:type="dxa" w:w="2880"/>
          </w:tcPr>
          <w:p>
            <w:r/>
            <w:r>
              <w:rPr>
                <w:rFonts w:ascii="Times New Roman" w:hAnsi="Times New Roman"/>
                <w:b/>
                <w:sz w:val="20"/>
              </w:rPr>
              <w:t>1025</w:t>
            </w:r>
          </w:p>
        </w:tc>
      </w:tr>
    </w:tbl>
    <w:p>
      <w:pPr>
        <w:spacing w:after="120" w:before="80"/>
        <w:jc w:val="both"/>
      </w:pPr>
      <w:r>
        <w:rPr>
          <w:rFonts w:ascii="Times New Roman" w:hAnsi="Times New Roman"/>
          <w:b w:val="0"/>
          <w:i/>
          <w:sz w:val="19"/>
        </w:rPr>
        <w:t>Not: ESP32 tabanlı sürüm için Arduino yerine ESP32 DevKit (~200 TL) kullanılabilir.</w:t>
      </w:r>
    </w:p>
    <w:p>
      <w:pPr>
        <w:spacing w:after="120" w:before="200"/>
        <w:jc w:val="left"/>
      </w:pPr>
      <w:r>
        <w:rPr>
          <w:rFonts w:ascii="Times New Roman" w:hAnsi="Times New Roman"/>
          <w:b/>
          <w:i w:val="0"/>
          <w:sz w:val="24"/>
        </w:rPr>
        <w:t>10. KAYNAKÇA</w:t>
      </w:r>
    </w:p>
    <w:p>
      <w:pPr>
        <w:spacing w:after="40"/>
      </w:pPr>
      <w:r>
        <w:rPr>
          <w:rFonts w:ascii="Times New Roman" w:hAnsi="Times New Roman"/>
          <w:sz w:val="20"/>
        </w:rPr>
        <w:t>[1] Arduino, Arduino UNO R3 Teknik Dokümantasyonu, https://docs.arduino.cc, Erişim: 2025.</w:t>
      </w:r>
    </w:p>
    <w:p>
      <w:pPr>
        <w:spacing w:after="40"/>
      </w:pPr>
      <w:r>
        <w:rPr>
          <w:rFonts w:ascii="Times New Roman" w:hAnsi="Times New Roman"/>
          <w:sz w:val="20"/>
        </w:rPr>
        <w:t>[2] Tower Pro, SG90 9g Micro Servo Veri Sayfası.</w:t>
      </w:r>
    </w:p>
    <w:p>
      <w:pPr>
        <w:spacing w:after="40"/>
      </w:pPr>
      <w:r>
        <w:rPr>
          <w:rFonts w:ascii="Times New Roman" w:hAnsi="Times New Roman"/>
          <w:sz w:val="20"/>
        </w:rPr>
        <w:t>[3] three.js — JavaScript 3D Library, https://threejs.org.</w:t>
      </w:r>
    </w:p>
    <w:p>
      <w:pPr>
        <w:spacing w:after="40"/>
      </w:pPr>
      <w:r>
        <w:rPr>
          <w:rFonts w:ascii="Times New Roman" w:hAnsi="Times New Roman"/>
          <w:sz w:val="20"/>
        </w:rPr>
        <w:t>[4] Web Serial API, W3C/WICG Taslağı, https://wicg.github.io/serial.</w:t>
      </w:r>
    </w:p>
    <w:p>
      <w:pPr>
        <w:spacing w:after="40"/>
      </w:pPr>
      <w:r>
        <w:rPr>
          <w:rFonts w:ascii="Times New Roman" w:hAnsi="Times New Roman"/>
          <w:sz w:val="20"/>
        </w:rPr>
        <w:t>[5] manifold3d — Geometry library for topological robustness, https://github.com/elalish/manifold.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