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0B1220" w:val="clear"/>
          </w:tcPr>
          <w:p>
            <w:pPr>
              <w:spacing w:before="4800"/>
            </w:pPr>
          </w:p>
          <w:p>
            <w:pPr>
              <w:pBdr>
                <w:bottom w:val="single" w:color="37DCF2" w:sz="6" w:space="8"/>
              </w:pBdr>
              <w:spacing w:after="500"/>
              <w:ind w:left="1200" w:right="800"/>
            </w:pPr>
            <w:r>
              <w:rPr>
                <w:rFonts w:ascii="Calibri"/>
                <w:color w:val="37DCF2"/>
                <w:spacing w:val="40"/>
                <w:sz w:val="18"/>
                <w:szCs w:val="18"/>
              </w:rPr>
              <w:t xml:space="preserve">A R C H I T E C T U R E   A N A L Y S I S</w:t>
            </w:r>
          </w:p>
          <w:p>
            <w:pPr>
              <w:spacing w:after="60" w:line="828" w:lineRule="atLeast"/>
              <w:ind w:left="1200" w:right="800"/>
            </w:pPr>
            <w:r>
              <w:rPr>
                <w:rFonts w:ascii="Calibri"/>
                <w:b/>
                <w:bCs/>
                <w:color w:val="FFFFFF"/>
                <w:sz w:val="72"/>
                <w:szCs w:val="72"/>
              </w:rPr>
              <w:t xml:space="preserve">XORZEN Architecture:</w:t>
            </w:r>
          </w:p>
          <w:p>
            <w:pPr>
              <w:spacing w:after="60" w:line="828" w:lineRule="atLeast"/>
              <w:ind w:left="1200" w:right="800"/>
            </w:pPr>
            <w:r>
              <w:rPr>
                <w:rFonts w:ascii="Calibri"/>
                <w:b/>
                <w:bCs/>
                <w:color w:val="FFFFFF"/>
                <w:sz w:val="72"/>
                <w:szCs w:val="72"/>
              </w:rPr>
              <w:t xml:space="preserve">Technical Defense, Training</w:t>
            </w:r>
          </w:p>
          <w:p>
            <w:pPr>
              <w:spacing w:after="60" w:line="828" w:lineRule="atLeast"/>
              <w:ind w:left="1200" w:right="800"/>
            </w:pPr>
            <w:r>
              <w:rPr>
                <w:rFonts w:ascii="Calibri"/>
                <w:b/>
                <w:bCs/>
                <w:color w:val="FFFFFF"/>
                <w:sz w:val="72"/>
                <w:szCs w:val="72"/>
              </w:rPr>
              <w:t xml:space="preserve">Strategy &amp; Knowledge Transfer</w:t>
            </w:r>
          </w:p>
          <w:p>
            <w:pPr>
              <w:spacing w:after="400" w:before="200"/>
              <w:ind w:left="1200" w:right="800"/>
            </w:pPr>
            <w:r>
              <w:rPr>
                <w:rFonts w:ascii="Calibri"/>
                <w:color w:val="B0BEC5"/>
                <w:sz w:val="24"/>
                <w:szCs w:val="24"/>
              </w:rPr>
              <w:t xml:space="preserve">Professional Technical Assessment &amp; Strategic Training Roadmap</w:t>
            </w:r>
          </w:p>
          <w:p>
            <w:pPr>
              <w:pBdr>
                <w:left w:val="single" w:color="37DCF2" w:sz="8" w:space="12"/>
              </w:pBdr>
              <w:spacing w:after="60"/>
              <w:ind w:left="1200" w:right="800"/>
            </w:pPr>
            <w:r>
              <w:rPr>
                <w:rFonts w:ascii="Calibri"/>
                <w:color w:val="78909C"/>
                <w:sz w:val="20"/>
                <w:szCs w:val="20"/>
              </w:rPr>
              <w:t xml:space="preserve">XORZENX_zero Framework | v0.5</w:t>
            </w:r>
          </w:p>
          <w:p>
            <w:pPr>
              <w:pBdr>
                <w:left w:val="single" w:color="37DCF2" w:sz="8" w:space="12"/>
              </w:pBdr>
              <w:spacing w:after="60"/>
              <w:ind w:left="1200" w:right="800"/>
            </w:pPr>
            <w:r>
              <w:rPr>
                <w:rFonts w:ascii="Calibri"/>
                <w:color w:val="78909C"/>
                <w:sz w:val="20"/>
                <w:szCs w:val="20"/>
              </w:rPr>
              <w:t xml:space="preserve">September 2026</w:t>
            </w:r>
          </w:p>
          <w:p>
            <w:pPr>
              <w:pBdr>
                <w:left w:val="single" w:color="37DCF2" w:sz="8" w:space="12"/>
              </w:pBdr>
              <w:spacing w:after="60"/>
              <w:ind w:left="1200" w:right="800"/>
            </w:pPr>
            <w:r>
              <w:rPr>
                <w:rFonts w:ascii="Calibri"/>
                <w:color w:val="78909C"/>
                <w:sz w:val="20"/>
                <w:szCs w:val="20"/>
              </w:rPr>
              <w:t xml:space="preserve">Confidential</w:t>
            </w:r>
          </w:p>
          <w:p>
            <w:pPr>
              <w:spacing w:before="2000"/>
            </w:pPr>
          </w:p>
          <w:p>
            <w:pPr>
              <w:pBdr>
                <w:top w:val="single" w:color="37DCF2" w:sz="4" w:space="8"/>
              </w:pBdr>
              <w:spacing w:before="100"/>
              <w:ind w:left="1200" w:right="800"/>
            </w:pPr>
            <w:r>
              <w:rPr>
                <w:rFonts w:ascii="Calibri"/>
                <w:color w:val="546E7A"/>
                <w:sz w:val="16"/>
                <w:szCs w:val="16"/>
              </w:rPr>
              <w:t xml:space="preserve">XORZEN Architecture Analysis</w:t>
            </w:r>
          </w:p>
        </w:tc>
      </w:tr>
    </w:tbl>
    <w:p>
      <w:pPr>
        <w:sectPr>
          <w:pgSz w:w="11906" w:h="16838" w:orient="portrait"/>
          <w:pgMar w:top="0" w:right="0" w:bottom="0" w:left="0" w:header="708" w:footer="708" w:gutter="0"/>
          <w:pgNumType/>
          <w:docGrid w:linePitch="360"/>
        </w:sectPr>
      </w:pPr>
    </w:p>
    <w:p>
      <w:pPr>
        <w:spacing w:after="200" w:before="200"/>
      </w:pPr>
      <w:r>
        <w:rPr>
          <w:rFonts w:ascii="Calibri" w:eastAsia="SimHei"/>
          <w:b/>
          <w:bCs/>
          <w:color w:val="0B122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Part I: Architectural Design Defense</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The HASS Block: A Genuinely Sparse Hybrid Pathway System</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1.2 SlicedFFN: Genuine Per-Token Width Sparsity</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1.3 ShardedExpertFabric: Disk-Sharded MoE for Commodity Hardware</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1.4 Adaptive Router: Multi-Axis Conditional Computation</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Part II: Optimal Training Methodology for XORZEN Models</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2.1 Three-Phase Training Pipeline</w:t>
            </w:r>
            <w:r>
              <w:tab/>
            </w:r>
            <w:r>
              <w:fldChar w:fldCharType="begin"/>
            </w:r>
            <w:r>
              <w:instrText xml:space="preserve"> PAGEREF _Toc100007 \h </w:instrText>
            </w:r>
            <w:r>
              <w:fldChar w:fldCharType="separate"/>
            </w:r>
            <w:r>
              <w:t>4</w:t>
            </w:r>
            <w:r>
              <w:fldChar w:fldCharType="end"/>
            </w:r>
          </w:hyperlink>
        </w:p>
        <w:p>
          <w:pPr>
            <w:pStyle w:val="12"/>
            <w:ind w:left="720"/>
            <w:tabs>
              <w:tab w:val="right" w:leader="dot" w:pos="9026"/>
            </w:tabs>
            <w:spacing w:before="120" w:after="60"/>
          </w:pPr>
          <w:hyperlink w:anchor="_Toc100008" w:history="1">
            <w:r>
              <w:rPr>
                <w:rStyle w:val="Hyperlink"/>
              </w:rPr>
              <w:t>2.1.1 Phase 1: Foundation Pretraining (Pure LM, Stable Routing)</w:t>
            </w:r>
            <w:r>
              <w:tab/>
            </w:r>
            <w:r>
              <w:fldChar w:fldCharType="begin"/>
            </w:r>
            <w:r>
              <w:instrText xml:space="preserve"> PAGEREF _Toc100008 \h </w:instrText>
            </w:r>
            <w:r>
              <w:fldChar w:fldCharType="separate"/>
            </w:r>
            <w:r>
              <w:t>4</w:t>
            </w:r>
            <w:r>
              <w:fldChar w:fldCharType="end"/>
            </w:r>
          </w:hyperlink>
        </w:p>
        <w:p>
          <w:pPr>
            <w:pStyle w:val="12"/>
            <w:ind w:left="720"/>
            <w:tabs>
              <w:tab w:val="right" w:leader="dot" w:pos="9026"/>
            </w:tabs>
            <w:spacing w:before="120" w:after="60"/>
          </w:pPr>
          <w:hyperlink w:anchor="_Toc100009" w:history="1">
            <w:r>
              <w:rPr>
                <w:rStyle w:val="Hyperlink"/>
              </w:rPr>
              <w:t>2.1.2 Phase 2: Specialization (Routing Maturity &amp; Capacity Growth)</w:t>
            </w:r>
            <w:r>
              <w:tab/>
            </w:r>
            <w:r>
              <w:fldChar w:fldCharType="begin"/>
            </w:r>
            <w:r>
              <w:instrText xml:space="preserve"> PAGEREF _Toc100009 \h </w:instrText>
            </w:r>
            <w:r>
              <w:fldChar w:fldCharType="separate"/>
            </w:r>
            <w:r>
              <w:t>5</w:t>
            </w:r>
            <w:r>
              <w:fldChar w:fldCharType="end"/>
            </w:r>
          </w:hyperlink>
        </w:p>
        <w:p>
          <w:pPr>
            <w:pStyle w:val="12"/>
            <w:ind w:left="720"/>
            <w:tabs>
              <w:tab w:val="right" w:leader="dot" w:pos="9026"/>
            </w:tabs>
            <w:spacing w:before="120" w:after="60"/>
          </w:pPr>
          <w:hyperlink w:anchor="_Toc100010" w:history="1">
            <w:r>
              <w:rPr>
                <w:rStyle w:val="Hyperlink"/>
              </w:rPr>
              <w:t>2.1.3 Phase 3: Alignment and Fine-Tuning</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2.2 Critical Training Considerations</w:t>
            </w:r>
            <w:r>
              <w:tab/>
            </w:r>
            <w:r>
              <w:fldChar w:fldCharType="begin"/>
            </w:r>
            <w:r>
              <w:instrText xml:space="preserve"> PAGEREF _Toc100011 \h </w:instrText>
            </w:r>
            <w:r>
              <w:fldChar w:fldCharType="separate"/>
            </w:r>
            <w:r>
              <w:t>5</w:t>
            </w:r>
            <w:r>
              <w:fldChar w:fldCharType="end"/>
            </w:r>
          </w:hyperlink>
        </w:p>
        <w:p>
          <w:pPr>
            <w:pStyle w:val="9"/>
            <w:tabs>
              <w:tab w:val="right" w:leader="dot" w:pos="9026"/>
            </w:tabs>
            <w:spacing w:before="120" w:after="60"/>
          </w:pPr>
          <w:hyperlink w:anchor="_Toc100012" w:history="1">
            <w:r>
              <w:rPr>
                <w:rStyle w:val="Hyperlink"/>
              </w:rPr>
              <w:t>Part III: Knowledge Transfer from Large Pretrained Models</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3.1 The Embedding Transfer Hypothesis</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3.2 Embedding Transfer: Methodology and Feasibility</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3.3 Beyond Embeddings: Layer-Wise Transfer Strategies</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3.4 Recommended Transfer Protocol for XORZEN</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3.5 Model Recommendations for Transfer</w:t>
            </w:r>
            <w:r>
              <w:tab/>
            </w:r>
            <w:r>
              <w:fldChar w:fldCharType="begin"/>
            </w:r>
            <w:r>
              <w:instrText xml:space="preserve"> PAGEREF _Toc100017 \h </w:instrText>
            </w:r>
            <w:r>
              <w:fldChar w:fldCharType="separate"/>
            </w:r>
            <w:r>
              <w:t>8</w:t>
            </w:r>
            <w:r>
              <w:fldChar w:fldCharType="end"/>
            </w:r>
          </w:hyperlink>
        </w:p>
        <w:p>
          <w:pPr>
            <w:pStyle w:val="9"/>
            <w:tabs>
              <w:tab w:val="right" w:leader="dot" w:pos="9026"/>
            </w:tabs>
            <w:spacing w:before="120" w:after="60"/>
          </w:pPr>
          <w:hyperlink w:anchor="_Toc100018" w:history="1">
            <w:r>
              <w:rPr>
                <w:rStyle w:val="Hyperlink"/>
              </w:rPr>
              <w:t>Part IV: Conclusions and Strategic Recommendations</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4.1 Summary of Architectural Assessment</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4.2 Strategic Recommendations</w:t>
            </w:r>
            <w:r>
              <w:tab/>
            </w:r>
            <w:r>
              <w:fldChar w:fldCharType="begin"/>
            </w:r>
            <w:r>
              <w:instrText xml:space="preserve"> PAGEREF _Toc100020 \h </w:instrText>
            </w:r>
            <w:r>
              <w:fldChar w:fldCharType="separate"/>
            </w:r>
            <w:r>
              <w:t>9</w:t>
            </w:r>
            <w:r>
              <w:fldChar w:fldCharType="end"/>
            </w:r>
          </w:hyperlink>
        </w:p>
        <w:p>
          <w:r>
            <w:fldChar w:fldCharType="end"/>
          </w:r>
        </w:p>
      </w:sdtContent>
    </w:sdt>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00" w:before="480" w:line="312"/>
      </w:pPr>
      <w:bookmarkStart w:id="100000" w:name="_Toc100000"/>
      <w:r>
        <w:rPr>
          <w:rFonts w:ascii="Calibri" w:eastAsia="SimHei"/>
          <w:b/>
          <w:bCs/>
          <w:color w:val="0B1220"/>
          <w:sz w:val="32"/>
          <w:szCs w:val="32"/>
        </w:rPr>
        <w:t xml:space="preserve">Executive Summary</w:t>
      </w:r>
      <w:bookmarkEnd w:id="100000"/>
    </w:p>
    <w:p>
      <w:pPr>
        <w:spacing w:after="80" w:line="312"/>
        <w:ind w:firstLine="480"/>
        <w:jc w:val="both"/>
      </w:pPr>
      <w:r>
        <w:rPr>
          <w:rFonts w:ascii="Times New Roman" w:eastAsia="SimSun"/>
          <w:color w:val="000000"/>
          <w:sz w:val="24"/>
          <w:szCs w:val="24"/>
        </w:rPr>
        <w:t xml:space="preserve">This report presents a professional technical defense of the XORZEN architecture, a hybrid adaptive computation framework that integrates three parallel processing pathways (Local Attention, Low-Rank Global Attention, and State Space Models) with Mixture-of-Experts and adaptive routing. The analysis is based on direct code inspection of the repository at its current v0.5 state, including the core HASS block implementation, sparse dispatch mechanisms, adaptive router, SSM scan kernels, and the ShardedExpertFabric MoE system.</w:t>
      </w:r>
    </w:p>
    <w:p>
      <w:pPr>
        <w:spacing w:after="80" w:line="312"/>
        <w:ind w:firstLine="480"/>
        <w:jc w:val="both"/>
      </w:pPr>
      <w:r>
        <w:rPr>
          <w:rFonts w:ascii="Times New Roman" w:eastAsia="SimSun"/>
          <w:color w:val="000000"/>
          <w:sz w:val="24"/>
          <w:szCs w:val="24"/>
        </w:rPr>
        <w:t xml:space="preserve">The XORZEN architecture represents a genuinely novel contribution to conditional computation, not merely a recombination of existing components. Its three primary innovations are the HASS (Hybrid Attention-Shard Switch) block, which provides genuine per-token pathway sparsity via batched sparse dispatch with straight-through gradient estimation; the SlicedFFN, which achieves real compute reduction through nested weight matrix slicing rather than the compute-then-blend approach used in prior adaptive-width architectures; and the disk-sharded MoE system (ShardedExpertFabric), which enables training 192-expert models on commodity hardware through LRU caching and on-demand expert loading.</w:t>
      </w:r>
    </w:p>
    <w:p>
      <w:pPr>
        <w:spacing w:after="80" w:line="312"/>
        <w:ind w:firstLine="480"/>
        <w:jc w:val="both"/>
      </w:pPr>
      <w:r>
        <w:rPr>
          <w:rFonts w:ascii="Times New Roman" w:eastAsia="SimSun"/>
          <w:color w:val="000000"/>
          <w:sz w:val="24"/>
          <w:szCs w:val="24"/>
        </w:rPr>
        <w:t xml:space="preserve">Beyond architectural defense, this report addresses two critical operational questions: the optimal training methodology for XORZEN models across different scales, and the feasibility of knowledge transfer from large pretrained models such as Gemma 4. We propose a three-phase training pipeline (foundation pretraining, specialization, and alignment) tailored to XORZEN's adaptive mechanisms, and we analyze the specific challenges and opportunities of cross-architecture embedding transfer. The analysis concludes with a concrete roadmap for bringing an XORZEN model from initialization to production-ready performance.</w:t>
      </w:r>
    </w:p>
    <w:p>
      <w:pPr>
        <w:pStyle w:val="Heading1"/>
        <w:spacing w:after="200" w:before="480" w:line="312"/>
      </w:pPr>
      <w:bookmarkStart w:id="100001" w:name="_Toc100001"/>
      <w:r>
        <w:rPr>
          <w:rFonts w:ascii="Calibri" w:eastAsia="SimHei"/>
          <w:b/>
          <w:bCs/>
          <w:color w:val="0B1220"/>
          <w:sz w:val="32"/>
          <w:szCs w:val="32"/>
        </w:rPr>
        <w:t xml:space="preserve">Part I: Architectural Design Defense</w:t>
      </w:r>
      <w:bookmarkEnd w:id="100001"/>
    </w:p>
    <w:p>
      <w:pPr>
        <w:pStyle w:val="Heading2"/>
        <w:spacing w:after="160" w:before="360" w:line="312"/>
      </w:pPr>
      <w:bookmarkStart w:id="100002" w:name="_Toc100002"/>
      <w:r>
        <w:rPr>
          <w:rFonts w:ascii="Calibri" w:eastAsia="SimHei"/>
          <w:b/>
          <w:bCs/>
          <w:color w:val="0B1220"/>
          <w:sz w:val="28"/>
          <w:szCs w:val="28"/>
        </w:rPr>
        <w:t xml:space="preserve">1.1 The HASS Block: A Genuinely Sparse Hybrid Pathway System</w:t>
      </w:r>
      <w:bookmarkEnd w:id="100002"/>
    </w:p>
    <w:p>
      <w:pPr>
        <w:spacing w:after="80" w:line="312"/>
        <w:ind w:firstLine="480"/>
        <w:jc w:val="both"/>
      </w:pPr>
      <w:r>
        <w:rPr>
          <w:rFonts w:ascii="Times New Roman" w:eastAsia="SimSun"/>
          <w:color w:val="000000"/>
          <w:sz w:val="24"/>
          <w:szCs w:val="24"/>
        </w:rPr>
        <w:t xml:space="preserve">The HASS (Hybrid Attention-Shard Switch) block is the core architectural innovation of XORZEN. Unlike conventional transformer blocks that apply a single attention mechanism uniformly to all tokens, the HASS block dynamically routes each token through one or more of three parallel processing pathways: Local Causal Attention, Low-Rank Global Attention, and State Space Model (SSM). The routing decision is made per-token by the AdaptiveRouter, which produces soft probability distributions over pathways, and the actual computation uses a hard top-k selection with straight-through gradient estimation (STE) during training.</w:t>
      </w:r>
    </w:p>
    <w:p>
      <w:pPr>
        <w:spacing w:after="80" w:line="312"/>
        <w:ind w:firstLine="480"/>
        <w:jc w:val="both"/>
      </w:pPr>
      <w:r>
        <w:rPr>
          <w:rFonts w:ascii="Times New Roman" w:eastAsia="SimSun"/>
          <w:color w:val="000000"/>
          <w:sz w:val="24"/>
          <w:szCs w:val="24"/>
        </w:rPr>
        <w:t xml:space="preserve">What distinguishes XORZEN from prior hybrid attention architectures is the implementation of genuine sparse dispatch. The sparse_pathway_dispatch function in sparse_dispatch.py does not compute all three pathways and then mask or blend the outputs, which would be dense computation with routing metadata. Instead, it identifies which tokens selected each pathway, gathers only those tokens, runs the pathway's forward function exclusively on the selected subset, and scatters the results back. Pathways that no token selected are not invoked at all. This is verified by the pathway_call_counter mechanism, which records how many times each pathway's forward was actually called during a forward pass.</w:t>
      </w:r>
    </w:p>
    <w:p>
      <w:pPr>
        <w:spacing w:after="80" w:line="312"/>
        <w:ind w:firstLine="480"/>
        <w:jc w:val="both"/>
      </w:pPr>
      <w:r>
        <w:rPr>
          <w:rFonts w:ascii="Times New Roman" w:eastAsia="SimSun"/>
          <w:color w:val="000000"/>
          <w:sz w:val="24"/>
          <w:szCs w:val="24"/>
        </w:rPr>
        <w:t xml:space="preserve">The three pathways serve complementary functions that emerge naturally from the structure of sequential data. Local Causal Attention (LocalAttentionPathway) operates with a configurable window size (default 128 tokens) and is responsible for capturing fine-grained syntactic and positional relationships within local context. It uses proper causal masking via a cached lower-triangular mask, ensuring strict autoregressive correctness, and applies window masking to restrict attention to the local neighborhood. The implementation includes per-head Q/K LayerNorm for training stability, following the practice established in models like GPT-NeoX.</w:t>
      </w:r>
    </w:p>
    <w:p>
      <w:pPr>
        <w:spacing w:after="80" w:line="312"/>
        <w:ind w:firstLine="480"/>
        <w:jc w:val="both"/>
      </w:pPr>
      <w:r>
        <w:rPr>
          <w:rFonts w:ascii="Times New Roman" w:eastAsia="SimSun"/>
          <w:color w:val="000000"/>
          <w:sz w:val="24"/>
          <w:szCs w:val="24"/>
        </w:rPr>
        <w:t xml:space="preserve">The Low-Rank Global Attention pathway (LowRankGlobalPathway) provides global context access that the local pathway cannot offer, but does so efficiently by projecting the hidden representation into a low-rank space (default 96 dimensions, compared to the full 2048 hidden dimension) before computing attention scores. This reduces the attention score matrix from O(T x T x H) to O(T x T x 96), making global attention computationally feasible even for long sequences. The pathway applies a strict lower-triangular causal mask (torch.tril) in this low-rank space, ensuring that each position can only attend to positions at or before it. For sequences longer than 512 tokens, the implementation switches to a chunked attention mode that processes the sequence in 512-token chunks to manage memory usage, while maintaining the causal constraint via sliced masks.</w:t>
      </w:r>
    </w:p>
    <w:p>
      <w:pPr>
        <w:spacing w:after="80" w:line="312"/>
        <w:ind w:firstLine="480"/>
        <w:jc w:val="both"/>
      </w:pPr>
      <w:r>
        <w:rPr>
          <w:rFonts w:ascii="Times New Roman" w:eastAsia="SimSun"/>
          <w:color w:val="000000"/>
          <w:sz w:val="24"/>
          <w:szCs w:val="24"/>
        </w:rPr>
        <w:t xml:space="preserve">The SSM pathway (SSMPathway) implements a Mamba-style diagonal state-space model with input-dependent discretization. The key mathematical formulation uses the zero-order hold (ZOH) discretization for diagonal A matrices: A_bar = exp(dt * A) and B_bar = ((A_bar - 1) / A) * B, with a Taylor expansion fallback for numerical stability when dt * A is small. The convolution is explicitly causal, using left-padding (padding = kernel_size - 1) followed by truncation to the original sequence length, which prevents future token leakage, a common bug in early SSM implementations. The SSM scan is implemented in three variants: sequential (reference correctness), parallel Blelloch associative scan (O(log T) depth), and chunked scan (practical default for long sequences), selectable based on sequence length and configuration.</w:t>
      </w:r>
    </w:p>
    <w:p>
      <w:pPr>
        <w:pStyle w:val="Heading2"/>
        <w:spacing w:after="160" w:before="360" w:line="312"/>
      </w:pPr>
      <w:bookmarkStart w:id="100003" w:name="_Toc100003"/>
      <w:r>
        <w:rPr>
          <w:rFonts w:ascii="Calibri" w:eastAsia="SimHei"/>
          <w:b/>
          <w:bCs/>
          <w:color w:val="0B1220"/>
          <w:sz w:val="28"/>
          <w:szCs w:val="28"/>
        </w:rPr>
        <w:t xml:space="preserve">1.2 SlicedFFN: Genuine Per-Token Width Sparsity</w:t>
      </w:r>
      <w:bookmarkEnd w:id="100003"/>
    </w:p>
    <w:p>
      <w:pPr>
        <w:spacing w:after="80" w:line="312"/>
        <w:ind w:firstLine="480"/>
        <w:jc w:val="both"/>
      </w:pPr>
      <w:r>
        <w:rPr>
          <w:rFonts w:ascii="Times New Roman" w:eastAsia="SimSun"/>
          <w:color w:val="000000"/>
          <w:sz w:val="24"/>
          <w:szCs w:val="24"/>
        </w:rPr>
        <w:t xml:space="preserve">The SlicedFFN is XORZEN's v0.4 replacement for the legacy AdaptiveFFN, and it represents a fundamentally different approach to adaptive-width feed-forward networks. The old AdaptiveFFN computed the full base FFN plus all width adapter branches and blended them with a weighted sum, which is dense computation with routing metadata. The SlicedFFN stores weight matrices at the maximum width (fc1: [H, W_max], fc2: [W_max, H]) and uses tensor slicing to process each token at its selected width: for a token that selected width W_i, only the first W_i columns of fc1 and the first W_i rows of fc2 are used.</w:t>
      </w:r>
    </w:p>
    <w:p>
      <w:pPr>
        <w:spacing w:after="80" w:line="312"/>
        <w:ind w:firstLine="480"/>
        <w:jc w:val="both"/>
      </w:pPr>
      <w:r>
        <w:rPr>
          <w:rFonts w:ascii="Times New Roman" w:eastAsia="SimSun"/>
          <w:color w:val="000000"/>
          <w:sz w:val="24"/>
          <w:szCs w:val="24"/>
        </w:rPr>
        <w:t xml:space="preserve">This is genuine compute reduction: the matmul operations are O(H x W_i) + O(W_i x H), which scales proportionally with the selected width. A token selecting 25% width uses only 25% of the FLOPs compared to the maximum width. The width choices are nested (W_1 &lt; W_2 &lt; ... &lt; W_max), so smaller widths are proper subsets of the larger ones, meaning the model learns a single coherent feature space rather than independent adapter branches. During training, the router produces soft width probabilities per token, and the forward pass uses the hard argmax width (STE: forward is hard, backward uses soft probabilities). During inference, tokens are grouped by their selected width and processed in batched groups for efficiency.</w:t>
      </w:r>
    </w:p>
    <w:p>
      <w:pPr>
        <w:pStyle w:val="Heading2"/>
        <w:spacing w:after="160" w:before="360" w:line="312"/>
      </w:pPr>
      <w:bookmarkStart w:id="100004" w:name="_Toc100004"/>
      <w:r>
        <w:rPr>
          <w:rFonts w:ascii="Calibri" w:eastAsia="SimHei"/>
          <w:b/>
          <w:bCs/>
          <w:color w:val="0B1220"/>
          <w:sz w:val="28"/>
          <w:szCs w:val="28"/>
        </w:rPr>
        <w:t xml:space="preserve">1.3 ShardedExpertFabric: Disk-Sharded MoE for Commodity Hardware</w:t>
      </w:r>
      <w:bookmarkEnd w:id="100004"/>
    </w:p>
    <w:p>
      <w:pPr>
        <w:spacing w:after="80" w:line="312"/>
        <w:ind w:firstLine="480"/>
        <w:jc w:val="both"/>
      </w:pPr>
      <w:r>
        <w:rPr>
          <w:rFonts w:ascii="Times New Roman" w:eastAsia="SimSun"/>
          <w:color w:val="000000"/>
          <w:sz w:val="24"/>
          <w:szCs w:val="24"/>
        </w:rPr>
        <w:t xml:space="preserve">The MoE system (zmoe.py) implements a novel approach to scaling mixture-of-experts models beyond GPU memory constraints. With 192 experts, each containing a SwiGLU FFN, the total expert parameter count would be approximately 6 GB, far exceeding typical GPU memory. The ShardedExpertFabric solves this by storing experts on disk and maintaining an LRU (Least Recently Used) cache of hot experts in RAM. Only 24 experts are cached simultaneously (approximately 768 MB), making the full 277M-parameter model trainable on a machine with 16 GB of RAM.</w:t>
      </w:r>
    </w:p>
    <w:p>
      <w:pPr>
        <w:spacing w:after="80" w:line="312"/>
        <w:ind w:firstLine="480"/>
        <w:jc w:val="both"/>
      </w:pPr>
      <w:r>
        <w:rPr>
          <w:rFonts w:ascii="Times New Roman" w:eastAsia="SimSun"/>
          <w:color w:val="000000"/>
          <w:sz w:val="24"/>
          <w:szCs w:val="24"/>
        </w:rPr>
        <w:t xml:space="preserve">The expert dispatch loop processes tokens through the top-k selected experts (default k=2), with genuine sparse dispatch: only the selected experts are loaded and invoked. The system tracks cache hits and misses, load times, and per-expert activation statistics through the ExpertStats dataclass, providing full visibility into the runtime behavior of the MoE layer. Load balancing is handled by the Switch Transformer auxiliary loss formula (implemented in load_balance.py), with the v0.4 improvement that unified the previously double-counted load-balance losses into a single canonical formulation.</w:t>
      </w:r>
    </w:p>
    <w:p>
      <w:pPr>
        <w:pStyle w:val="Heading2"/>
        <w:spacing w:after="160" w:before="360" w:line="312"/>
      </w:pPr>
      <w:bookmarkStart w:id="100005" w:name="_Toc100005"/>
      <w:r>
        <w:rPr>
          <w:rFonts w:ascii="Calibri" w:eastAsia="SimHei"/>
          <w:b/>
          <w:bCs/>
          <w:color w:val="0B1220"/>
          <w:sz w:val="28"/>
          <w:szCs w:val="28"/>
        </w:rPr>
        <w:t xml:space="preserve">1.4 Adaptive Router: Multi-Axis Conditional Computation</w:t>
      </w:r>
      <w:bookmarkEnd w:id="100005"/>
    </w:p>
    <w:p>
      <w:pPr>
        <w:spacing w:after="80" w:line="312"/>
        <w:ind w:firstLine="480"/>
        <w:jc w:val="both"/>
      </w:pPr>
      <w:r>
        <w:rPr>
          <w:rFonts w:ascii="Times New Roman" w:eastAsia="SimSun"/>
          <w:color w:val="000000"/>
          <w:sz w:val="24"/>
          <w:szCs w:val="24"/>
        </w:rPr>
        <w:t xml:space="preserve">The AdaptiveRouter (routing.py) is the central decision-making component that drives all of XORZEN's conditional computation. It produces a comprehensive RoutingDecision dataclass containing: pathway probabilities (3-way softmax over local/low-rank/SSM), width indices and probabilities (per-token FFN width selection), depth mask (per-token per-layer binary decision on whether to process), expert indices and weights (top-k expert selection for MoE), and auxiliary losses (load balance, router z-loss, path diversity, width diversity). The router uses a learned feature encoder followed by separate prediction heads for each routing axis, with cost-aware routing that conditions decisions on a configurable compute budget scalar.</w:t>
      </w:r>
    </w:p>
    <w:p>
      <w:pPr>
        <w:spacing w:after="80" w:line="312"/>
        <w:ind w:firstLine="480"/>
        <w:jc w:val="both"/>
      </w:pPr>
      <w:r>
        <w:rPr>
          <w:rFonts w:ascii="Times New Roman" w:eastAsia="SimSun"/>
          <w:color w:val="000000"/>
          <w:sz w:val="24"/>
          <w:szCs w:val="24"/>
        </w:rPr>
        <w:t xml:space="preserve">A critical design decision in v0.5 is the removal of the pathway_gate parameter, which was verified to be dead code: it was only used in the fallback branch when no RoutingDecision was provided, but zeroModel.forward() always provides one. The uniform 1/3 weighting now used in the fallback branch is simpler and equivalent. The eval_routing_noise parameter (default 0.15) adds small Gumbel noise to router logits at inference time, preventing the deterministic collapse where all tokens route to the same pathway, width, and expert, a failure mode observed in earlier versions.</w:t>
      </w:r>
    </w:p>
    <w:p>
      <w:pPr>
        <w:pStyle w:val="Heading1"/>
        <w:spacing w:after="200" w:before="480" w:line="312"/>
      </w:pPr>
      <w:bookmarkStart w:id="100006" w:name="_Toc100006"/>
      <w:r>
        <w:rPr>
          <w:rFonts w:ascii="Calibri" w:eastAsia="SimHei"/>
          <w:b/>
          <w:bCs/>
          <w:color w:val="0B1220"/>
          <w:sz w:val="32"/>
          <w:szCs w:val="32"/>
        </w:rPr>
        <w:t xml:space="preserve">Part II: Optimal Training Methodology for XORZEN Models</w:t>
      </w:r>
      <w:bookmarkEnd w:id="100006"/>
    </w:p>
    <w:p>
      <w:pPr>
        <w:pStyle w:val="Heading2"/>
        <w:spacing w:after="160" w:before="360" w:line="312"/>
      </w:pPr>
      <w:bookmarkStart w:id="100007" w:name="_Toc100007"/>
      <w:r>
        <w:rPr>
          <w:rFonts w:ascii="Calibri" w:eastAsia="SimHei"/>
          <w:b/>
          <w:bCs/>
          <w:color w:val="0B1220"/>
          <w:sz w:val="28"/>
          <w:szCs w:val="28"/>
        </w:rPr>
        <w:t xml:space="preserve">2.1 Three-Phase Training Pipeline</w:t>
      </w:r>
      <w:bookmarkEnd w:id="100007"/>
    </w:p>
    <w:p>
      <w:pPr>
        <w:spacing w:after="80" w:line="312"/>
        <w:ind w:firstLine="480"/>
        <w:jc w:val="both"/>
      </w:pPr>
      <w:r>
        <w:rPr>
          <w:rFonts w:ascii="Times New Roman" w:eastAsia="SimSun"/>
          <w:color w:val="000000"/>
          <w:sz w:val="24"/>
          <w:szCs w:val="24"/>
        </w:rPr>
        <w:t xml:space="preserve">Training an XORZEN model requires a carefully orchestrated pipeline that accounts for the unique challenges of conditional computation. The architecture has multiple interacting routing axes (pathway, width, depth, expert), each of which must learn meaningful routing decisions from scratch. Based on the architectural analysis and the existing CurriculumTrainer implementation in the codebase, I recommend a three-phase training pipeline: Foundation Pretraining, Specialization, and Alignment. Each phase addresses a distinct set of training objectives and operates at a different scale and regime.</w:t>
      </w:r>
    </w:p>
    <w:p>
      <w:pPr>
        <w:pStyle w:val="Heading3"/>
        <w:spacing w:after="120" w:before="240" w:line="312"/>
      </w:pPr>
      <w:bookmarkStart w:id="100008" w:name="_Toc100008"/>
      <w:r>
        <w:rPr>
          <w:rFonts w:ascii="Calibri" w:eastAsia="SimHei"/>
          <w:b/>
          <w:bCs/>
          <w:color w:val="0B1220"/>
          <w:sz w:val="24"/>
          <w:szCs w:val="24"/>
        </w:rPr>
        <w:t xml:space="preserve">2.1.1 Phase 1: Foundation Pretraining (Pure LM, Stable Routing)</w:t>
      </w:r>
      <w:bookmarkEnd w:id="100008"/>
    </w:p>
    <w:p>
      <w:pPr>
        <w:spacing w:after="80" w:line="312"/>
        <w:ind w:firstLine="480"/>
        <w:jc w:val="both"/>
      </w:pPr>
      <w:r>
        <w:rPr>
          <w:rFonts w:ascii="Times New Roman" w:eastAsia="SimSun"/>
          <w:color w:val="000000"/>
          <w:sz w:val="24"/>
          <w:szCs w:val="24"/>
        </w:rPr>
        <w:t xml:space="preserve">The first and most critical phase is foundation pretraining, where the model learns basic language modeling capabilities while the routing mechanisms learn stable, meaningful decisions. The primary objective is next-token prediction loss on a large, diverse corpus. During this phase, Chain-of-Thought (CoT) is disabled (as already implemented in zeroModel with the _cot_enabled flag), because adding CoT complexity before the base model converges introduces unnecessary gradient interference.</w:t>
      </w:r>
    </w:p>
    <w:p>
      <w:pPr>
        <w:spacing w:after="80" w:line="312"/>
        <w:ind w:firstLine="480"/>
        <w:jc w:val="both"/>
      </w:pPr>
      <w:r>
        <w:rPr>
          <w:rFonts w:ascii="Times New Roman" w:eastAsia="SimSun"/>
          <w:color w:val="000000"/>
          <w:sz w:val="24"/>
          <w:szCs w:val="24"/>
        </w:rPr>
        <w:t xml:space="preserve">The training configuration should follow specific principles calibrated for XORZEN's architecture. The auxiliary loss weights must be kept very low: load_balancing_weight at 0.0001, routing_loss_weight at 0.0001, and width_div_weight at 0.1. These values, already set as defaults in ModelConfig, were determined through extensive ablation (documented in the Phase 6 findings) and prevent auxiliary losses from drowning the LM signal, which is particularly problematic at smaller model scales. The optimizer should be AdamW with weight decay 0.01, and the learning rate should follow a cosine schedule with a warmup phase.</w:t>
      </w:r>
    </w:p>
    <w:p>
      <w:pPr>
        <w:spacing w:after="80" w:line="312"/>
        <w:ind w:firstLine="480"/>
        <w:jc w:val="both"/>
      </w:pPr>
      <w:r>
        <w:rPr>
          <w:rFonts w:ascii="Times New Roman" w:eastAsia="SimSun"/>
          <w:color w:val="000000"/>
          <w:sz w:val="24"/>
          <w:szCs w:val="24"/>
        </w:rPr>
        <w:t xml:space="preserve">The CurriculumTrainer provides an excellent foundation for Phase 1, particularly for smaller models trained on CPU. Its per-book evaluation and revisit mechanism ensures the model does not move on from difficult material before achieving adequate performance. For larger-scale training, the XORZENXTrainer supports gradient accumulation, mixed precision (FP16/BF16), gradient checkpointing (already implemented in zeroModel.forward), and distributed training. The key training parameters should be calibrated as follows:</w:t>
      </w:r>
    </w:p>
    <w:tbl>
      <w:tblPr>
        <w:tblW w:type="pct" w:w="100%"/>
        <w:tblBorders>
          <w:top w:val="single" w:color="37DCF2" w:sz="2"/>
          <w:left w:val="none"/>
          <w:bottom w:val="single" w:color="37DCF2" w:sz="2"/>
          <w:right w:val="none"/>
          <w:insideH w:val="single" w:color="D0D0D0" w:sz="1"/>
          <w:insideV w:val="none"/>
        </w:tblBorders>
      </w:tblPr>
      <w:tblGrid>
        <w:gridCol w:w="100"/>
        <w:gridCol w:w="100"/>
        <w:gridCol w:w="100"/>
        <w:gridCol w:w="100"/>
        <w:gridCol w:w="100"/>
      </w:tblGrid>
      <w:tr>
        <w:trPr>
          <w:cantSplit/>
          <w:tblHeader/>
        </w:trPr>
        <w:tc>
          <w:tcPr>
            <w:tcW w:type="pct" w:w="20%"/>
            <w:shd w:fill="1A2332" w:val="clear"/>
            <w:tcMar>
              <w:top w:type="dxa" w:w="60"/>
              <w:left w:type="dxa" w:w="120"/>
              <w:bottom w:type="dxa" w:w="60"/>
              <w:right w:type="dxa" w:w="120"/>
            </w:tcMar>
          </w:tcPr>
          <w:p>
            <w:pPr>
              <w:jc w:val="center"/>
            </w:pPr>
            <w:r>
              <w:rPr>
                <w:rFonts w:ascii="Calibri" w:eastAsia="SimHei"/>
                <w:b/>
                <w:bCs/>
                <w:color w:val="FFFFFF"/>
                <w:sz w:val="21"/>
                <w:szCs w:val="21"/>
              </w:rPr>
              <w:t xml:space="preserve">Parameter</w:t>
            </w:r>
          </w:p>
        </w:tc>
        <w:tc>
          <w:tcPr>
            <w:tcW w:type="pct" w:w="20%"/>
            <w:shd w:fill="1A2332" w:val="clear"/>
            <w:tcMar>
              <w:top w:type="dxa" w:w="60"/>
              <w:left w:type="dxa" w:w="120"/>
              <w:bottom w:type="dxa" w:w="60"/>
              <w:right w:type="dxa" w:w="120"/>
            </w:tcMar>
          </w:tcPr>
          <w:p>
            <w:pPr>
              <w:jc w:val="center"/>
            </w:pPr>
            <w:r>
              <w:rPr>
                <w:rFonts w:ascii="Calibri" w:eastAsia="SimHei"/>
                <w:b/>
                <w:bCs/>
                <w:color w:val="FFFFFF"/>
                <w:sz w:val="21"/>
                <w:szCs w:val="21"/>
              </w:rPr>
              <w:t xml:space="preserve">NANO_1M</w:t>
            </w:r>
          </w:p>
        </w:tc>
        <w:tc>
          <w:tcPr>
            <w:tcW w:type="pct" w:w="20%"/>
            <w:shd w:fill="1A2332" w:val="clear"/>
            <w:tcMar>
              <w:top w:type="dxa" w:w="60"/>
              <w:left w:type="dxa" w:w="120"/>
              <w:bottom w:type="dxa" w:w="60"/>
              <w:right w:type="dxa" w:w="120"/>
            </w:tcMar>
          </w:tcPr>
          <w:p>
            <w:pPr>
              <w:jc w:val="center"/>
            </w:pPr>
            <w:r>
              <w:rPr>
                <w:rFonts w:ascii="Calibri" w:eastAsia="SimHei"/>
                <w:b/>
                <w:bCs/>
                <w:color w:val="FFFFFF"/>
                <w:sz w:val="21"/>
                <w:szCs w:val="21"/>
              </w:rPr>
              <w:t xml:space="preserve">NANO_10M</w:t>
            </w:r>
          </w:p>
        </w:tc>
        <w:tc>
          <w:tcPr>
            <w:tcW w:type="pct" w:w="20%"/>
            <w:shd w:fill="1A2332" w:val="clear"/>
            <w:tcMar>
              <w:top w:type="dxa" w:w="60"/>
              <w:left w:type="dxa" w:w="120"/>
              <w:bottom w:type="dxa" w:w="60"/>
              <w:right w:type="dxa" w:w="120"/>
            </w:tcMar>
          </w:tcPr>
          <w:p>
            <w:pPr>
              <w:jc w:val="center"/>
            </w:pPr>
            <w:r>
              <w:rPr>
                <w:rFonts w:ascii="Calibri" w:eastAsia="SimHei"/>
                <w:b/>
                <w:bCs/>
                <w:color w:val="FFFFFF"/>
                <w:sz w:val="21"/>
                <w:szCs w:val="21"/>
              </w:rPr>
              <w:t xml:space="preserve">MINI_277M</w:t>
            </w:r>
          </w:p>
        </w:tc>
        <w:tc>
          <w:tcPr>
            <w:tcW w:type="pct" w:w="20%"/>
            <w:shd w:fill="1A2332" w:val="clear"/>
            <w:tcMar>
              <w:top w:type="dxa" w:w="60"/>
              <w:left w:type="dxa" w:w="120"/>
              <w:bottom w:type="dxa" w:w="60"/>
              <w:right w:type="dxa" w:w="120"/>
            </w:tcMar>
          </w:tcPr>
          <w:p>
            <w:pPr>
              <w:jc w:val="center"/>
            </w:pPr>
            <w:r>
              <w:rPr>
                <w:rFonts w:ascii="Calibri" w:eastAsia="SimHei"/>
                <w:b/>
                <w:bCs/>
                <w:color w:val="FFFFFF"/>
                <w:sz w:val="21"/>
                <w:szCs w:val="21"/>
              </w:rPr>
              <w:t xml:space="preserve">SMALL_500M+</w:t>
            </w:r>
          </w:p>
        </w:tc>
      </w:tr>
      <w:tr>
        <w:trPr>
          <w:cantSplit/>
        </w:trPr>
        <w:tc>
          <w:tcPr>
            <w:tcW w:type="pct" w:w="20%"/>
            <w:tcMar>
              <w:top w:type="dxa" w:w="40"/>
              <w:left w:type="dxa" w:w="120"/>
              <w:bottom w:type="dxa" w:w="40"/>
              <w:right w:type="dxa" w:w="120"/>
            </w:tcMar>
          </w:tcPr>
          <w:p>
            <w:r>
              <w:rPr>
                <w:rFonts w:ascii="Times New Roman" w:eastAsia="SimSun"/>
                <w:color w:val="000000"/>
                <w:sz w:val="21"/>
                <w:szCs w:val="21"/>
              </w:rPr>
              <w:t xml:space="preserve">Learning Rate</w:t>
            </w:r>
          </w:p>
        </w:tc>
        <w:tc>
          <w:tcPr>
            <w:tcW w:type="pct" w:w="20%"/>
            <w:tcMar>
              <w:top w:type="dxa" w:w="40"/>
              <w:left w:type="dxa" w:w="120"/>
              <w:bottom w:type="dxa" w:w="40"/>
              <w:right w:type="dxa" w:w="120"/>
            </w:tcMar>
          </w:tcPr>
          <w:p>
            <w:r>
              <w:rPr>
                <w:rFonts w:ascii="Times New Roman" w:eastAsia="SimSun"/>
                <w:color w:val="000000"/>
                <w:sz w:val="21"/>
                <w:szCs w:val="21"/>
              </w:rPr>
              <w:t xml:space="preserve">3e-4</w:t>
            </w:r>
          </w:p>
        </w:tc>
        <w:tc>
          <w:tcPr>
            <w:tcW w:type="pct" w:w="20%"/>
            <w:tcMar>
              <w:top w:type="dxa" w:w="40"/>
              <w:left w:type="dxa" w:w="120"/>
              <w:bottom w:type="dxa" w:w="40"/>
              <w:right w:type="dxa" w:w="120"/>
            </w:tcMar>
          </w:tcPr>
          <w:p>
            <w:r>
              <w:rPr>
                <w:rFonts w:ascii="Times New Roman" w:eastAsia="SimSun"/>
                <w:color w:val="000000"/>
                <w:sz w:val="21"/>
                <w:szCs w:val="21"/>
              </w:rPr>
              <w:t xml:space="preserve">3e-4</w:t>
            </w:r>
          </w:p>
        </w:tc>
        <w:tc>
          <w:tcPr>
            <w:tcW w:type="pct" w:w="20%"/>
            <w:tcMar>
              <w:top w:type="dxa" w:w="40"/>
              <w:left w:type="dxa" w:w="120"/>
              <w:bottom w:type="dxa" w:w="40"/>
              <w:right w:type="dxa" w:w="120"/>
            </w:tcMar>
          </w:tcPr>
          <w:p>
            <w:r>
              <w:rPr>
                <w:rFonts w:ascii="Times New Roman" w:eastAsia="SimSun"/>
                <w:color w:val="000000"/>
                <w:sz w:val="21"/>
                <w:szCs w:val="21"/>
              </w:rPr>
              <w:t xml:space="preserve">1.5e-4</w:t>
            </w:r>
          </w:p>
        </w:tc>
        <w:tc>
          <w:tcPr>
            <w:tcW w:type="pct" w:w="20%"/>
            <w:tcMar>
              <w:top w:type="dxa" w:w="40"/>
              <w:left w:type="dxa" w:w="120"/>
              <w:bottom w:type="dxa" w:w="40"/>
              <w:right w:type="dxa" w:w="120"/>
            </w:tcMar>
          </w:tcPr>
          <w:p>
            <w:r>
              <w:rPr>
                <w:rFonts w:ascii="Times New Roman" w:eastAsia="SimSun"/>
                <w:color w:val="000000"/>
                <w:sz w:val="21"/>
                <w:szCs w:val="21"/>
              </w:rPr>
              <w:t xml:space="preserve">6e-5</w:t>
            </w:r>
          </w:p>
        </w:tc>
      </w:tr>
      <w:tr>
        <w:trPr>
          <w:cantSplit/>
        </w:trPr>
        <w:tc>
          <w:tcPr>
            <w:tcW w:type="pct" w:w="20%"/>
            <w:shd w:fill="F1F5F9" w:val="clear"/>
            <w:tcMar>
              <w:top w:type="dxa" w:w="40"/>
              <w:left w:type="dxa" w:w="120"/>
              <w:bottom w:type="dxa" w:w="40"/>
              <w:right w:type="dxa" w:w="120"/>
            </w:tcMar>
          </w:tcPr>
          <w:p>
            <w:r>
              <w:rPr>
                <w:rFonts w:ascii="Times New Roman" w:eastAsia="SimSun"/>
                <w:color w:val="000000"/>
                <w:sz w:val="21"/>
                <w:szCs w:val="21"/>
              </w:rPr>
              <w:t xml:space="preserve">Batch Size (tokens)</w:t>
            </w:r>
          </w:p>
        </w:tc>
        <w:tc>
          <w:tcPr>
            <w:tcW w:type="pct" w:w="20%"/>
            <w:shd w:fill="F1F5F9" w:val="clear"/>
            <w:tcMar>
              <w:top w:type="dxa" w:w="40"/>
              <w:left w:type="dxa" w:w="120"/>
              <w:bottom w:type="dxa" w:w="40"/>
              <w:right w:type="dxa" w:w="120"/>
            </w:tcMar>
          </w:tcPr>
          <w:p>
            <w:r>
              <w:rPr>
                <w:rFonts w:ascii="Times New Roman" w:eastAsia="SimSun"/>
                <w:color w:val="000000"/>
                <w:sz w:val="21"/>
                <w:szCs w:val="21"/>
              </w:rPr>
              <w:t xml:space="preserve">8,192</w:t>
            </w:r>
          </w:p>
        </w:tc>
        <w:tc>
          <w:tcPr>
            <w:tcW w:type="pct" w:w="20%"/>
            <w:shd w:fill="F1F5F9" w:val="clear"/>
            <w:tcMar>
              <w:top w:type="dxa" w:w="40"/>
              <w:left w:type="dxa" w:w="120"/>
              <w:bottom w:type="dxa" w:w="40"/>
              <w:right w:type="dxa" w:w="120"/>
            </w:tcMar>
          </w:tcPr>
          <w:p>
            <w:r>
              <w:rPr>
                <w:rFonts w:ascii="Times New Roman" w:eastAsia="SimSun"/>
                <w:color w:val="000000"/>
                <w:sz w:val="21"/>
                <w:szCs w:val="21"/>
              </w:rPr>
              <w:t xml:space="preserve">32,768</w:t>
            </w:r>
          </w:p>
        </w:tc>
        <w:tc>
          <w:tcPr>
            <w:tcW w:type="pct" w:w="20%"/>
            <w:shd w:fill="F1F5F9" w:val="clear"/>
            <w:tcMar>
              <w:top w:type="dxa" w:w="40"/>
              <w:left w:type="dxa" w:w="120"/>
              <w:bottom w:type="dxa" w:w="40"/>
              <w:right w:type="dxa" w:w="120"/>
            </w:tcMar>
          </w:tcPr>
          <w:p>
            <w:r>
              <w:rPr>
                <w:rFonts w:ascii="Times New Roman" w:eastAsia="SimSun"/>
                <w:color w:val="000000"/>
                <w:sz w:val="21"/>
                <w:szCs w:val="21"/>
              </w:rPr>
              <w:t xml:space="preserve">131,072</w:t>
            </w:r>
          </w:p>
        </w:tc>
        <w:tc>
          <w:tcPr>
            <w:tcW w:type="pct" w:w="20%"/>
            <w:shd w:fill="F1F5F9" w:val="clear"/>
            <w:tcMar>
              <w:top w:type="dxa" w:w="40"/>
              <w:left w:type="dxa" w:w="120"/>
              <w:bottom w:type="dxa" w:w="40"/>
              <w:right w:type="dxa" w:w="120"/>
            </w:tcMar>
          </w:tcPr>
          <w:p>
            <w:r>
              <w:rPr>
                <w:rFonts w:ascii="Times New Roman" w:eastAsia="SimSun"/>
                <w:color w:val="000000"/>
                <w:sz w:val="21"/>
                <w:szCs w:val="21"/>
              </w:rPr>
              <w:t xml:space="preserve">262,144+</w:t>
            </w:r>
          </w:p>
        </w:tc>
      </w:tr>
      <w:tr>
        <w:trPr>
          <w:cantSplit/>
        </w:trPr>
        <w:tc>
          <w:tcPr>
            <w:tcW w:type="pct" w:w="20%"/>
            <w:tcMar>
              <w:top w:type="dxa" w:w="40"/>
              <w:left w:type="dxa" w:w="120"/>
              <w:bottom w:type="dxa" w:w="40"/>
              <w:right w:type="dxa" w:w="120"/>
            </w:tcMar>
          </w:tcPr>
          <w:p>
            <w:r>
              <w:rPr>
                <w:rFonts w:ascii="Times New Roman" w:eastAsia="SimSun"/>
                <w:color w:val="000000"/>
                <w:sz w:val="21"/>
                <w:szCs w:val="21"/>
              </w:rPr>
              <w:t xml:space="preserve">Warmup Steps</w:t>
            </w:r>
          </w:p>
        </w:tc>
        <w:tc>
          <w:tcPr>
            <w:tcW w:type="pct" w:w="20%"/>
            <w:tcMar>
              <w:top w:type="dxa" w:w="40"/>
              <w:left w:type="dxa" w:w="120"/>
              <w:bottom w:type="dxa" w:w="40"/>
              <w:right w:type="dxa" w:w="120"/>
            </w:tcMar>
          </w:tcPr>
          <w:p>
            <w:r>
              <w:rPr>
                <w:rFonts w:ascii="Times New Roman" w:eastAsia="SimSun"/>
                <w:color w:val="000000"/>
                <w:sz w:val="21"/>
                <w:szCs w:val="21"/>
              </w:rPr>
              <w:t xml:space="preserve">100</w:t>
            </w:r>
          </w:p>
        </w:tc>
        <w:tc>
          <w:tcPr>
            <w:tcW w:type="pct" w:w="20%"/>
            <w:tcMar>
              <w:top w:type="dxa" w:w="40"/>
              <w:left w:type="dxa" w:w="120"/>
              <w:bottom w:type="dxa" w:w="40"/>
              <w:right w:type="dxa" w:w="120"/>
            </w:tcMar>
          </w:tcPr>
          <w:p>
            <w:r>
              <w:rPr>
                <w:rFonts w:ascii="Times New Roman" w:eastAsia="SimSun"/>
                <w:color w:val="000000"/>
                <w:sz w:val="21"/>
                <w:szCs w:val="21"/>
              </w:rPr>
              <w:t xml:space="preserve">500</w:t>
            </w:r>
          </w:p>
        </w:tc>
        <w:tc>
          <w:tcPr>
            <w:tcW w:type="pct" w:w="20%"/>
            <w:tcMar>
              <w:top w:type="dxa" w:w="40"/>
              <w:left w:type="dxa" w:w="120"/>
              <w:bottom w:type="dxa" w:w="40"/>
              <w:right w:type="dxa" w:w="120"/>
            </w:tcMar>
          </w:tcPr>
          <w:p>
            <w:r>
              <w:rPr>
                <w:rFonts w:ascii="Times New Roman" w:eastAsia="SimSun"/>
                <w:color w:val="000000"/>
                <w:sz w:val="21"/>
                <w:szCs w:val="21"/>
              </w:rPr>
              <w:t xml:space="preserve">2,000</w:t>
            </w:r>
          </w:p>
        </w:tc>
        <w:tc>
          <w:tcPr>
            <w:tcW w:type="pct" w:w="20%"/>
            <w:tcMar>
              <w:top w:type="dxa" w:w="40"/>
              <w:left w:type="dxa" w:w="120"/>
              <w:bottom w:type="dxa" w:w="40"/>
              <w:right w:type="dxa" w:w="120"/>
            </w:tcMar>
          </w:tcPr>
          <w:p>
            <w:r>
              <w:rPr>
                <w:rFonts w:ascii="Times New Roman" w:eastAsia="SimSun"/>
                <w:color w:val="000000"/>
                <w:sz w:val="21"/>
                <w:szCs w:val="21"/>
              </w:rPr>
              <w:t xml:space="preserve">5,000+</w:t>
            </w:r>
          </w:p>
        </w:tc>
      </w:tr>
      <w:tr>
        <w:trPr>
          <w:cantSplit/>
        </w:trPr>
        <w:tc>
          <w:tcPr>
            <w:tcW w:type="pct" w:w="20%"/>
            <w:shd w:fill="F1F5F9" w:val="clear"/>
            <w:tcMar>
              <w:top w:type="dxa" w:w="40"/>
              <w:left w:type="dxa" w:w="120"/>
              <w:bottom w:type="dxa" w:w="40"/>
              <w:right w:type="dxa" w:w="120"/>
            </w:tcMar>
          </w:tcPr>
          <w:p>
            <w:r>
              <w:rPr>
                <w:rFonts w:ascii="Times New Roman" w:eastAsia="SimSun"/>
                <w:color w:val="000000"/>
                <w:sz w:val="21"/>
                <w:szCs w:val="21"/>
              </w:rPr>
              <w:t xml:space="preserve">Total Tokens</w:t>
            </w:r>
          </w:p>
        </w:tc>
        <w:tc>
          <w:tcPr>
            <w:tcW w:type="pct" w:w="20%"/>
            <w:shd w:fill="F1F5F9" w:val="clear"/>
            <w:tcMar>
              <w:top w:type="dxa" w:w="40"/>
              <w:left w:type="dxa" w:w="120"/>
              <w:bottom w:type="dxa" w:w="40"/>
              <w:right w:type="dxa" w:w="120"/>
            </w:tcMar>
          </w:tcPr>
          <w:p>
            <w:r>
              <w:rPr>
                <w:rFonts w:ascii="Times New Roman" w:eastAsia="SimSun"/>
                <w:color w:val="000000"/>
                <w:sz w:val="21"/>
                <w:szCs w:val="21"/>
              </w:rPr>
              <w:t xml:space="preserve">500M</w:t>
            </w:r>
          </w:p>
        </w:tc>
        <w:tc>
          <w:tcPr>
            <w:tcW w:type="pct" w:w="20%"/>
            <w:shd w:fill="F1F5F9" w:val="clear"/>
            <w:tcMar>
              <w:top w:type="dxa" w:w="40"/>
              <w:left w:type="dxa" w:w="120"/>
              <w:bottom w:type="dxa" w:w="40"/>
              <w:right w:type="dxa" w:w="120"/>
            </w:tcMar>
          </w:tcPr>
          <w:p>
            <w:r>
              <w:rPr>
                <w:rFonts w:ascii="Times New Roman" w:eastAsia="SimSun"/>
                <w:color w:val="000000"/>
                <w:sz w:val="21"/>
                <w:szCs w:val="21"/>
              </w:rPr>
              <w:t xml:space="preserve">5B</w:t>
            </w:r>
          </w:p>
        </w:tc>
        <w:tc>
          <w:tcPr>
            <w:tcW w:type="pct" w:w="20%"/>
            <w:shd w:fill="F1F5F9" w:val="clear"/>
            <w:tcMar>
              <w:top w:type="dxa" w:w="40"/>
              <w:left w:type="dxa" w:w="120"/>
              <w:bottom w:type="dxa" w:w="40"/>
              <w:right w:type="dxa" w:w="120"/>
            </w:tcMar>
          </w:tcPr>
          <w:p>
            <w:r>
              <w:rPr>
                <w:rFonts w:ascii="Times New Roman" w:eastAsia="SimSun"/>
                <w:color w:val="000000"/>
                <w:sz w:val="21"/>
                <w:szCs w:val="21"/>
              </w:rPr>
              <w:t xml:space="preserve">50B</w:t>
            </w:r>
          </w:p>
        </w:tc>
        <w:tc>
          <w:tcPr>
            <w:tcW w:type="pct" w:w="20%"/>
            <w:shd w:fill="F1F5F9" w:val="clear"/>
            <w:tcMar>
              <w:top w:type="dxa" w:w="40"/>
              <w:left w:type="dxa" w:w="120"/>
              <w:bottom w:type="dxa" w:w="40"/>
              <w:right w:type="dxa" w:w="120"/>
            </w:tcMar>
          </w:tcPr>
          <w:p>
            <w:r>
              <w:rPr>
                <w:rFonts w:ascii="Times New Roman" w:eastAsia="SimSun"/>
                <w:color w:val="000000"/>
                <w:sz w:val="21"/>
                <w:szCs w:val="21"/>
              </w:rPr>
              <w:t xml:space="preserve">300B+</w:t>
            </w:r>
          </w:p>
        </w:tc>
      </w:tr>
      <w:tr>
        <w:trPr>
          <w:cantSplit/>
        </w:trPr>
        <w:tc>
          <w:tcPr>
            <w:tcW w:type="pct" w:w="20%"/>
            <w:tcMar>
              <w:top w:type="dxa" w:w="40"/>
              <w:left w:type="dxa" w:w="120"/>
              <w:bottom w:type="dxa" w:w="40"/>
              <w:right w:type="dxa" w:w="120"/>
            </w:tcMar>
          </w:tcPr>
          <w:p>
            <w:r>
              <w:rPr>
                <w:rFonts w:ascii="Times New Roman" w:eastAsia="SimSun"/>
                <w:color w:val="000000"/>
                <w:sz w:val="21"/>
                <w:szCs w:val="21"/>
              </w:rPr>
              <w:t xml:space="preserve">Gradient Clip</w:t>
            </w:r>
          </w:p>
        </w:tc>
        <w:tc>
          <w:tcPr>
            <w:tcW w:type="pct" w:w="20%"/>
            <w:tcMar>
              <w:top w:type="dxa" w:w="40"/>
              <w:left w:type="dxa" w:w="120"/>
              <w:bottom w:type="dxa" w:w="40"/>
              <w:right w:type="dxa" w:w="120"/>
            </w:tcMar>
          </w:tcPr>
          <w:p>
            <w:r>
              <w:rPr>
                <w:rFonts w:ascii="Times New Roman" w:eastAsia="SimSun"/>
                <w:color w:val="000000"/>
                <w:sz w:val="21"/>
                <w:szCs w:val="21"/>
              </w:rPr>
              <w:t xml:space="preserve">1.0</w:t>
            </w:r>
          </w:p>
        </w:tc>
        <w:tc>
          <w:tcPr>
            <w:tcW w:type="pct" w:w="20%"/>
            <w:tcMar>
              <w:top w:type="dxa" w:w="40"/>
              <w:left w:type="dxa" w:w="120"/>
              <w:bottom w:type="dxa" w:w="40"/>
              <w:right w:type="dxa" w:w="120"/>
            </w:tcMar>
          </w:tcPr>
          <w:p>
            <w:r>
              <w:rPr>
                <w:rFonts w:ascii="Times New Roman" w:eastAsia="SimSun"/>
                <w:color w:val="000000"/>
                <w:sz w:val="21"/>
                <w:szCs w:val="21"/>
              </w:rPr>
              <w:t xml:space="preserve">1.0</w:t>
            </w:r>
          </w:p>
        </w:tc>
        <w:tc>
          <w:tcPr>
            <w:tcW w:type="pct" w:w="20%"/>
            <w:tcMar>
              <w:top w:type="dxa" w:w="40"/>
              <w:left w:type="dxa" w:w="120"/>
              <w:bottom w:type="dxa" w:w="40"/>
              <w:right w:type="dxa" w:w="120"/>
            </w:tcMar>
          </w:tcPr>
          <w:p>
            <w:r>
              <w:rPr>
                <w:rFonts w:ascii="Times New Roman" w:eastAsia="SimSun"/>
                <w:color w:val="000000"/>
                <w:sz w:val="21"/>
                <w:szCs w:val="21"/>
              </w:rPr>
              <w:t xml:space="preserve">1.0</w:t>
            </w:r>
          </w:p>
        </w:tc>
        <w:tc>
          <w:tcPr>
            <w:tcW w:type="pct" w:w="20%"/>
            <w:tcMar>
              <w:top w:type="dxa" w:w="40"/>
              <w:left w:type="dxa" w:w="120"/>
              <w:bottom w:type="dxa" w:w="40"/>
              <w:right w:type="dxa" w:w="120"/>
            </w:tcMar>
          </w:tcPr>
          <w:p>
            <w:r>
              <w:rPr>
                <w:rFonts w:ascii="Times New Roman" w:eastAsia="SimSun"/>
                <w:color w:val="000000"/>
                <w:sz w:val="21"/>
                <w:szCs w:val="21"/>
              </w:rPr>
              <w:t xml:space="preserve">1.0</w:t>
            </w:r>
          </w:p>
        </w:tc>
      </w:tr>
      <w:tr>
        <w:trPr>
          <w:cantSplit/>
        </w:trPr>
        <w:tc>
          <w:tcPr>
            <w:tcW w:type="pct" w:w="20%"/>
            <w:shd w:fill="F1F5F9" w:val="clear"/>
            <w:tcMar>
              <w:top w:type="dxa" w:w="40"/>
              <w:left w:type="dxa" w:w="120"/>
              <w:bottom w:type="dxa" w:w="40"/>
              <w:right w:type="dxa" w:w="120"/>
            </w:tcMar>
          </w:tcPr>
          <w:p>
            <w:r>
              <w:rPr>
                <w:rFonts w:ascii="Times New Roman" w:eastAsia="SimSun"/>
                <w:color w:val="000000"/>
                <w:sz w:val="21"/>
                <w:szCs w:val="21"/>
              </w:rPr>
              <w:t xml:space="preserve">Weight Decay</w:t>
            </w:r>
          </w:p>
        </w:tc>
        <w:tc>
          <w:tcPr>
            <w:tcW w:type="pct" w:w="20%"/>
            <w:shd w:fill="F1F5F9" w:val="clear"/>
            <w:tcMar>
              <w:top w:type="dxa" w:w="40"/>
              <w:left w:type="dxa" w:w="120"/>
              <w:bottom w:type="dxa" w:w="40"/>
              <w:right w:type="dxa" w:w="120"/>
            </w:tcMar>
          </w:tcPr>
          <w:p>
            <w:r>
              <w:rPr>
                <w:rFonts w:ascii="Times New Roman" w:eastAsia="SimSun"/>
                <w:color w:val="000000"/>
                <w:sz w:val="21"/>
                <w:szCs w:val="21"/>
              </w:rPr>
              <w:t xml:space="preserve">0.01</w:t>
            </w:r>
          </w:p>
        </w:tc>
        <w:tc>
          <w:tcPr>
            <w:tcW w:type="pct" w:w="20%"/>
            <w:shd w:fill="F1F5F9" w:val="clear"/>
            <w:tcMar>
              <w:top w:type="dxa" w:w="40"/>
              <w:left w:type="dxa" w:w="120"/>
              <w:bottom w:type="dxa" w:w="40"/>
              <w:right w:type="dxa" w:w="120"/>
            </w:tcMar>
          </w:tcPr>
          <w:p>
            <w:r>
              <w:rPr>
                <w:rFonts w:ascii="Times New Roman" w:eastAsia="SimSun"/>
                <w:color w:val="000000"/>
                <w:sz w:val="21"/>
                <w:szCs w:val="21"/>
              </w:rPr>
              <w:t xml:space="preserve">0.01</w:t>
            </w:r>
          </w:p>
        </w:tc>
        <w:tc>
          <w:tcPr>
            <w:tcW w:type="pct" w:w="20%"/>
            <w:shd w:fill="F1F5F9" w:val="clear"/>
            <w:tcMar>
              <w:top w:type="dxa" w:w="40"/>
              <w:left w:type="dxa" w:w="120"/>
              <w:bottom w:type="dxa" w:w="40"/>
              <w:right w:type="dxa" w:w="120"/>
            </w:tcMar>
          </w:tcPr>
          <w:p>
            <w:r>
              <w:rPr>
                <w:rFonts w:ascii="Times New Roman" w:eastAsia="SimSun"/>
                <w:color w:val="000000"/>
                <w:sz w:val="21"/>
                <w:szCs w:val="21"/>
              </w:rPr>
              <w:t xml:space="preserve">0.01</w:t>
            </w:r>
          </w:p>
        </w:tc>
        <w:tc>
          <w:tcPr>
            <w:tcW w:type="pct" w:w="20%"/>
            <w:shd w:fill="F1F5F9" w:val="clear"/>
            <w:tcMar>
              <w:top w:type="dxa" w:w="40"/>
              <w:left w:type="dxa" w:w="120"/>
              <w:bottom w:type="dxa" w:w="40"/>
              <w:right w:type="dxa" w:w="120"/>
            </w:tcMar>
          </w:tcPr>
          <w:p>
            <w:r>
              <w:rPr>
                <w:rFonts w:ascii="Times New Roman" w:eastAsia="SimSun"/>
                <w:color w:val="000000"/>
                <w:sz w:val="21"/>
                <w:szCs w:val="21"/>
              </w:rPr>
              <w:t xml:space="preserve">0.01</w:t>
            </w:r>
          </w:p>
        </w:tc>
      </w:tr>
    </w:tbl>
    <w:p>
      <w:pPr>
        <w:spacing w:before="120"/>
      </w:pPr>
    </w:p>
    <w:p>
      <w:pPr>
        <w:pStyle w:val="Heading3"/>
        <w:spacing w:after="120" w:before="240" w:line="312"/>
      </w:pPr>
      <w:bookmarkStart w:id="100009" w:name="_Toc100009"/>
      <w:r>
        <w:rPr>
          <w:rFonts w:ascii="Calibri" w:eastAsia="SimHei"/>
          <w:b/>
          <w:bCs/>
          <w:color w:val="0B1220"/>
          <w:sz w:val="24"/>
          <w:szCs w:val="24"/>
        </w:rPr>
        <w:t xml:space="preserve">2.1.2 Phase 2: Specialization (Routing Maturity &amp; Capacity Growth)</w:t>
      </w:r>
      <w:bookmarkEnd w:id="100009"/>
    </w:p>
    <w:p>
      <w:pPr>
        <w:spacing w:after="80" w:line="312"/>
        <w:ind w:firstLine="480"/>
        <w:jc w:val="both"/>
      </w:pPr>
      <w:r>
        <w:rPr>
          <w:rFonts w:ascii="Times New Roman" w:eastAsia="SimSun"/>
          <w:color w:val="000000"/>
          <w:sz w:val="24"/>
          <w:szCs w:val="24"/>
        </w:rPr>
        <w:t xml:space="preserve">After foundation pretraining achieves a stable loss plateau, the second phase focuses on maturing the routing decisions and enabling the full capacity of the adaptive mechanisms. During Phase 1, the router may have collapsed into degenerate routing patterns (e.g., always selecting the same pathway). Phase 2 addresses this by gradually increasing the auxiliary loss weights, particularly the path diversity loss (path_div_weight) and width diversity loss (width_div_weight), while simultaneously increasing the dataset difficulty and diversity.</w:t>
      </w:r>
    </w:p>
    <w:p>
      <w:pPr>
        <w:spacing w:after="80" w:line="312"/>
        <w:ind w:firstLine="480"/>
        <w:jc w:val="both"/>
      </w:pPr>
      <w:r>
        <w:rPr>
          <w:rFonts w:ascii="Times New Roman" w:eastAsia="SimSun"/>
          <w:color w:val="000000"/>
          <w:sz w:val="24"/>
          <w:szCs w:val="24"/>
        </w:rPr>
        <w:t xml:space="preserve">A practical strategy is to begin Phase 2 by increasing path_div_weight from 0.2 to 0.4 and width_div_weight from 0.1 to 0.3, which forces the router to distribute tokens more evenly across pathways and widths. Simultaneously, the compute_budget parameter can be reduced from 1.0 (full compute) to lower values like 0.5 or 0.25, which activates the cost-aware routing mechanism and trains the router to make more selective decisions under compute constraints. This is the phase where XORZEN's efficiency advantages over dense models begin to materialize: the model learns to allocate compute proportional to token difficulty.</w:t>
      </w:r>
    </w:p>
    <w:p>
      <w:pPr>
        <w:spacing w:after="80" w:line="312"/>
        <w:ind w:firstLine="480"/>
        <w:jc w:val="both"/>
      </w:pPr>
      <w:r>
        <w:rPr>
          <w:rFonts w:ascii="Times New Roman" w:eastAsia="SimSun"/>
          <w:color w:val="000000"/>
          <w:sz w:val="24"/>
          <w:szCs w:val="24"/>
        </w:rPr>
        <w:t xml:space="preserve">Expert specialization also deepens during Phase 2. The MoE routing should develop clear specialization patterns where different experts handle distinct types of tokens (syntactic vs. semantic, domain-specific, etc.). The load balancing loss must be monitored carefully: too high and experts collapse to uniform behavior; too low and some experts become dead. The Switch Transformer formula used in XORZEN provides a good balance, and the expert_capacity_factor of 1.25 ensures adequate capacity without excessive padding.</w:t>
      </w:r>
    </w:p>
    <w:p>
      <w:pPr>
        <w:pStyle w:val="Heading3"/>
        <w:spacing w:after="120" w:before="240" w:line="312"/>
      </w:pPr>
      <w:bookmarkStart w:id="100010" w:name="_Toc100010"/>
      <w:r>
        <w:rPr>
          <w:rFonts w:ascii="Calibri" w:eastAsia="SimHei"/>
          <w:b/>
          <w:bCs/>
          <w:color w:val="0B1220"/>
          <w:sz w:val="24"/>
          <w:szCs w:val="24"/>
        </w:rPr>
        <w:t xml:space="preserve">2.1.3 Phase 3: Alignment and Fine-Tuning</w:t>
      </w:r>
      <w:bookmarkEnd w:id="100010"/>
    </w:p>
    <w:p>
      <w:pPr>
        <w:spacing w:after="80" w:line="312"/>
        <w:ind w:firstLine="480"/>
        <w:jc w:val="both"/>
      </w:pPr>
      <w:r>
        <w:rPr>
          <w:rFonts w:ascii="Times New Roman" w:eastAsia="SimSun"/>
          <w:color w:val="000000"/>
          <w:sz w:val="24"/>
          <w:szCs w:val="24"/>
        </w:rPr>
        <w:t xml:space="preserve">The final phase applies standard alignment techniques (RLHF, DPO, or supervised fine-tuning) to adapt the pretrained model for specific use cases. This is also the phase where CoT should be enabled, allowing the model to develop internal reasoning chains. The existing CoT implementation uses a GRU-based recurrent update with consistency and diversity losses (cot_consistency_weight and cot_diversity_weight), which can now leverage the mature routing and representation learned in Phases 1 and 2.</w:t>
      </w:r>
    </w:p>
    <w:p>
      <w:pPr>
        <w:spacing w:after="80" w:line="312"/>
        <w:ind w:firstLine="480"/>
        <w:jc w:val="both"/>
      </w:pPr>
      <w:r>
        <w:rPr>
          <w:rFonts w:ascii="Times New Roman" w:eastAsia="SimSun"/>
          <w:color w:val="000000"/>
          <w:sz w:val="24"/>
          <w:szCs w:val="24"/>
        </w:rPr>
        <w:t xml:space="preserve">During alignment, the routing mechanisms should be partially frozen to prevent the fine-tuning data from corrupting the routing patterns learned during pretraining. A practical approach is to reduce the routing loss weights by 10x compared to Phase 2, allowing the routing to adapt slightly to the target distribution while maintaining its general-purpose routing capabilities. If the alignment data is narrow (e.g., only instruction-following), freezing the router entirely and only training the pathway FFN and expert parameters may yield better results.</w:t>
      </w:r>
    </w:p>
    <w:p>
      <w:pPr>
        <w:pStyle w:val="Heading2"/>
        <w:spacing w:after="160" w:before="360" w:line="312"/>
      </w:pPr>
      <w:bookmarkStart w:id="100011" w:name="_Toc100011"/>
      <w:r>
        <w:rPr>
          <w:rFonts w:ascii="Calibri" w:eastAsia="SimHei"/>
          <w:b/>
          <w:bCs/>
          <w:color w:val="0B1220"/>
          <w:sz w:val="28"/>
          <w:szCs w:val="28"/>
        </w:rPr>
        <w:t xml:space="preserve">2.2 Critical Training Considerations</w:t>
      </w:r>
      <w:bookmarkEnd w:id="100011"/>
    </w:p>
    <w:p>
      <w:pPr>
        <w:spacing w:after="80" w:line="312"/>
        <w:ind w:firstLine="480"/>
        <w:jc w:val="both"/>
      </w:pPr>
      <w:r>
        <w:rPr>
          <w:rFonts w:ascii="Times New Roman" w:eastAsia="SimSun"/>
          <w:color w:val="000000"/>
          <w:sz w:val="24"/>
          <w:szCs w:val="24"/>
        </w:rPr>
        <w:t xml:space="preserve">Several training considerations are specific to XORZEN's architecture and must be addressed for successful training. First, gradient flow through the routing mechanisms is maintained by the straight-through estimator, which uses hard top-k selection in the forward pass but allows gradients through the soft probabilities in the backward pass. This is the classic Bengio STE and is well-understood in the MoE literature, but it requires that the router's feature encoder receives meaningful gradients from the downstream loss.</w:t>
      </w:r>
    </w:p>
    <w:p>
      <w:pPr>
        <w:spacing w:after="80" w:line="312"/>
        <w:ind w:firstLine="480"/>
        <w:jc w:val="both"/>
      </w:pPr>
      <w:r>
        <w:rPr>
          <w:rFonts w:ascii="Times New Roman" w:eastAsia="SimSun"/>
          <w:color w:val="000000"/>
          <w:sz w:val="24"/>
          <w:szCs w:val="24"/>
        </w:rPr>
        <w:t xml:space="preserve">Second, the SSM pathway's numerical stability must be monitored during training. The ZOH discretization includes a Taylor expansion fallback for small dt * A values, but the A_log parameter can drift during training, potentially causing A_bar values to approach 1.0 (no decay) or 0.0 (instant decay). The ln_state layer norm on the SSM hidden states helps stabilize gradients over long sequences, but monitoring the distribution of A_bar values during training is advisable.</w:t>
      </w:r>
    </w:p>
    <w:p>
      <w:pPr>
        <w:spacing w:after="80" w:line="312"/>
        <w:ind w:firstLine="480"/>
        <w:jc w:val="both"/>
      </w:pPr>
      <w:r>
        <w:rPr>
          <w:rFonts w:ascii="Times New Roman" w:eastAsia="SimSun"/>
          <w:color w:val="000000"/>
          <w:sz w:val="24"/>
          <w:szCs w:val="24"/>
        </w:rPr>
        <w:t xml:space="preserve">Third, the MoE expert loading latency can become a bottleneck during training if the working set of active experts exceeds the LRU cache capacity. For the 24-expert cache with 192 total experts, the cache hit rate should be monitored and the cache size increased if it drops below 80%. The existing ExpertStats tracking provides per-expert cache hit/miss counts, which can be used to diagnose thrashing.</w:t>
      </w:r>
    </w:p>
    <w:p>
      <w:pPr>
        <w:pStyle w:val="Heading1"/>
        <w:spacing w:after="200" w:before="480" w:line="312"/>
      </w:pPr>
      <w:bookmarkStart w:id="100012" w:name="_Toc100012"/>
      <w:r>
        <w:rPr>
          <w:rFonts w:ascii="Calibri" w:eastAsia="SimHei"/>
          <w:b/>
          <w:bCs/>
          <w:color w:val="0B1220"/>
          <w:sz w:val="32"/>
          <w:szCs w:val="32"/>
        </w:rPr>
        <w:t xml:space="preserve">Part III: Knowledge Transfer from Large Pretrained Models</w:t>
      </w:r>
      <w:bookmarkEnd w:id="100012"/>
    </w:p>
    <w:p>
      <w:pPr>
        <w:pStyle w:val="Heading2"/>
        <w:spacing w:after="160" w:before="360" w:line="312"/>
      </w:pPr>
      <w:bookmarkStart w:id="100013" w:name="_Toc100013"/>
      <w:r>
        <w:rPr>
          <w:rFonts w:ascii="Calibri" w:eastAsia="SimHei"/>
          <w:b/>
          <w:bCs/>
          <w:color w:val="0B1220"/>
          <w:sz w:val="28"/>
          <w:szCs w:val="28"/>
        </w:rPr>
        <w:t xml:space="preserve">3.1 The Embedding Transfer Hypothesis</w:t>
      </w:r>
      <w:bookmarkEnd w:id="100013"/>
    </w:p>
    <w:p>
      <w:pPr>
        <w:spacing w:after="80" w:line="312"/>
        <w:ind w:firstLine="480"/>
        <w:jc w:val="both"/>
      </w:pPr>
      <w:r>
        <w:rPr>
          <w:rFonts w:ascii="Times New Roman" w:eastAsia="SimSun"/>
          <w:color w:val="000000"/>
          <w:sz w:val="24"/>
          <w:szCs w:val="24"/>
        </w:rPr>
        <w:t xml:space="preserve">The question about copying embeddings from larger models like Gemma 4 is astute and addresses a fundamental challenge in training conditional computation architectures from scratch. The hypothesis is compelling: if a large pretrained model like Gemma 4 has already learned high-quality token embeddings that capture rich semantic relationships, transferring these embeddings to XORZEN could give the model a significant head start in language understanding, allowing the training process to focus on learning the routing and pathway mechanisms rather than basic semantics.</w:t>
      </w:r>
    </w:p>
    <w:p>
      <w:pPr>
        <w:spacing w:after="80" w:line="312"/>
        <w:ind w:firstLine="480"/>
        <w:jc w:val="both"/>
      </w:pPr>
      <w:r>
        <w:rPr>
          <w:rFonts w:ascii="Times New Roman" w:eastAsia="SimSun"/>
          <w:color w:val="000000"/>
          <w:sz w:val="24"/>
          <w:szCs w:val="24"/>
        </w:rPr>
        <w:t xml:space="preserve">XORZEN already has a transfer learning system (transfer.py) that implements this exact capability through the TeacherExtractor and XORZENXTransferLearning classes. The system supports any HuggingFace causal LM model as a teacher, including Gemma, LLaMA, Mistral, Phi, Qwen, and GPT-2. The transfer mechanism operates on three levels: embedding transfer (copying the teacher's token embedding matrix), expert seeding (initializing MoE expert weights from the teacher's FFN layers), and router initialization (setting smart defaults for the routing heads).</w:t>
      </w:r>
    </w:p>
    <w:p>
      <w:pPr>
        <w:pStyle w:val="Heading2"/>
        <w:spacing w:after="160" w:before="360" w:line="312"/>
      </w:pPr>
      <w:bookmarkStart w:id="100014" w:name="_Toc100014"/>
      <w:r>
        <w:rPr>
          <w:rFonts w:ascii="Calibri" w:eastAsia="SimHei"/>
          <w:b/>
          <w:bCs/>
          <w:color w:val="0B1220"/>
          <w:sz w:val="28"/>
          <w:szCs w:val="28"/>
        </w:rPr>
        <w:t xml:space="preserve">3.2 Embedding Transfer: Methodology and Feasibility</w:t>
      </w:r>
      <w:bookmarkEnd w:id="100014"/>
    </w:p>
    <w:p>
      <w:pPr>
        <w:spacing w:after="80" w:line="312"/>
        <w:ind w:firstLine="480"/>
        <w:jc w:val="both"/>
      </w:pPr>
      <w:r>
        <w:rPr>
          <w:rFonts w:ascii="Times New Roman" w:eastAsia="SimSun"/>
          <w:color w:val="000000"/>
          <w:sz w:val="24"/>
          <w:szCs w:val="24"/>
        </w:rPr>
        <w:t xml:space="preserve">Embedding transfer from a larger model to XORZEN involves three technical challenges that must be addressed carefully: vocabulary mismatch, dimensionality mismatch, and distributional shift. The vocabulary mismatch is the most fundamental challenge. Gemma 4 uses a SentencePiece tokenizer with approximately 256,000 tokens, while XORZEN's default tokenizer uses 32,000 tokens (or 10,000 for the zero_bpe_10k variant). The token vocabularies have minimal overlap, so direct weight copying is not possible. Two approaches exist: (a) replace XORZEN's tokenizer with the teacher's tokenizer and resize the embedding matrix accordingly, or (b) learn a cross-vocabulary mapping matrix.</w:t>
      </w:r>
    </w:p>
    <w:p>
      <w:pPr>
        <w:spacing w:after="80" w:line="312"/>
        <w:ind w:firstLine="480"/>
        <w:jc w:val="both"/>
      </w:pPr>
      <w:r>
        <w:rPr>
          <w:rFonts w:ascii="Times New Roman" w:eastAsia="SimSun"/>
          <w:color w:val="000000"/>
          <w:sz w:val="24"/>
          <w:szCs w:val="24"/>
        </w:rPr>
        <w:t xml:space="preserve">Approach (a) is what the existing transfer.py implements via the 'resize' strategy. It extracts the teacher's full embedding matrix (e.g., 256,000 x 3072 for Gemma 4), replaces XORZEN's token_embedding with a new Embedding layer matching the teacher's vocabulary size, and adjusts the LM head accordingly. If the hidden dimensions differ (e.g., Gemma 4 has hidden_dim=3072 while XORZEN uses 2048), a linear projection is applied. This approach gives XORZEN instant access to the teacher's semantic embedding space, which means the model starts with a strong understanding of language structure, word relationships, and basic semantics.</w:t>
      </w:r>
    </w:p>
    <w:p>
      <w:pPr>
        <w:spacing w:after="80" w:line="312"/>
        <w:ind w:firstLine="480"/>
        <w:jc w:val="both"/>
      </w:pPr>
      <w:r>
        <w:rPr>
          <w:rFonts w:ascii="Times New Roman" w:eastAsia="SimSun"/>
          <w:color w:val="000000"/>
          <w:sz w:val="24"/>
          <w:szCs w:val="24"/>
        </w:rPr>
        <w:t xml:space="preserve">However, approach (a) has a significant cost: the vocabulary size increase from 32,000 to 256,000 increases the embedding parameters from approximately 65M to 786M (at hidden_dim=3072) or 524M (at hidden_dim=2048), which may exceed the available memory. Approach (b) avoids this by keeping XORZEN's compact vocabulary and learning a mapping from the teacher's embedding space, but it requires additional training to learn the mapping and does not transfer as much knowledge. A hybrid approach is also viable: use the teacher's tokenizer but with a reduced vocabulary that keeps the most frequent 32,000 or 65,000 tokens, capturing most of the semantic value while keeping memory manageable.</w:t>
      </w:r>
    </w:p>
    <w:p>
      <w:pPr>
        <w:pStyle w:val="Heading2"/>
        <w:spacing w:after="160" w:before="360" w:line="312"/>
      </w:pPr>
      <w:bookmarkStart w:id="100015" w:name="_Toc100015"/>
      <w:r>
        <w:rPr>
          <w:rFonts w:ascii="Calibri" w:eastAsia="SimHei"/>
          <w:b/>
          <w:bCs/>
          <w:color w:val="0B1220"/>
          <w:sz w:val="28"/>
          <w:szCs w:val="28"/>
        </w:rPr>
        <w:t xml:space="preserve">3.3 Beyond Embeddings: Layer-Wise Transfer Strategies</w:t>
      </w:r>
      <w:bookmarkEnd w:id="100015"/>
    </w:p>
    <w:p>
      <w:pPr>
        <w:spacing w:after="80" w:line="312"/>
        <w:ind w:firstLine="480"/>
        <w:jc w:val="both"/>
      </w:pPr>
      <w:r>
        <w:rPr>
          <w:rFonts w:ascii="Times New Roman" w:eastAsia="SimSun"/>
          <w:color w:val="000000"/>
          <w:sz w:val="24"/>
          <w:szCs w:val="24"/>
        </w:rPr>
        <w:t xml:space="preserve">Embedding transfer alone provides a strong initialization, but XORZEN's architecture diverges significantly from standard transformers, which limits the applicability of layer-wise weight transfer. The HASS block's three pathways (Local Attention, Low-Rank Global, SSM) do not have direct counterparts in Gemma 4 or other standard transformer models, so direct weight copying for these components is not feasible. However, the expert seeding mechanism in transfer.py provides a clever workaround: it initializes XORZEN's MoE expert FFN weights from the teacher's transformer FFN layers, with small noise injection to create diversity among experts.</w:t>
      </w:r>
    </w:p>
    <w:p>
      <w:pPr>
        <w:spacing w:after="80" w:line="312"/>
        <w:ind w:firstLine="480"/>
        <w:jc w:val="both"/>
      </w:pPr>
      <w:r>
        <w:rPr>
          <w:rFonts w:ascii="Times New Roman" w:eastAsia="SimSun"/>
          <w:color w:val="000000"/>
          <w:sz w:val="24"/>
          <w:szCs w:val="24"/>
        </w:rPr>
        <w:t xml:space="preserve">The expert seeding works as follows: for each teacher layer's FFN, it creates multiple expert variants (controlled by num_experts_per_layer, default 4) by copying the teacher's weights and adding Gaussian noise scaled by the variant index. This means expert 0 gets the teacher's weights nearly unchanged, while expert 3 gets the weights plus significant noise. This initialization is principled because it ensures that all experts start from a competent baseline (the teacher's learned representations) but are encouraged to specialize through the noise-induced diversity. The practical effect is that the MoE layer begins with reasonable FFN behavior and the router can learn to differentiate experts based on their noise patterns.</w:t>
      </w:r>
    </w:p>
    <w:p>
      <w:pPr>
        <w:spacing w:after="80" w:line="312"/>
        <w:ind w:firstLine="480"/>
        <w:jc w:val="both"/>
      </w:pPr>
      <w:r>
        <w:rPr>
          <w:rFonts w:ascii="Times New Roman" w:eastAsia="SimSun"/>
          <w:color w:val="000000"/>
          <w:sz w:val="24"/>
          <w:szCs w:val="24"/>
        </w:rPr>
        <w:t xml:space="preserve">For the SSM pathway, a promising but more experimental approach is to use the teacher's attention patterns to initialize the SSM's state transition parameters. The TeacherExtractor class already includes an extract_attention_patterns method that computes average attention distributions from sample texts. These attention patterns reveal which positions the teacher attends to most strongly, which can inform the initialization of the SSM's A_log parameter (controlling the decay rate of the hidden state) and the B/C projections. For example, positions with long-range attention patterns suggest a slower decay (A_bar closer to 1.0), while positions with local attention suggest faster decay.</w:t>
      </w:r>
    </w:p>
    <w:p>
      <w:pPr>
        <w:pStyle w:val="Heading2"/>
        <w:spacing w:after="160" w:before="360" w:line="312"/>
      </w:pPr>
      <w:bookmarkStart w:id="100016" w:name="_Toc100016"/>
      <w:r>
        <w:rPr>
          <w:rFonts w:ascii="Calibri" w:eastAsia="SimHei"/>
          <w:b/>
          <w:bCs/>
          <w:color w:val="0B1220"/>
          <w:sz w:val="28"/>
          <w:szCs w:val="28"/>
        </w:rPr>
        <w:t xml:space="preserve">3.4 Recommended Transfer Protocol for XORZEN</w:t>
      </w:r>
      <w:bookmarkEnd w:id="100016"/>
    </w:p>
    <w:p>
      <w:pPr>
        <w:spacing w:after="80" w:line="312"/>
        <w:ind w:firstLine="480"/>
        <w:jc w:val="both"/>
      </w:pPr>
      <w:r>
        <w:rPr>
          <w:rFonts w:ascii="Times New Roman" w:eastAsia="SimSun"/>
          <w:color w:val="000000"/>
          <w:sz w:val="24"/>
          <w:szCs w:val="24"/>
        </w:rPr>
        <w:t xml:space="preserve">Based on the analysis above, I recommend the following transfer protocol when initializing XORZEN from a larger model. This protocol is designed to maximize knowledge transfer while respecting XORZEN's unique architecture and keeping the memory footprint manageable. The protocol assumes access to a teacher model like Gemma 4, Phi-3, or Mistral-7B via the HuggingFace transformers library.</w:t>
      </w:r>
    </w:p>
    <w:tbl>
      <w:tblPr>
        <w:tblW w:type="pct" w:w="100%"/>
        <w:tblBorders>
          <w:top w:val="single" w:color="37DCF2" w:sz="2"/>
          <w:left w:val="none"/>
          <w:bottom w:val="single" w:color="37DCF2" w:sz="2"/>
          <w:right w:val="none"/>
          <w:insideH w:val="single" w:color="D0D0D0" w:sz="1"/>
          <w:insideV w:val="none"/>
        </w:tblBorders>
      </w:tblPr>
      <w:tblGrid>
        <w:gridCol w:w="100"/>
        <w:gridCol w:w="100"/>
        <w:gridCol w:w="100"/>
        <w:gridCol w:w="100"/>
      </w:tblGrid>
      <w:tr>
        <w:trPr>
          <w:cantSplit/>
          <w:tblHeader/>
        </w:trPr>
        <w:tc>
          <w:tcPr>
            <w:tcW w:type="pct" w:w="25%"/>
            <w:shd w:fill="1A2332" w:val="clear"/>
            <w:tcMar>
              <w:top w:type="dxa" w:w="60"/>
              <w:left w:type="dxa" w:w="120"/>
              <w:bottom w:type="dxa" w:w="60"/>
              <w:right w:type="dxa" w:w="120"/>
            </w:tcMar>
          </w:tcPr>
          <w:p>
            <w:pPr>
              <w:jc w:val="center"/>
            </w:pPr>
            <w:r>
              <w:rPr>
                <w:rFonts w:ascii="Calibri" w:eastAsia="SimHei"/>
                <w:b/>
                <w:bCs/>
                <w:color w:val="FFFFFF"/>
                <w:sz w:val="21"/>
                <w:szCs w:val="21"/>
              </w:rPr>
              <w:t xml:space="preserve">Step</w:t>
            </w:r>
          </w:p>
        </w:tc>
        <w:tc>
          <w:tcPr>
            <w:tcW w:type="pct" w:w="25%"/>
            <w:shd w:fill="1A2332" w:val="clear"/>
            <w:tcMar>
              <w:top w:type="dxa" w:w="60"/>
              <w:left w:type="dxa" w:w="120"/>
              <w:bottom w:type="dxa" w:w="60"/>
              <w:right w:type="dxa" w:w="120"/>
            </w:tcMar>
          </w:tcPr>
          <w:p>
            <w:pPr>
              <w:jc w:val="center"/>
            </w:pPr>
            <w:r>
              <w:rPr>
                <w:rFonts w:ascii="Calibri" w:eastAsia="SimHei"/>
                <w:b/>
                <w:bCs/>
                <w:color w:val="FFFFFF"/>
                <w:sz w:val="21"/>
                <w:szCs w:val="21"/>
              </w:rPr>
              <w:t xml:space="preserve">Action</w:t>
            </w:r>
          </w:p>
        </w:tc>
        <w:tc>
          <w:tcPr>
            <w:tcW w:type="pct" w:w="25%"/>
            <w:shd w:fill="1A2332" w:val="clear"/>
            <w:tcMar>
              <w:top w:type="dxa" w:w="60"/>
              <w:left w:type="dxa" w:w="120"/>
              <w:bottom w:type="dxa" w:w="60"/>
              <w:right w:type="dxa" w:w="120"/>
            </w:tcMar>
          </w:tcPr>
          <w:p>
            <w:pPr>
              <w:jc w:val="center"/>
            </w:pPr>
            <w:r>
              <w:rPr>
                <w:rFonts w:ascii="Calibri" w:eastAsia="SimHei"/>
                <w:b/>
                <w:bCs/>
                <w:color w:val="FFFFFF"/>
                <w:sz w:val="21"/>
                <w:szCs w:val="21"/>
              </w:rPr>
              <w:t xml:space="preserve">Purpose</w:t>
            </w:r>
          </w:p>
        </w:tc>
        <w:tc>
          <w:tcPr>
            <w:tcW w:type="pct" w:w="25%"/>
            <w:shd w:fill="1A2332" w:val="clear"/>
            <w:tcMar>
              <w:top w:type="dxa" w:w="60"/>
              <w:left w:type="dxa" w:w="120"/>
              <w:bottom w:type="dxa" w:w="60"/>
              <w:right w:type="dxa" w:w="120"/>
            </w:tcMar>
          </w:tcPr>
          <w:p>
            <w:pPr>
              <w:jc w:val="center"/>
            </w:pPr>
            <w:r>
              <w:rPr>
                <w:rFonts w:ascii="Calibri" w:eastAsia="SimHei"/>
                <w:b/>
                <w:bCs/>
                <w:color w:val="FFFFFF"/>
                <w:sz w:val="21"/>
                <w:szCs w:val="21"/>
              </w:rPr>
              <w:t xml:space="preserve">Memory Impact</w:t>
            </w:r>
          </w:p>
        </w:tc>
      </w:tr>
      <w:tr>
        <w:trPr>
          <w:cantSplit/>
        </w:trPr>
        <w:tc>
          <w:tcPr>
            <w:tcW w:type="pct" w:w="25%"/>
            <w:tcMar>
              <w:top w:type="dxa" w:w="40"/>
              <w:left w:type="dxa" w:w="120"/>
              <w:bottom w:type="dxa" w:w="40"/>
              <w:right w:type="dxa" w:w="120"/>
            </w:tcMar>
          </w:tcPr>
          <w:p>
            <w:r>
              <w:rPr>
                <w:rFonts w:ascii="Times New Roman" w:eastAsia="SimSun"/>
                <w:color w:val="000000"/>
                <w:sz w:val="21"/>
                <w:szCs w:val="21"/>
              </w:rPr>
              <w:t xml:space="preserve">1</w:t>
            </w:r>
          </w:p>
        </w:tc>
        <w:tc>
          <w:tcPr>
            <w:tcW w:type="pct" w:w="25%"/>
            <w:tcMar>
              <w:top w:type="dxa" w:w="40"/>
              <w:left w:type="dxa" w:w="120"/>
              <w:bottom w:type="dxa" w:w="40"/>
              <w:right w:type="dxa" w:w="120"/>
            </w:tcMar>
          </w:tcPr>
          <w:p>
            <w:r>
              <w:rPr>
                <w:rFonts w:ascii="Times New Roman" w:eastAsia="SimSun"/>
                <w:color w:val="000000"/>
                <w:sz w:val="21"/>
                <w:szCs w:val="21"/>
              </w:rPr>
              <w:t xml:space="preserve">Load teacher model</w:t>
            </w:r>
          </w:p>
        </w:tc>
        <w:tc>
          <w:tcPr>
            <w:tcW w:type="pct" w:w="25%"/>
            <w:tcMar>
              <w:top w:type="dxa" w:w="40"/>
              <w:left w:type="dxa" w:w="120"/>
              <w:bottom w:type="dxa" w:w="40"/>
              <w:right w:type="dxa" w:w="120"/>
            </w:tcMar>
          </w:tcPr>
          <w:p>
            <w:r>
              <w:rPr>
                <w:rFonts w:ascii="Times New Roman" w:eastAsia="SimSun"/>
                <w:color w:val="000000"/>
                <w:sz w:val="21"/>
                <w:szCs w:val="21"/>
              </w:rPr>
              <w:t xml:space="preserve">Extract embeddings &amp; FFN weights</w:t>
            </w:r>
          </w:p>
        </w:tc>
        <w:tc>
          <w:tcPr>
            <w:tcW w:type="pct" w:w="25%"/>
            <w:tcMar>
              <w:top w:type="dxa" w:w="40"/>
              <w:left w:type="dxa" w:w="120"/>
              <w:bottom w:type="dxa" w:w="40"/>
              <w:right w:type="dxa" w:w="120"/>
            </w:tcMar>
          </w:tcPr>
          <w:p>
            <w:r>
              <w:rPr>
                <w:rFonts w:ascii="Times New Roman" w:eastAsia="SimSun"/>
                <w:color w:val="000000"/>
                <w:sz w:val="21"/>
                <w:szCs w:val="21"/>
              </w:rPr>
              <w:t xml:space="preserve">Teacher GPU memory (temporary)</w:t>
            </w:r>
          </w:p>
        </w:tc>
      </w:tr>
      <w:tr>
        <w:trPr>
          <w:cantSplit/>
        </w:trPr>
        <w:tc>
          <w:tcPr>
            <w:tcW w:type="pct" w:w="25%"/>
            <w:shd w:fill="F1F5F9" w:val="clear"/>
            <w:tcMar>
              <w:top w:type="dxa" w:w="40"/>
              <w:left w:type="dxa" w:w="120"/>
              <w:bottom w:type="dxa" w:w="40"/>
              <w:right w:type="dxa" w:w="120"/>
            </w:tcMar>
          </w:tcPr>
          <w:p>
            <w:r>
              <w:rPr>
                <w:rFonts w:ascii="Times New Roman" w:eastAsia="SimSun"/>
                <w:color w:val="000000"/>
                <w:sz w:val="21"/>
                <w:szCs w:val="21"/>
              </w:rPr>
              <w:t xml:space="preserve">2</w:t>
            </w:r>
          </w:p>
        </w:tc>
        <w:tc>
          <w:tcPr>
            <w:tcW w:type="pct" w:w="25%"/>
            <w:shd w:fill="F1F5F9" w:val="clear"/>
            <w:tcMar>
              <w:top w:type="dxa" w:w="40"/>
              <w:left w:type="dxa" w:w="120"/>
              <w:bottom w:type="dxa" w:w="40"/>
              <w:right w:type="dxa" w:w="120"/>
            </w:tcMar>
          </w:tcPr>
          <w:p>
            <w:r>
              <w:rPr>
                <w:rFonts w:ascii="Times New Roman" w:eastAsia="SimSun"/>
                <w:color w:val="000000"/>
                <w:sz w:val="21"/>
                <w:szCs w:val="21"/>
              </w:rPr>
              <w:t xml:space="preserve">Transfer embeddings (resize)</w:t>
            </w:r>
          </w:p>
        </w:tc>
        <w:tc>
          <w:tcPr>
            <w:tcW w:type="pct" w:w="25%"/>
            <w:shd w:fill="F1F5F9" w:val="clear"/>
            <w:tcMar>
              <w:top w:type="dxa" w:w="40"/>
              <w:left w:type="dxa" w:w="120"/>
              <w:bottom w:type="dxa" w:w="40"/>
              <w:right w:type="dxa" w:w="120"/>
            </w:tcMar>
          </w:tcPr>
          <w:p>
            <w:r>
              <w:rPr>
                <w:rFonts w:ascii="Times New Roman" w:eastAsia="SimSun"/>
                <w:color w:val="000000"/>
                <w:sz w:val="21"/>
                <w:szCs w:val="21"/>
              </w:rPr>
              <w:t xml:space="preserve">Initialize token semantics</w:t>
            </w:r>
          </w:p>
        </w:tc>
        <w:tc>
          <w:tcPr>
            <w:tcW w:type="pct" w:w="25%"/>
            <w:shd w:fill="F1F5F9" w:val="clear"/>
            <w:tcMar>
              <w:top w:type="dxa" w:w="40"/>
              <w:left w:type="dxa" w:w="120"/>
              <w:bottom w:type="dxa" w:w="40"/>
              <w:right w:type="dxa" w:w="120"/>
            </w:tcMar>
          </w:tcPr>
          <w:p>
            <w:r>
              <w:rPr>
                <w:rFonts w:ascii="Times New Roman" w:eastAsia="SimSun"/>
                <w:color w:val="000000"/>
                <w:sz w:val="21"/>
                <w:szCs w:val="21"/>
              </w:rPr>
              <w:t xml:space="preserve">Embed params increase to match teacher vocab</w:t>
            </w:r>
          </w:p>
        </w:tc>
      </w:tr>
      <w:tr>
        <w:trPr>
          <w:cantSplit/>
        </w:trPr>
        <w:tc>
          <w:tcPr>
            <w:tcW w:type="pct" w:w="25%"/>
            <w:tcMar>
              <w:top w:type="dxa" w:w="40"/>
              <w:left w:type="dxa" w:w="120"/>
              <w:bottom w:type="dxa" w:w="40"/>
              <w:right w:type="dxa" w:w="120"/>
            </w:tcMar>
          </w:tcPr>
          <w:p>
            <w:r>
              <w:rPr>
                <w:rFonts w:ascii="Times New Roman" w:eastAsia="SimSun"/>
                <w:color w:val="000000"/>
                <w:sz w:val="21"/>
                <w:szCs w:val="21"/>
              </w:rPr>
              <w:t xml:space="preserve">3</w:t>
            </w:r>
          </w:p>
        </w:tc>
        <w:tc>
          <w:tcPr>
            <w:tcW w:type="pct" w:w="25%"/>
            <w:tcMar>
              <w:top w:type="dxa" w:w="40"/>
              <w:left w:type="dxa" w:w="120"/>
              <w:bottom w:type="dxa" w:w="40"/>
              <w:right w:type="dxa" w:w="120"/>
            </w:tcMar>
          </w:tcPr>
          <w:p>
            <w:r>
              <w:rPr>
                <w:rFonts w:ascii="Times New Roman" w:eastAsia="SimSun"/>
                <w:color w:val="000000"/>
                <w:sz w:val="21"/>
                <w:szCs w:val="21"/>
              </w:rPr>
              <w:t xml:space="preserve">Seed experts from FFN layers</w:t>
            </w:r>
          </w:p>
        </w:tc>
        <w:tc>
          <w:tcPr>
            <w:tcW w:type="pct" w:w="25%"/>
            <w:tcMar>
              <w:top w:type="dxa" w:w="40"/>
              <w:left w:type="dxa" w:w="120"/>
              <w:bottom w:type="dxa" w:w="40"/>
              <w:right w:type="dxa" w:w="120"/>
            </w:tcMar>
          </w:tcPr>
          <w:p>
            <w:r>
              <w:rPr>
                <w:rFonts w:ascii="Times New Roman" w:eastAsia="SimSun"/>
                <w:color w:val="000000"/>
                <w:sz w:val="21"/>
                <w:szCs w:val="21"/>
              </w:rPr>
              <w:t xml:space="preserve">Give MoE competent starting weights</w:t>
            </w:r>
          </w:p>
        </w:tc>
        <w:tc>
          <w:tcPr>
            <w:tcW w:type="pct" w:w="25%"/>
            <w:tcMar>
              <w:top w:type="dxa" w:w="40"/>
              <w:left w:type="dxa" w:w="120"/>
              <w:bottom w:type="dxa" w:w="40"/>
              <w:right w:type="dxa" w:w="120"/>
            </w:tcMar>
          </w:tcPr>
          <w:p>
            <w:r>
              <w:rPr>
                <w:rFonts w:ascii="Times New Roman" w:eastAsia="SimSun"/>
                <w:color w:val="000000"/>
                <w:sz w:val="21"/>
                <w:szCs w:val="21"/>
              </w:rPr>
              <w:t xml:space="preserve">No additional memory</w:t>
            </w:r>
          </w:p>
        </w:tc>
      </w:tr>
      <w:tr>
        <w:trPr>
          <w:cantSplit/>
        </w:trPr>
        <w:tc>
          <w:tcPr>
            <w:tcW w:type="pct" w:w="25%"/>
            <w:shd w:fill="F1F5F9" w:val="clear"/>
            <w:tcMar>
              <w:top w:type="dxa" w:w="40"/>
              <w:left w:type="dxa" w:w="120"/>
              <w:bottom w:type="dxa" w:w="40"/>
              <w:right w:type="dxa" w:w="120"/>
            </w:tcMar>
          </w:tcPr>
          <w:p>
            <w:r>
              <w:rPr>
                <w:rFonts w:ascii="Times New Roman" w:eastAsia="SimSun"/>
                <w:color w:val="000000"/>
                <w:sz w:val="21"/>
                <w:szCs w:val="21"/>
              </w:rPr>
              <w:t xml:space="preserve">4</w:t>
            </w:r>
          </w:p>
        </w:tc>
        <w:tc>
          <w:tcPr>
            <w:tcW w:type="pct" w:w="25%"/>
            <w:shd w:fill="F1F5F9" w:val="clear"/>
            <w:tcMar>
              <w:top w:type="dxa" w:w="40"/>
              <w:left w:type="dxa" w:w="120"/>
              <w:bottom w:type="dxa" w:w="40"/>
              <w:right w:type="dxa" w:w="120"/>
            </w:tcMar>
          </w:tcPr>
          <w:p>
            <w:r>
              <w:rPr>
                <w:rFonts w:ascii="Times New Roman" w:eastAsia="SimSun"/>
                <w:color w:val="000000"/>
                <w:sz w:val="21"/>
                <w:szCs w:val="21"/>
              </w:rPr>
              <w:t xml:space="preserve">Initialize router (balanced)</w:t>
            </w:r>
          </w:p>
        </w:tc>
        <w:tc>
          <w:tcPr>
            <w:tcW w:type="pct" w:w="25%"/>
            <w:shd w:fill="F1F5F9" w:val="clear"/>
            <w:tcMar>
              <w:top w:type="dxa" w:w="40"/>
              <w:left w:type="dxa" w:w="120"/>
              <w:bottom w:type="dxa" w:w="40"/>
              <w:right w:type="dxa" w:w="120"/>
            </w:tcMar>
          </w:tcPr>
          <w:p>
            <w:r>
              <w:rPr>
                <w:rFonts w:ascii="Times New Roman" w:eastAsia="SimSun"/>
                <w:color w:val="000000"/>
                <w:sz w:val="21"/>
                <w:szCs w:val="21"/>
              </w:rPr>
              <w:t xml:space="preserve">Start with uniform routing</w:t>
            </w:r>
          </w:p>
        </w:tc>
        <w:tc>
          <w:tcPr>
            <w:tcW w:type="pct" w:w="25%"/>
            <w:shd w:fill="F1F5F9" w:val="clear"/>
            <w:tcMar>
              <w:top w:type="dxa" w:w="40"/>
              <w:left w:type="dxa" w:w="120"/>
              <w:bottom w:type="dxa" w:w="40"/>
              <w:right w:type="dxa" w:w="120"/>
            </w:tcMar>
          </w:tcPr>
          <w:p>
            <w:r>
              <w:rPr>
                <w:rFonts w:ascii="Times New Roman" w:eastAsia="SimSun"/>
                <w:color w:val="000000"/>
                <w:sz w:val="21"/>
                <w:szCs w:val="21"/>
              </w:rPr>
              <w:t xml:space="preserve">Negligible</w:t>
            </w:r>
          </w:p>
        </w:tc>
      </w:tr>
      <w:tr>
        <w:trPr>
          <w:cantSplit/>
        </w:trPr>
        <w:tc>
          <w:tcPr>
            <w:tcW w:type="pct" w:w="25%"/>
            <w:tcMar>
              <w:top w:type="dxa" w:w="40"/>
              <w:left w:type="dxa" w:w="120"/>
              <w:bottom w:type="dxa" w:w="40"/>
              <w:right w:type="dxa" w:w="120"/>
            </w:tcMar>
          </w:tcPr>
          <w:p>
            <w:r>
              <w:rPr>
                <w:rFonts w:ascii="Times New Roman" w:eastAsia="SimSun"/>
                <w:color w:val="000000"/>
                <w:sz w:val="21"/>
                <w:szCs w:val="21"/>
              </w:rPr>
              <w:t xml:space="preserve">5</w:t>
            </w:r>
          </w:p>
        </w:tc>
        <w:tc>
          <w:tcPr>
            <w:tcW w:type="pct" w:w="25%"/>
            <w:tcMar>
              <w:top w:type="dxa" w:w="40"/>
              <w:left w:type="dxa" w:w="120"/>
              <w:bottom w:type="dxa" w:w="40"/>
              <w:right w:type="dxa" w:w="120"/>
            </w:tcMar>
          </w:tcPr>
          <w:p>
            <w:r>
              <w:rPr>
                <w:rFonts w:ascii="Times New Roman" w:eastAsia="SimSun"/>
                <w:color w:val="000000"/>
                <w:sz w:val="21"/>
                <w:szCs w:val="21"/>
              </w:rPr>
              <w:t xml:space="preserve">Freeze embeddings</w:t>
            </w:r>
          </w:p>
        </w:tc>
        <w:tc>
          <w:tcPr>
            <w:tcW w:type="pct" w:w="25%"/>
            <w:tcMar>
              <w:top w:type="dxa" w:w="40"/>
              <w:left w:type="dxa" w:w="120"/>
              <w:bottom w:type="dxa" w:w="40"/>
              <w:right w:type="dxa" w:w="120"/>
            </w:tcMar>
          </w:tcPr>
          <w:p>
            <w:r>
              <w:rPr>
                <w:rFonts w:ascii="Times New Roman" w:eastAsia="SimSun"/>
                <w:color w:val="000000"/>
                <w:sz w:val="21"/>
                <w:szCs w:val="21"/>
              </w:rPr>
              <w:t xml:space="preserve">Preserve transferred knowledge</w:t>
            </w:r>
          </w:p>
        </w:tc>
        <w:tc>
          <w:tcPr>
            <w:tcW w:type="pct" w:w="25%"/>
            <w:tcMar>
              <w:top w:type="dxa" w:w="40"/>
              <w:left w:type="dxa" w:w="120"/>
              <w:bottom w:type="dxa" w:w="40"/>
              <w:right w:type="dxa" w:w="120"/>
            </w:tcMar>
          </w:tcPr>
          <w:p>
            <w:r>
              <w:rPr>
                <w:rFonts w:ascii="Times New Roman" w:eastAsia="SimSun"/>
                <w:color w:val="000000"/>
                <w:sz w:val="21"/>
                <w:szCs w:val="21"/>
              </w:rPr>
              <w:t xml:space="preserve">Saves gradient compute</w:t>
            </w:r>
          </w:p>
        </w:tc>
      </w:tr>
      <w:tr>
        <w:trPr>
          <w:cantSplit/>
        </w:trPr>
        <w:tc>
          <w:tcPr>
            <w:tcW w:type="pct" w:w="25%"/>
            <w:shd w:fill="F1F5F9" w:val="clear"/>
            <w:tcMar>
              <w:top w:type="dxa" w:w="40"/>
              <w:left w:type="dxa" w:w="120"/>
              <w:bottom w:type="dxa" w:w="40"/>
              <w:right w:type="dxa" w:w="120"/>
            </w:tcMar>
          </w:tcPr>
          <w:p>
            <w:r>
              <w:rPr>
                <w:rFonts w:ascii="Times New Roman" w:eastAsia="SimSun"/>
                <w:color w:val="000000"/>
                <w:sz w:val="21"/>
                <w:szCs w:val="21"/>
              </w:rPr>
              <w:t xml:space="preserve">6</w:t>
            </w:r>
          </w:p>
        </w:tc>
        <w:tc>
          <w:tcPr>
            <w:tcW w:type="pct" w:w="25%"/>
            <w:shd w:fill="F1F5F9" w:val="clear"/>
            <w:tcMar>
              <w:top w:type="dxa" w:w="40"/>
              <w:left w:type="dxa" w:w="120"/>
              <w:bottom w:type="dxa" w:w="40"/>
              <w:right w:type="dxa" w:w="120"/>
            </w:tcMar>
          </w:tcPr>
          <w:p>
            <w:r>
              <w:rPr>
                <w:rFonts w:ascii="Times New Roman" w:eastAsia="SimSun"/>
                <w:color w:val="000000"/>
                <w:sz w:val="21"/>
                <w:szCs w:val="21"/>
              </w:rPr>
              <w:t xml:space="preserve">Train with reduced LR</w:t>
            </w:r>
          </w:p>
        </w:tc>
        <w:tc>
          <w:tcPr>
            <w:tcW w:type="pct" w:w="25%"/>
            <w:shd w:fill="F1F5F9" w:val="clear"/>
            <w:tcMar>
              <w:top w:type="dxa" w:w="40"/>
              <w:left w:type="dxa" w:w="120"/>
              <w:bottom w:type="dxa" w:w="40"/>
              <w:right w:type="dxa" w:w="120"/>
            </w:tcMar>
          </w:tcPr>
          <w:p>
            <w:r>
              <w:rPr>
                <w:rFonts w:ascii="Times New Roman" w:eastAsia="SimSun"/>
                <w:color w:val="000000"/>
                <w:sz w:val="21"/>
                <w:szCs w:val="21"/>
              </w:rPr>
              <w:t xml:space="preserve">Adapt routing to new architecture</w:t>
            </w:r>
          </w:p>
        </w:tc>
        <w:tc>
          <w:tcPr>
            <w:tcW w:type="pct" w:w="25%"/>
            <w:shd w:fill="F1F5F9" w:val="clear"/>
            <w:tcMar>
              <w:top w:type="dxa" w:w="40"/>
              <w:left w:type="dxa" w:w="120"/>
              <w:bottom w:type="dxa" w:w="40"/>
              <w:right w:type="dxa" w:w="120"/>
            </w:tcMar>
          </w:tcPr>
          <w:p>
            <w:r>
              <w:rPr>
                <w:rFonts w:ascii="Times New Roman" w:eastAsia="SimSun"/>
                <w:color w:val="000000"/>
                <w:sz w:val="21"/>
                <w:szCs w:val="21"/>
              </w:rPr>
              <w:t xml:space="preserve">Standard training memory</w:t>
            </w:r>
          </w:p>
        </w:tc>
      </w:tr>
      <w:tr>
        <w:trPr>
          <w:cantSplit/>
        </w:trPr>
        <w:tc>
          <w:tcPr>
            <w:tcW w:type="pct" w:w="25%"/>
            <w:tcMar>
              <w:top w:type="dxa" w:w="40"/>
              <w:left w:type="dxa" w:w="120"/>
              <w:bottom w:type="dxa" w:w="40"/>
              <w:right w:type="dxa" w:w="120"/>
            </w:tcMar>
          </w:tcPr>
          <w:p>
            <w:r>
              <w:rPr>
                <w:rFonts w:ascii="Times New Roman" w:eastAsia="SimSun"/>
                <w:color w:val="000000"/>
                <w:sz w:val="21"/>
                <w:szCs w:val="21"/>
              </w:rPr>
              <w:t xml:space="preserve">7</w:t>
            </w:r>
          </w:p>
        </w:tc>
        <w:tc>
          <w:tcPr>
            <w:tcW w:type="pct" w:w="25%"/>
            <w:tcMar>
              <w:top w:type="dxa" w:w="40"/>
              <w:left w:type="dxa" w:w="120"/>
              <w:bottom w:type="dxa" w:w="40"/>
              <w:right w:type="dxa" w:w="120"/>
            </w:tcMar>
          </w:tcPr>
          <w:p>
            <w:r>
              <w:rPr>
                <w:rFonts w:ascii="Times New Roman" w:eastAsia="SimSun"/>
                <w:color w:val="000000"/>
                <w:sz w:val="21"/>
                <w:szCs w:val="21"/>
              </w:rPr>
              <w:t xml:space="preserve">Unfreeze &amp; full LR training</w:t>
            </w:r>
          </w:p>
        </w:tc>
        <w:tc>
          <w:tcPr>
            <w:tcW w:type="pct" w:w="25%"/>
            <w:tcMar>
              <w:top w:type="dxa" w:w="40"/>
              <w:left w:type="dxa" w:w="120"/>
              <w:bottom w:type="dxa" w:w="40"/>
              <w:right w:type="dxa" w:w="120"/>
            </w:tcMar>
          </w:tcPr>
          <w:p>
            <w:r>
              <w:rPr>
                <w:rFonts w:ascii="Times New Roman" w:eastAsia="SimSun"/>
                <w:color w:val="000000"/>
                <w:sz w:val="21"/>
                <w:szCs w:val="21"/>
              </w:rPr>
              <w:t xml:space="preserve">Joint optimization of all components</w:t>
            </w:r>
          </w:p>
        </w:tc>
        <w:tc>
          <w:tcPr>
            <w:tcW w:type="pct" w:w="25%"/>
            <w:tcMar>
              <w:top w:type="dxa" w:w="40"/>
              <w:left w:type="dxa" w:w="120"/>
              <w:bottom w:type="dxa" w:w="40"/>
              <w:right w:type="dxa" w:w="120"/>
            </w:tcMar>
          </w:tcPr>
          <w:p>
            <w:r>
              <w:rPr>
                <w:rFonts w:ascii="Times New Roman" w:eastAsia="SimSun"/>
                <w:color w:val="000000"/>
                <w:sz w:val="21"/>
                <w:szCs w:val="21"/>
              </w:rPr>
              <w:t xml:space="preserve">Standard training memory</w:t>
            </w:r>
          </w:p>
        </w:tc>
      </w:tr>
    </w:tbl>
    <w:p>
      <w:pPr>
        <w:spacing w:before="120"/>
      </w:pPr>
    </w:p>
    <w:p>
      <w:pPr>
        <w:spacing w:after="80" w:line="312"/>
        <w:ind w:firstLine="480"/>
        <w:jc w:val="both"/>
      </w:pPr>
      <w:r>
        <w:rPr>
          <w:rFonts w:ascii="Times New Roman" w:eastAsia="SimSun"/>
          <w:color w:val="000000"/>
          <w:sz w:val="24"/>
          <w:szCs w:val="24"/>
        </w:rPr>
        <w:t xml:space="preserve">The critical insight is that Step 6 (train with frozen embeddings and reduced learning rate) is essential. Immediately training with full learning rate on all parameters can destroy the transferred embedding knowledge before the routing mechanisms have had time to adapt. A reduced learning rate of 1e-4 to 3e-4 for the first 10-20% of total training steps allows the router, pathways, and experts to learn to work with the transferred representations. After this warm-up period, all parameters can be unfrozen and the learning rate increased to the standard schedule. This staged approach typically yields 3-5x faster convergence compared to training from random initialization.</w:t>
      </w:r>
    </w:p>
    <w:p>
      <w:pPr>
        <w:pStyle w:val="Heading2"/>
        <w:spacing w:after="160" w:before="360" w:line="312"/>
      </w:pPr>
      <w:bookmarkStart w:id="100017" w:name="_Toc100017"/>
      <w:r>
        <w:rPr>
          <w:rFonts w:ascii="Calibri" w:eastAsia="SimHei"/>
          <w:b/>
          <w:bCs/>
          <w:color w:val="0B1220"/>
          <w:sz w:val="28"/>
          <w:szCs w:val="28"/>
        </w:rPr>
        <w:t xml:space="preserve">3.5 Model Recommendations for Transfer</w:t>
      </w:r>
      <w:bookmarkEnd w:id="100017"/>
    </w:p>
    <w:p>
      <w:pPr>
        <w:spacing w:after="80" w:line="312"/>
        <w:ind w:firstLine="480"/>
        <w:jc w:val="both"/>
      </w:pPr>
      <w:r>
        <w:rPr>
          <w:rFonts w:ascii="Times New Roman" w:eastAsia="SimSun"/>
          <w:color w:val="000000"/>
          <w:sz w:val="24"/>
          <w:szCs w:val="24"/>
        </w:rPr>
        <w:t xml:space="preserve">The choice of teacher model significantly impacts the quality of transfer. Larger, more capable teachers generally produce better initializations, but the vocabulary mismatch challenge increases with vocabulary size differences. Based on XORZEN's architecture and the existing transfer infrastructure, the following teacher models are recommended, listed in order of preference for different scenarios.</w:t>
      </w:r>
    </w:p>
    <w:p>
      <w:pPr>
        <w:spacing w:after="80" w:line="312"/>
        <w:ind w:firstLine="480"/>
        <w:jc w:val="both"/>
      </w:pPr>
      <w:r>
        <w:rPr>
          <w:rFonts w:ascii="Times New Roman" w:eastAsia="SimSun"/>
          <w:color w:val="000000"/>
          <w:sz w:val="24"/>
          <w:szCs w:val="24"/>
        </w:rPr>
        <w:t xml:space="preserve">For best overall quality, Gemma 4 (2B or 9B) is recommended because of its strong multilingual training data and modern training methodology. Gemma's tokenizer uses approximately 256K tokens, so the vocabulary resize approach is necessary, but the resulting model benefits from Gemma's extensive linguistic knowledge. For smaller memory budgets, Phi-3-mini (3.8B) is an excellent choice: despite its small size, it was trained on very high-quality data (synthetic and filtered) and achieves remarkable performance per parameter. Phi-3's vocabulary of approximately 32K tokens is close to XORZEN's default, reducing the vocabulary mismatch problem. For a balance of quality and compatibility, Mistral-7B-v0.3 offers strong performance with a 32K vocabulary that closely matches XORZEN's default, making embedding transfer nearly direct without dimensionality projection.</w:t>
      </w:r>
    </w:p>
    <w:tbl>
      <w:tblPr>
        <w:tblW w:type="pct" w:w="100%"/>
        <w:tblBorders>
          <w:top w:val="single" w:color="37DCF2" w:sz="2"/>
          <w:left w:val="none"/>
          <w:bottom w:val="single" w:color="37DCF2" w:sz="2"/>
          <w:right w:val="none"/>
          <w:insideH w:val="single" w:color="D0D0D0" w:sz="1"/>
          <w:insideV w:val="none"/>
        </w:tblBorders>
      </w:tblPr>
      <w:tblGrid>
        <w:gridCol w:w="100"/>
        <w:gridCol w:w="100"/>
        <w:gridCol w:w="100"/>
        <w:gridCol w:w="100"/>
        <w:gridCol w:w="100"/>
      </w:tblGrid>
      <w:tr>
        <w:trPr>
          <w:cantSplit/>
          <w:tblHeader/>
        </w:trPr>
        <w:tc>
          <w:tcPr>
            <w:tcW w:type="pct" w:w="20%"/>
            <w:shd w:fill="1A2332" w:val="clear"/>
            <w:tcMar>
              <w:top w:type="dxa" w:w="60"/>
              <w:left w:type="dxa" w:w="120"/>
              <w:bottom w:type="dxa" w:w="60"/>
              <w:right w:type="dxa" w:w="120"/>
            </w:tcMar>
          </w:tcPr>
          <w:p>
            <w:pPr>
              <w:jc w:val="center"/>
            </w:pPr>
            <w:r>
              <w:rPr>
                <w:rFonts w:ascii="Calibri" w:eastAsia="SimHei"/>
                <w:b/>
                <w:bCs/>
                <w:color w:val="FFFFFF"/>
                <w:sz w:val="21"/>
                <w:szCs w:val="21"/>
              </w:rPr>
              <w:t xml:space="preserve">Teacher Model</w:t>
            </w:r>
          </w:p>
        </w:tc>
        <w:tc>
          <w:tcPr>
            <w:tcW w:type="pct" w:w="20%"/>
            <w:shd w:fill="1A2332" w:val="clear"/>
            <w:tcMar>
              <w:top w:type="dxa" w:w="60"/>
              <w:left w:type="dxa" w:w="120"/>
              <w:bottom w:type="dxa" w:w="60"/>
              <w:right w:type="dxa" w:w="120"/>
            </w:tcMar>
          </w:tcPr>
          <w:p>
            <w:pPr>
              <w:jc w:val="center"/>
            </w:pPr>
            <w:r>
              <w:rPr>
                <w:rFonts w:ascii="Calibri" w:eastAsia="SimHei"/>
                <w:b/>
                <w:bCs/>
                <w:color w:val="FFFFFF"/>
                <w:sz w:val="21"/>
                <w:szCs w:val="21"/>
              </w:rPr>
              <w:t xml:space="preserve">Hidden Dim</w:t>
            </w:r>
          </w:p>
        </w:tc>
        <w:tc>
          <w:tcPr>
            <w:tcW w:type="pct" w:w="20%"/>
            <w:shd w:fill="1A2332" w:val="clear"/>
            <w:tcMar>
              <w:top w:type="dxa" w:w="60"/>
              <w:left w:type="dxa" w:w="120"/>
              <w:bottom w:type="dxa" w:w="60"/>
              <w:right w:type="dxa" w:w="120"/>
            </w:tcMar>
          </w:tcPr>
          <w:p>
            <w:pPr>
              <w:jc w:val="center"/>
            </w:pPr>
            <w:r>
              <w:rPr>
                <w:rFonts w:ascii="Calibri" w:eastAsia="SimHei"/>
                <w:b/>
                <w:bCs/>
                <w:color w:val="FFFFFF"/>
                <w:sz w:val="21"/>
                <w:szCs w:val="21"/>
              </w:rPr>
              <w:t xml:space="preserve">Vocab Size</w:t>
            </w:r>
          </w:p>
        </w:tc>
        <w:tc>
          <w:tcPr>
            <w:tcW w:type="pct" w:w="20%"/>
            <w:shd w:fill="1A2332" w:val="clear"/>
            <w:tcMar>
              <w:top w:type="dxa" w:w="60"/>
              <w:left w:type="dxa" w:w="120"/>
              <w:bottom w:type="dxa" w:w="60"/>
              <w:right w:type="dxa" w:w="120"/>
            </w:tcMar>
          </w:tcPr>
          <w:p>
            <w:pPr>
              <w:jc w:val="center"/>
            </w:pPr>
            <w:r>
              <w:rPr>
                <w:rFonts w:ascii="Calibri" w:eastAsia="SimHei"/>
                <w:b/>
                <w:bCs/>
                <w:color w:val="FFFFFF"/>
                <w:sz w:val="21"/>
                <w:szCs w:val="21"/>
              </w:rPr>
              <w:t xml:space="preserve">Compatibility</w:t>
            </w:r>
          </w:p>
        </w:tc>
        <w:tc>
          <w:tcPr>
            <w:tcW w:type="pct" w:w="20%"/>
            <w:shd w:fill="1A2332" w:val="clear"/>
            <w:tcMar>
              <w:top w:type="dxa" w:w="60"/>
              <w:left w:type="dxa" w:w="120"/>
              <w:bottom w:type="dxa" w:w="60"/>
              <w:right w:type="dxa" w:w="120"/>
            </w:tcMar>
          </w:tcPr>
          <w:p>
            <w:pPr>
              <w:jc w:val="center"/>
            </w:pPr>
            <w:r>
              <w:rPr>
                <w:rFonts w:ascii="Calibri" w:eastAsia="SimHei"/>
                <w:b/>
                <w:bCs/>
                <w:color w:val="FFFFFF"/>
                <w:sz w:val="21"/>
                <w:szCs w:val="21"/>
              </w:rPr>
              <w:t xml:space="preserve">Recommended XORZEN Scale</w:t>
            </w:r>
          </w:p>
        </w:tc>
      </w:tr>
      <w:tr>
        <w:trPr>
          <w:cantSplit/>
        </w:trPr>
        <w:tc>
          <w:tcPr>
            <w:tcW w:type="pct" w:w="20%"/>
            <w:tcMar>
              <w:top w:type="dxa" w:w="40"/>
              <w:left w:type="dxa" w:w="120"/>
              <w:bottom w:type="dxa" w:w="40"/>
              <w:right w:type="dxa" w:w="120"/>
            </w:tcMar>
          </w:tcPr>
          <w:p>
            <w:r>
              <w:rPr>
                <w:rFonts w:ascii="Times New Roman" w:eastAsia="SimSun"/>
                <w:color w:val="000000"/>
                <w:sz w:val="21"/>
                <w:szCs w:val="21"/>
              </w:rPr>
              <w:t xml:space="preserve">Gemma 4 (2B)</w:t>
            </w:r>
          </w:p>
        </w:tc>
        <w:tc>
          <w:tcPr>
            <w:tcW w:type="pct" w:w="20%"/>
            <w:tcMar>
              <w:top w:type="dxa" w:w="40"/>
              <w:left w:type="dxa" w:w="120"/>
              <w:bottom w:type="dxa" w:w="40"/>
              <w:right w:type="dxa" w:w="120"/>
            </w:tcMar>
          </w:tcPr>
          <w:p>
            <w:r>
              <w:rPr>
                <w:rFonts w:ascii="Times New Roman" w:eastAsia="SimSun"/>
                <w:color w:val="000000"/>
                <w:sz w:val="21"/>
                <w:szCs w:val="21"/>
              </w:rPr>
              <w:t xml:space="preserve">2048</w:t>
            </w:r>
          </w:p>
        </w:tc>
        <w:tc>
          <w:tcPr>
            <w:tcW w:type="pct" w:w="20%"/>
            <w:tcMar>
              <w:top w:type="dxa" w:w="40"/>
              <w:left w:type="dxa" w:w="120"/>
              <w:bottom w:type="dxa" w:w="40"/>
              <w:right w:type="dxa" w:w="120"/>
            </w:tcMar>
          </w:tcPr>
          <w:p>
            <w:r>
              <w:rPr>
                <w:rFonts w:ascii="Times New Roman" w:eastAsia="SimSun"/>
                <w:color w:val="000000"/>
                <w:sz w:val="21"/>
                <w:szCs w:val="21"/>
              </w:rPr>
              <w:t xml:space="preserve">256K</w:t>
            </w:r>
          </w:p>
        </w:tc>
        <w:tc>
          <w:tcPr>
            <w:tcW w:type="pct" w:w="20%"/>
            <w:tcMar>
              <w:top w:type="dxa" w:w="40"/>
              <w:left w:type="dxa" w:w="120"/>
              <w:bottom w:type="dxa" w:w="40"/>
              <w:right w:type="dxa" w:w="120"/>
            </w:tcMar>
          </w:tcPr>
          <w:p>
            <w:r>
              <w:rPr>
                <w:rFonts w:ascii="Times New Roman" w:eastAsia="SimSun"/>
                <w:color w:val="000000"/>
                <w:sz w:val="21"/>
                <w:szCs w:val="21"/>
              </w:rPr>
              <w:t xml:space="preserve">Medium (vocab resize needed)</w:t>
            </w:r>
          </w:p>
        </w:tc>
        <w:tc>
          <w:tcPr>
            <w:tcW w:type="pct" w:w="20%"/>
            <w:tcMar>
              <w:top w:type="dxa" w:w="40"/>
              <w:left w:type="dxa" w:w="120"/>
              <w:bottom w:type="dxa" w:w="40"/>
              <w:right w:type="dxa" w:w="120"/>
            </w:tcMar>
          </w:tcPr>
          <w:p>
            <w:r>
              <w:rPr>
                <w:rFonts w:ascii="Times New Roman" w:eastAsia="SimSun"/>
                <w:color w:val="000000"/>
                <w:sz w:val="21"/>
                <w:szCs w:val="21"/>
              </w:rPr>
              <w:t xml:space="preserve">MINI_277M+</w:t>
            </w:r>
          </w:p>
        </w:tc>
      </w:tr>
      <w:tr>
        <w:trPr>
          <w:cantSplit/>
        </w:trPr>
        <w:tc>
          <w:tcPr>
            <w:tcW w:type="pct" w:w="20%"/>
            <w:shd w:fill="F1F5F9" w:val="clear"/>
            <w:tcMar>
              <w:top w:type="dxa" w:w="40"/>
              <w:left w:type="dxa" w:w="120"/>
              <w:bottom w:type="dxa" w:w="40"/>
              <w:right w:type="dxa" w:w="120"/>
            </w:tcMar>
          </w:tcPr>
          <w:p>
            <w:r>
              <w:rPr>
                <w:rFonts w:ascii="Times New Roman" w:eastAsia="SimSun"/>
                <w:color w:val="000000"/>
                <w:sz w:val="21"/>
                <w:szCs w:val="21"/>
              </w:rPr>
              <w:t xml:space="preserve">Phi-3-mini (3.8B)</w:t>
            </w:r>
          </w:p>
        </w:tc>
        <w:tc>
          <w:tcPr>
            <w:tcW w:type="pct" w:w="20%"/>
            <w:shd w:fill="F1F5F9" w:val="clear"/>
            <w:tcMar>
              <w:top w:type="dxa" w:w="40"/>
              <w:left w:type="dxa" w:w="120"/>
              <w:bottom w:type="dxa" w:w="40"/>
              <w:right w:type="dxa" w:w="120"/>
            </w:tcMar>
          </w:tcPr>
          <w:p>
            <w:r>
              <w:rPr>
                <w:rFonts w:ascii="Times New Roman" w:eastAsia="SimSun"/>
                <w:color w:val="000000"/>
                <w:sz w:val="21"/>
                <w:szCs w:val="21"/>
              </w:rPr>
              <w:t xml:space="preserve">3072</w:t>
            </w:r>
          </w:p>
        </w:tc>
        <w:tc>
          <w:tcPr>
            <w:tcW w:type="pct" w:w="20%"/>
            <w:shd w:fill="F1F5F9" w:val="clear"/>
            <w:tcMar>
              <w:top w:type="dxa" w:w="40"/>
              <w:left w:type="dxa" w:w="120"/>
              <w:bottom w:type="dxa" w:w="40"/>
              <w:right w:type="dxa" w:w="120"/>
            </w:tcMar>
          </w:tcPr>
          <w:p>
            <w:r>
              <w:rPr>
                <w:rFonts w:ascii="Times New Roman" w:eastAsia="SimSun"/>
                <w:color w:val="000000"/>
                <w:sz w:val="21"/>
                <w:szCs w:val="21"/>
              </w:rPr>
              <w:t xml:space="preserve">32K</w:t>
            </w:r>
          </w:p>
        </w:tc>
        <w:tc>
          <w:tcPr>
            <w:tcW w:type="pct" w:w="20%"/>
            <w:shd w:fill="F1F5F9" w:val="clear"/>
            <w:tcMar>
              <w:top w:type="dxa" w:w="40"/>
              <w:left w:type="dxa" w:w="120"/>
              <w:bottom w:type="dxa" w:w="40"/>
              <w:right w:type="dxa" w:w="120"/>
            </w:tcMar>
          </w:tcPr>
          <w:p>
            <w:r>
              <w:rPr>
                <w:rFonts w:ascii="Times New Roman" w:eastAsia="SimSun"/>
                <w:color w:val="000000"/>
                <w:sz w:val="21"/>
                <w:szCs w:val="21"/>
              </w:rPr>
              <w:t xml:space="preserve">High (vocab matches)</w:t>
            </w:r>
          </w:p>
        </w:tc>
        <w:tc>
          <w:tcPr>
            <w:tcW w:type="pct" w:w="20%"/>
            <w:shd w:fill="F1F5F9" w:val="clear"/>
            <w:tcMar>
              <w:top w:type="dxa" w:w="40"/>
              <w:left w:type="dxa" w:w="120"/>
              <w:bottom w:type="dxa" w:w="40"/>
              <w:right w:type="dxa" w:w="120"/>
            </w:tcMar>
          </w:tcPr>
          <w:p>
            <w:r>
              <w:rPr>
                <w:rFonts w:ascii="Times New Roman" w:eastAsia="SimSun"/>
                <w:color w:val="000000"/>
                <w:sz w:val="21"/>
                <w:szCs w:val="21"/>
              </w:rPr>
              <w:t xml:space="preserve">NANO_10M+</w:t>
            </w:r>
          </w:p>
        </w:tc>
      </w:tr>
      <w:tr>
        <w:trPr>
          <w:cantSplit/>
        </w:trPr>
        <w:tc>
          <w:tcPr>
            <w:tcW w:type="pct" w:w="20%"/>
            <w:tcMar>
              <w:top w:type="dxa" w:w="40"/>
              <w:left w:type="dxa" w:w="120"/>
              <w:bottom w:type="dxa" w:w="40"/>
              <w:right w:type="dxa" w:w="120"/>
            </w:tcMar>
          </w:tcPr>
          <w:p>
            <w:r>
              <w:rPr>
                <w:rFonts w:ascii="Times New Roman" w:eastAsia="SimSun"/>
                <w:color w:val="000000"/>
                <w:sz w:val="21"/>
                <w:szCs w:val="21"/>
              </w:rPr>
              <w:t xml:space="preserve">Mistral-7B-v0.3</w:t>
            </w:r>
          </w:p>
        </w:tc>
        <w:tc>
          <w:tcPr>
            <w:tcW w:type="pct" w:w="20%"/>
            <w:tcMar>
              <w:top w:type="dxa" w:w="40"/>
              <w:left w:type="dxa" w:w="120"/>
              <w:bottom w:type="dxa" w:w="40"/>
              <w:right w:type="dxa" w:w="120"/>
            </w:tcMar>
          </w:tcPr>
          <w:p>
            <w:r>
              <w:rPr>
                <w:rFonts w:ascii="Times New Roman" w:eastAsia="SimSun"/>
                <w:color w:val="000000"/>
                <w:sz w:val="21"/>
                <w:szCs w:val="21"/>
              </w:rPr>
              <w:t xml:space="preserve">4096</w:t>
            </w:r>
          </w:p>
        </w:tc>
        <w:tc>
          <w:tcPr>
            <w:tcW w:type="pct" w:w="20%"/>
            <w:tcMar>
              <w:top w:type="dxa" w:w="40"/>
              <w:left w:type="dxa" w:w="120"/>
              <w:bottom w:type="dxa" w:w="40"/>
              <w:right w:type="dxa" w:w="120"/>
            </w:tcMar>
          </w:tcPr>
          <w:p>
            <w:r>
              <w:rPr>
                <w:rFonts w:ascii="Times New Roman" w:eastAsia="SimSun"/>
                <w:color w:val="000000"/>
                <w:sz w:val="21"/>
                <w:szCs w:val="21"/>
              </w:rPr>
              <w:t xml:space="preserve">32K</w:t>
            </w:r>
          </w:p>
        </w:tc>
        <w:tc>
          <w:tcPr>
            <w:tcW w:type="pct" w:w="20%"/>
            <w:tcMar>
              <w:top w:type="dxa" w:w="40"/>
              <w:left w:type="dxa" w:w="120"/>
              <w:bottom w:type="dxa" w:w="40"/>
              <w:right w:type="dxa" w:w="120"/>
            </w:tcMar>
          </w:tcPr>
          <w:p>
            <w:r>
              <w:rPr>
                <w:rFonts w:ascii="Times New Roman" w:eastAsia="SimSun"/>
                <w:color w:val="000000"/>
                <w:sz w:val="21"/>
                <w:szCs w:val="21"/>
              </w:rPr>
              <w:t xml:space="preserve">High (vocab matches)</w:t>
            </w:r>
          </w:p>
        </w:tc>
        <w:tc>
          <w:tcPr>
            <w:tcW w:type="pct" w:w="20%"/>
            <w:tcMar>
              <w:top w:type="dxa" w:w="40"/>
              <w:left w:type="dxa" w:w="120"/>
              <w:bottom w:type="dxa" w:w="40"/>
              <w:right w:type="dxa" w:w="120"/>
            </w:tcMar>
          </w:tcPr>
          <w:p>
            <w:r>
              <w:rPr>
                <w:rFonts w:ascii="Times New Roman" w:eastAsia="SimSun"/>
                <w:color w:val="000000"/>
                <w:sz w:val="21"/>
                <w:szCs w:val="21"/>
              </w:rPr>
              <w:t xml:space="preserve">MINI_277M+</w:t>
            </w:r>
          </w:p>
        </w:tc>
      </w:tr>
      <w:tr>
        <w:trPr>
          <w:cantSplit/>
        </w:trPr>
        <w:tc>
          <w:tcPr>
            <w:tcW w:type="pct" w:w="20%"/>
            <w:shd w:fill="F1F5F9" w:val="clear"/>
            <w:tcMar>
              <w:top w:type="dxa" w:w="40"/>
              <w:left w:type="dxa" w:w="120"/>
              <w:bottom w:type="dxa" w:w="40"/>
              <w:right w:type="dxa" w:w="120"/>
            </w:tcMar>
          </w:tcPr>
          <w:p>
            <w:r>
              <w:rPr>
                <w:rFonts w:ascii="Times New Roman" w:eastAsia="SimSun"/>
                <w:color w:val="000000"/>
                <w:sz w:val="21"/>
                <w:szCs w:val="21"/>
              </w:rPr>
              <w:t xml:space="preserve">Qwen2-7B</w:t>
            </w:r>
          </w:p>
        </w:tc>
        <w:tc>
          <w:tcPr>
            <w:tcW w:type="pct" w:w="20%"/>
            <w:shd w:fill="F1F5F9" w:val="clear"/>
            <w:tcMar>
              <w:top w:type="dxa" w:w="40"/>
              <w:left w:type="dxa" w:w="120"/>
              <w:bottom w:type="dxa" w:w="40"/>
              <w:right w:type="dxa" w:w="120"/>
            </w:tcMar>
          </w:tcPr>
          <w:p>
            <w:r>
              <w:rPr>
                <w:rFonts w:ascii="Times New Roman" w:eastAsia="SimSun"/>
                <w:color w:val="000000"/>
                <w:sz w:val="21"/>
                <w:szCs w:val="21"/>
              </w:rPr>
              <w:t xml:space="preserve">3584</w:t>
            </w:r>
          </w:p>
        </w:tc>
        <w:tc>
          <w:tcPr>
            <w:tcW w:type="pct" w:w="20%"/>
            <w:shd w:fill="F1F5F9" w:val="clear"/>
            <w:tcMar>
              <w:top w:type="dxa" w:w="40"/>
              <w:left w:type="dxa" w:w="120"/>
              <w:bottom w:type="dxa" w:w="40"/>
              <w:right w:type="dxa" w:w="120"/>
            </w:tcMar>
          </w:tcPr>
          <w:p>
            <w:r>
              <w:rPr>
                <w:rFonts w:ascii="Times New Roman" w:eastAsia="SimSun"/>
                <w:color w:val="000000"/>
                <w:sz w:val="21"/>
                <w:szCs w:val="21"/>
              </w:rPr>
              <w:t xml:space="preserve">152K</w:t>
            </w:r>
          </w:p>
        </w:tc>
        <w:tc>
          <w:tcPr>
            <w:tcW w:type="pct" w:w="20%"/>
            <w:shd w:fill="F1F5F9" w:val="clear"/>
            <w:tcMar>
              <w:top w:type="dxa" w:w="40"/>
              <w:left w:type="dxa" w:w="120"/>
              <w:bottom w:type="dxa" w:w="40"/>
              <w:right w:type="dxa" w:w="120"/>
            </w:tcMar>
          </w:tcPr>
          <w:p>
            <w:r>
              <w:rPr>
                <w:rFonts w:ascii="Times New Roman" w:eastAsia="SimSun"/>
                <w:color w:val="000000"/>
                <w:sz w:val="21"/>
                <w:szCs w:val="21"/>
              </w:rPr>
              <w:t xml:space="preserve">Medium (vocab resize needed)</w:t>
            </w:r>
          </w:p>
        </w:tc>
        <w:tc>
          <w:tcPr>
            <w:tcW w:type="pct" w:w="20%"/>
            <w:shd w:fill="F1F5F9" w:val="clear"/>
            <w:tcMar>
              <w:top w:type="dxa" w:w="40"/>
              <w:left w:type="dxa" w:w="120"/>
              <w:bottom w:type="dxa" w:w="40"/>
              <w:right w:type="dxa" w:w="120"/>
            </w:tcMar>
          </w:tcPr>
          <w:p>
            <w:r>
              <w:rPr>
                <w:rFonts w:ascii="Times New Roman" w:eastAsia="SimSun"/>
                <w:color w:val="000000"/>
                <w:sz w:val="21"/>
                <w:szCs w:val="21"/>
              </w:rPr>
              <w:t xml:space="preserve">MINI_277M+</w:t>
            </w:r>
          </w:p>
        </w:tc>
      </w:tr>
      <w:tr>
        <w:trPr>
          <w:cantSplit/>
        </w:trPr>
        <w:tc>
          <w:tcPr>
            <w:tcW w:type="pct" w:w="20%"/>
            <w:tcMar>
              <w:top w:type="dxa" w:w="40"/>
              <w:left w:type="dxa" w:w="120"/>
              <w:bottom w:type="dxa" w:w="40"/>
              <w:right w:type="dxa" w:w="120"/>
            </w:tcMar>
          </w:tcPr>
          <w:p>
            <w:r>
              <w:rPr>
                <w:rFonts w:ascii="Times New Roman" w:eastAsia="SimSun"/>
                <w:color w:val="000000"/>
                <w:sz w:val="21"/>
                <w:szCs w:val="21"/>
              </w:rPr>
              <w:t xml:space="preserve">GPT-2-XL (1.5B)</w:t>
            </w:r>
          </w:p>
        </w:tc>
        <w:tc>
          <w:tcPr>
            <w:tcW w:type="pct" w:w="20%"/>
            <w:tcMar>
              <w:top w:type="dxa" w:w="40"/>
              <w:left w:type="dxa" w:w="120"/>
              <w:bottom w:type="dxa" w:w="40"/>
              <w:right w:type="dxa" w:w="120"/>
            </w:tcMar>
          </w:tcPr>
          <w:p>
            <w:r>
              <w:rPr>
                <w:rFonts w:ascii="Times New Roman" w:eastAsia="SimSun"/>
                <w:color w:val="000000"/>
                <w:sz w:val="21"/>
                <w:szCs w:val="21"/>
              </w:rPr>
              <w:t xml:space="preserve">1600</w:t>
            </w:r>
          </w:p>
        </w:tc>
        <w:tc>
          <w:tcPr>
            <w:tcW w:type="pct" w:w="20%"/>
            <w:tcMar>
              <w:top w:type="dxa" w:w="40"/>
              <w:left w:type="dxa" w:w="120"/>
              <w:bottom w:type="dxa" w:w="40"/>
              <w:right w:type="dxa" w:w="120"/>
            </w:tcMar>
          </w:tcPr>
          <w:p>
            <w:r>
              <w:rPr>
                <w:rFonts w:ascii="Times New Roman" w:eastAsia="SimSun"/>
                <w:color w:val="000000"/>
                <w:sz w:val="21"/>
                <w:szCs w:val="21"/>
              </w:rPr>
              <w:t xml:space="preserve">50K</w:t>
            </w:r>
          </w:p>
        </w:tc>
        <w:tc>
          <w:tcPr>
            <w:tcW w:type="pct" w:w="20%"/>
            <w:tcMar>
              <w:top w:type="dxa" w:w="40"/>
              <w:left w:type="dxa" w:w="120"/>
              <w:bottom w:type="dxa" w:w="40"/>
              <w:right w:type="dxa" w:w="120"/>
            </w:tcMar>
          </w:tcPr>
          <w:p>
            <w:r>
              <w:rPr>
                <w:rFonts w:ascii="Times New Roman" w:eastAsia="SimSun"/>
                <w:color w:val="000000"/>
                <w:sz w:val="21"/>
                <w:szCs w:val="21"/>
              </w:rPr>
              <w:t xml:space="preserve">High (dim projection needed)</w:t>
            </w:r>
          </w:p>
        </w:tc>
        <w:tc>
          <w:tcPr>
            <w:tcW w:type="pct" w:w="20%"/>
            <w:tcMar>
              <w:top w:type="dxa" w:w="40"/>
              <w:left w:type="dxa" w:w="120"/>
              <w:bottom w:type="dxa" w:w="40"/>
              <w:right w:type="dxa" w:w="120"/>
            </w:tcMar>
          </w:tcPr>
          <w:p>
            <w:r>
              <w:rPr>
                <w:rFonts w:ascii="Times New Roman" w:eastAsia="SimSun"/>
                <w:color w:val="000000"/>
                <w:sz w:val="21"/>
                <w:szCs w:val="21"/>
              </w:rPr>
              <w:t xml:space="preserve">NANO_10M+</w:t>
            </w:r>
          </w:p>
        </w:tc>
      </w:tr>
    </w:tbl>
    <w:p>
      <w:pPr>
        <w:spacing w:before="120"/>
      </w:pPr>
    </w:p>
    <w:p>
      <w:pPr>
        <w:pStyle w:val="Heading1"/>
        <w:spacing w:after="200" w:before="480" w:line="312"/>
      </w:pPr>
      <w:bookmarkStart w:id="100018" w:name="_Toc100018"/>
      <w:r>
        <w:rPr>
          <w:rFonts w:ascii="Calibri" w:eastAsia="SimHei"/>
          <w:b/>
          <w:bCs/>
          <w:color w:val="0B1220"/>
          <w:sz w:val="32"/>
          <w:szCs w:val="32"/>
        </w:rPr>
        <w:t xml:space="preserve">Part IV: Conclusions and Strategic Recommendations</w:t>
      </w:r>
      <w:bookmarkEnd w:id="100018"/>
    </w:p>
    <w:p>
      <w:pPr>
        <w:pStyle w:val="Heading2"/>
        <w:spacing w:after="160" w:before="360" w:line="312"/>
      </w:pPr>
      <w:bookmarkStart w:id="100019" w:name="_Toc100019"/>
      <w:r>
        <w:rPr>
          <w:rFonts w:ascii="Calibri" w:eastAsia="SimHei"/>
          <w:b/>
          <w:bCs/>
          <w:color w:val="0B1220"/>
          <w:sz w:val="28"/>
          <w:szCs w:val="28"/>
        </w:rPr>
        <w:t xml:space="preserve">4.1 Summary of Architectural Assessment</w:t>
      </w:r>
      <w:bookmarkEnd w:id="100019"/>
    </w:p>
    <w:p>
      <w:pPr>
        <w:spacing w:after="80" w:line="312"/>
        <w:ind w:firstLine="480"/>
        <w:jc w:val="both"/>
      </w:pPr>
      <w:r>
        <w:rPr>
          <w:rFonts w:ascii="Times New Roman" w:eastAsia="SimSun"/>
          <w:color w:val="000000"/>
          <w:sz w:val="24"/>
          <w:szCs w:val="24"/>
        </w:rPr>
        <w:t xml:space="preserve">The XORZEN architecture at v0.5 represents a mature and well-engineered conditional computation system. The core design decisions are defensible: the three-pathway HASS block addresses the complementary strengths and weaknesses of local attention, global attention, and state space models; the SlicedFFN provides genuine per-token width sparsity; the ShardedExpertFabric enables large-scale MoE on commodity hardware; and the adaptive router coordinates all routing axes with cost-aware decisions. The implementation demonstrates attention to detail in correctness (causal masking, ZOH discretization with Taylor fallback, STE for sparse dispatch) and performance (cached masks, chunked scans, closure caching, index_add_ dispatch).</w:t>
      </w:r>
    </w:p>
    <w:p>
      <w:pPr>
        <w:spacing w:after="80" w:line="312"/>
        <w:ind w:firstLine="480"/>
        <w:jc w:val="both"/>
      </w:pPr>
      <w:r>
        <w:rPr>
          <w:rFonts w:ascii="Times New Roman" w:eastAsia="SimSun"/>
          <w:color w:val="000000"/>
          <w:sz w:val="24"/>
          <w:szCs w:val="24"/>
        </w:rPr>
        <w:t xml:space="preserve">The removal of dead code (pathway_gate), unification of double-counted losses, and addition of eval_routing_noise demonstrate a commitment to addressing real issues identified through audit. The auxiliary loss weight tuning (100x reduction for small-scale models) shows practical understanding of the training dynamics at different scales. These are not theoretical improvements but fixes for problems that would have prevented the model from training successfully.</w:t>
      </w:r>
    </w:p>
    <w:p>
      <w:pPr>
        <w:pStyle w:val="Heading2"/>
        <w:spacing w:after="160" w:before="360" w:line="312"/>
      </w:pPr>
      <w:bookmarkStart w:id="100020" w:name="_Toc100020"/>
      <w:r>
        <w:rPr>
          <w:rFonts w:ascii="Calibri" w:eastAsia="SimHei"/>
          <w:b/>
          <w:bCs/>
          <w:color w:val="0B1220"/>
          <w:sz w:val="28"/>
          <w:szCs w:val="28"/>
        </w:rPr>
        <w:t xml:space="preserve">4.2 Strategic Recommendations</w:t>
      </w:r>
      <w:bookmarkEnd w:id="100020"/>
    </w:p>
    <w:p>
      <w:pPr>
        <w:spacing w:after="80" w:line="312"/>
        <w:ind w:firstLine="480"/>
        <w:jc w:val="both"/>
      </w:pPr>
      <w:r>
        <w:rPr>
          <w:rFonts w:ascii="Times New Roman" w:eastAsia="SimSun"/>
          <w:color w:val="000000"/>
          <w:sz w:val="24"/>
          <w:szCs w:val="24"/>
        </w:rPr>
        <w:t xml:space="preserve">For the training roadmap, the three-phase pipeline (Foundation, Specialization, Alignment) is the recommended approach. Begin with foundation pretraining at the scales specified in the parameter table, using the CurriculumTrainer for smaller models and the XORZENXTrainer for larger models. Monitor pathway usage entropy and expert load balance during training. If pathway entropy drops below 0.5 (out of a maximum of log(3) = 1.1), increase path_div_weight. If expert load variance exceeds 0.3, increase the load balancing weight.</w:t>
      </w:r>
    </w:p>
    <w:p>
      <w:pPr>
        <w:spacing w:after="80" w:line="312"/>
        <w:ind w:firstLine="480"/>
        <w:jc w:val="both"/>
      </w:pPr>
      <w:r>
        <w:rPr>
          <w:rFonts w:ascii="Times New Roman" w:eastAsia="SimSun"/>
          <w:color w:val="000000"/>
          <w:sz w:val="24"/>
          <w:szCs w:val="24"/>
        </w:rPr>
        <w:t xml:space="preserve">For knowledge transfer, use Phi-3-mini as the teacher model when starting with NANO_10M or MINI_277M scale XORZEN models, due to its high quality per parameter and vocabulary compatibility. For SMALL_500M and above, Gemma 4 provides the best initialization quality despite the vocabulary resize overhead. In all cases, follow the seven-step transfer protocol with the frozen-embedding warm-up phase.</w:t>
      </w:r>
    </w:p>
    <w:p>
      <w:pPr>
        <w:spacing w:after="80" w:line="312"/>
        <w:ind w:firstLine="480"/>
        <w:jc w:val="both"/>
      </w:pPr>
      <w:r>
        <w:rPr>
          <w:rFonts w:ascii="Times New Roman" w:eastAsia="SimSun"/>
          <w:color w:val="000000"/>
          <w:sz w:val="24"/>
          <w:szCs w:val="24"/>
        </w:rPr>
        <w:t xml:space="preserve">For production deployment, the compute_budget parameter enables inference-time compute-quality tradeoffs without retraining. Setting compute_budget=0.5 approximately halves the FLOPs per token by routing easier tokens through fewer pathways and narrower FFN widths. The eval_routing_noise parameter (default 0.15) should be calibrated for the target application: higher values increase diversity at the cost of determinism, while 0.0 gives fully deterministic routing (useful for reproducible benchmarks but may degrade quality due to routing collapse).</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t xml:space="preserve">PAGE \* ROMAN \* MERGEFORMAT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t xml:space="preserve">PAGE \* arabic \* MERGEFORMAT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8"/>
        <w:szCs w:val="18"/>
      </w:rPr>
      <w:t xml:space="preserve">XORZEN Architecture Analysis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8"/>
        <w:szCs w:val="18"/>
      </w:rPr>
      <w:t xml:space="preserve">XORZEN Architecture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2026-09-02T06:22:22.300Z</dcterms:created>
  <dcterms:modified xsi:type="dcterms:W3CDTF">2026-09-02T06:22:22.300Z</dcterms:modified>
</cp:coreProperties>
</file>

<file path=docProps/custom.xml><?xml version="1.0" encoding="utf-8"?>
<Properties xmlns="http://schemas.openxmlformats.org/officeDocument/2006/custom-properties" xmlns:vt="http://schemas.openxmlformats.org/officeDocument/2006/docPropsVTypes"/>
</file>