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2a: Hemodynamic parameters on weaning day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19"/>
        <w:gridCol w:w="2496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[IQR]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 to weaning test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[4–10], n=31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flow (l)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[1.6–3], n=31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Dobutamine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[0–25], n=31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Noradrenaline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[0–7.1], n=31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MAP_baseline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[72–80], n=31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[84.5–104], n=31</w:t>
            </w:r>
          </w:p>
        </w:tc>
      </w:tr>
      <w:tr>
        <w:trPr>
          <w:trHeight w:val="61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FEVG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[30–42.8], n=30</w:t>
            </w:r>
          </w:p>
        </w:tc>
      </w:tr>
      <w:tr>
        <w:trPr>
          <w:trHeight w:val="61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Mitral S' (cm/s)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[5.9–9], n=29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[0.8–1.4], n=30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2025-11-17T12:06:18Z</dcterms:modified>
  <cp:category/>
</cp:coreProperties>
</file>