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 by circulating DPP3 median measured at time of VA-ECMO implantation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156"/>
        <w:gridCol w:w="3102"/>
        <w:gridCol w:w="2980"/>
        <w:gridCol w:w="2954"/>
      </w:tblGrid>
      <w:tr>
        <w:trPr>
          <w:trHeight w:val="619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cDPP3&gt;73 ng/mL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cDPP3≤73 ng/mL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difference [95% CI]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Demographics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60.0 [53.0 – 67.5]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59.0 [48.8 – 64.5]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[-6 – 9]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(21.7)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 ( 8.3)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 [-33 – +8]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28.1 [22.9 – 31.9]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26.0 [24.9 – 28.6]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[-2 – 6]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Medical 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10 (43.5)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 (33.3)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 [-36 – +17]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(21.7)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 (16.7)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[-27 – +18]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(30.4)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9 (37.5)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+7 [-20 – +33]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(17.4)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 [-31 – +6]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 [-21 – +12]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(17.4)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 ( 0.0)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 [-34 – +1]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 ( 8.3)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 [-18 – +17]</w:t>
            </w:r>
          </w:p>
        </w:tc>
      </w:tr>
      <w:tr>
        <w:trPr>
          <w:trHeight w:val="61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Prior-adrenergic medications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11 (47.8)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11 (45.8)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 [-29 – +26]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 [-21 – +12]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Cardiogenic shock cause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8 (34.8)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 (33.3)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 [-28 – +25]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15 (65.2)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16 (66.7)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+1 [-25 – +28]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15 (65.2)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 (41.7)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-24 [-48 – +5]</w:t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Clinical parameters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92.0 [84.0 – 104.0]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101.5 [91.8 – 116.2]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 [-21 – 0]</w:t>
            </w:r>
          </w:p>
        </w:tc>
      </w:tr>
      <w:tr>
        <w:trPr>
          <w:trHeight w:val="62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[59.5 – 68.0]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67.0 [56.0 – 72.2]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 [-9 – 6]</w:t>
            </w:r>
          </w:p>
        </w:tc>
      </w:tr>
      <w:tr>
        <w:trPr>
          <w:trHeight w:val="62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71.0 [68.0 – 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76.5 [68.8 – 87.0]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 [-12 – 2]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 – 125.5]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95.5 [84.0 – 103.5]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[-7 – 21]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17.5 [13.8 – 25.2]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20.0 [15.0 – 20.0]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 [-5 – 5]</w:t>
            </w:r>
          </w:p>
        </w:tc>
      </w:tr>
      <w:tr>
        <w:trPr>
          <w:trHeight w:val="62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8.0 [5.5 – 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7.0 [6.0 – 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[-2 – 2]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19 (82.6)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15 (62.5)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 [-43 – +6]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Biological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22.0 [15.0 – 38.0]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20.0 [11.0 – 39.0]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[-8 – 10]</w:t>
            </w:r>
          </w:p>
        </w:tc>
      </w:tr>
      <w:tr>
        <w:trPr>
          <w:trHeight w:val="62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35477.0 [915.0 – 319961.0]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1613.0 [191.2 – 107779.0]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808 [-37072 – 140244]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18949.0 [7631.0 – 28778.0]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4240.0 [1669.5 – 9305.0]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13428 [-1811 – 25423]</w:t>
            </w:r>
          </w:p>
        </w:tc>
      </w:tr>
      <w:tr>
        <w:trPr>
          <w:trHeight w:val="61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139.0 [98.0 – 272.5]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208.5 [149.5 – 272.2]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-40 [-96 – 26]</w:t>
            </w:r>
          </w:p>
        </w:tc>
      </w:tr>
      <w:tr>
        <w:trPr>
          <w:trHeight w:val="41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411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variables.Between-group differences are reported as Hodges–Lehmann estimates with 95% confidence intervals for continuous variables, and as absolute differences in group proportions with 95% confidence intervals (estimated using the Agresti–Caffo method) for categorical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2026-01-09T10:05:58Z</dcterms:modified>
  <cp:category/>
</cp:coreProperties>
</file>