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 before ECMO implantation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28"/>
        <w:gridCol w:w="1156"/>
        <w:gridCol w:w="2380"/>
        <w:gridCol w:w="2502"/>
        <w:gridCol w:w="2954"/>
      </w:tblGrid>
      <w:tr>
        <w:trPr>
          <w:trHeight w:val="619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cDPP3 ≤ 73 ng/ml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cDPP3 &gt; 73 ng/ml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difference [95% CI]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Demographics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 [49 - 64]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60 [53 - 68]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[-6 - 9]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 ( 8)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(22)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+13 [-8 - +33]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26 [25 - 29]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[23 - 32]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[-2 - 6]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Medical 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8 (33)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10 (44)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+10 [-17 - +36]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 (17)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(22)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+5 [-18 - +27]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9 (38)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(30)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 [-33 - +20]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(17)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+13 [-6 - +31]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+4 [-12 - +21]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 ( 0)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(17)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+17 [-1 - +34]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 ( 8)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+0 [-17 - +18]</w:t>
            </w:r>
          </w:p>
        </w:tc>
      </w:tr>
      <w:tr>
        <w:trPr>
          <w:trHeight w:val="61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Prior-adrenergic medications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11 (46)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11 (48)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 [-26 - +29]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+4 [-12 - +21]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Cardiogenic shock cause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8 (33)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8 (35)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+1 [-25 - +28]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16 (67)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15 (65)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[-28 - +25]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 (42)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15 (65)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+24 [-5 - +48]</w:t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Clinical parameters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102 [92 - 116]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92 [84 - 104]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 [-21 - 0]</w:t>
            </w:r>
          </w:p>
        </w:tc>
      </w:tr>
      <w:tr>
        <w:trPr>
          <w:trHeight w:val="62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67 [56 - 72]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 [60 - 68]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 [-9 - 6]</w:t>
            </w:r>
          </w:p>
        </w:tc>
      </w:tr>
      <w:tr>
        <w:trPr>
          <w:trHeight w:val="62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76 [69 - 87]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71 [68 - 78]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 [-12 - 2]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96 [84 - 104]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 [86 - 126]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[-7 - 21]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heart function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 [15 - 20]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18 [14 - 25]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 [-5 - 5]</w:t>
            </w:r>
          </w:p>
        </w:tc>
      </w:tr>
      <w:tr>
        <w:trPr>
          <w:trHeight w:val="62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[6 - 8]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8 [6 - 9]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[-2 - 2]</w:t>
            </w:r>
          </w:p>
        </w:tc>
      </w:tr>
      <w:tr>
        <w:trPr>
          <w:trHeight w:val="61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supports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15 (62)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19 (83)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+20 [-6 - +43]</w:t>
            </w:r>
          </w:p>
        </w:tc>
      </w:tr>
      <w:tr>
        <w:trPr>
          <w:trHeight w:val="62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Norepinephrine cumulative Dose on first day (γ/kg/24H)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93 [0 - 348]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682 [326 - 2258]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 [237 - 1582]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Dose on first day (γ/kg/24H)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3133 [714 - 6792]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3138 [0 - 5647]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-649 [-2667 - 814]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Pre-ECMO Biological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1.9 [1.3 - 3.0]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3.5 [2.5 - 5.9]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[1 - 3]</w:t>
            </w:r>
          </w:p>
        </w:tc>
      </w:tr>
      <w:tr>
        <w:trPr>
          <w:trHeight w:val="61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104 [73 - 146]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191 [156 - 231]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[48 - 118]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195 [50 - 646]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1127 [587 - 1970]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743 [334 - 1254]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 [11 - 39]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22 [15 - 38]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[-8 - 10]</w:t>
            </w:r>
          </w:p>
        </w:tc>
      </w:tr>
      <w:tr>
        <w:trPr>
          <w:trHeight w:val="62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1613 [191 - 107779]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35477 [915 - 319961]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808 [-37072 - 140244]</w:t>
            </w:r>
          </w:p>
        </w:tc>
      </w:tr>
      <w:tr>
        <w:trPr>
          <w:trHeight w:val="62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4240 [1670 - 9305]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18949 [7631 - 28778]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13428 [-1811 - 25423]</w:t>
            </w:r>
          </w:p>
        </w:tc>
      </w:tr>
      <w:tr>
        <w:trPr>
          <w:trHeight w:val="61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208 [150 - 272]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139 [98 - 272]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-40 [-96 - 26]</w:t>
            </w:r>
          </w:p>
        </w:tc>
      </w:tr>
      <w:tr>
        <w:trPr>
          <w:trHeight w:val="619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SOFA pre-ECMO implantation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 [6 - 9]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12 [9 - 14]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[2 - 6]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2026-01-07T10:33:26Z</dcterms:modified>
  <cp:category/>
</cp:coreProperties>
</file>