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Outcomes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21"/>
        <w:gridCol w:w="1878"/>
        <w:gridCol w:w="1878"/>
        <w:gridCol w:w="1090"/>
      </w:tblGrid>
      <w:tr>
        <w:trPr>
          <w:trHeight w:val="618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cDPP3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cDPP3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5.0 [3.0, 9.2]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7.0 [3.5,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0.898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in weaned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4.5 [3.0, 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7.0 [4.0, 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0.227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in deceased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7.0 [4.0,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5.0 [3.0, 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0.379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Intra-Aortic Balloon Pump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 (60.0)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5 (45.5)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0.819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Replacement Therapy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(20.0)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5 (45.5)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0.440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Renal Replacement Therapy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 [0.0, 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4.0 [0.0, 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Mechanical Ventilation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3.0 [1.8, 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8.0 [3.5, 16.5]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0.013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ICU Length of Stay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 [6.8, 16.8]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 [5.0, 34.0]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0.594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0.249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in ICU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 (29.2)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13 (56.5)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LVAD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( 8.3)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Transplant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 ( 4.3)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Weaning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14 (58.3)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 (30.4)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28-day Mortality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8 (33.3)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14 (60.9)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0.110</w:t>
            </w:r>
          </w:p>
        </w:tc>
      </w:tr>
      <w:tr>
        <w:trPr>
          <w:trHeight w:val="618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90-day Mortality 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11 (45.8)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16 (69.6)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0.177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are expressed in n(%) for categorical variables and median [25th–75th] for continuous variables.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2026-01-06T16:30:11Z</dcterms:modified>
  <cp:category/>
</cp:coreProperties>
</file>