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21"/>
        <w:gridCol w:w="1878"/>
      </w:tblGrid>
      <w:tr>
        <w:trPr>
          <w:trHeight w:val="577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56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47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Weaning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21 (44.7) 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6.0 [3.0, 9.5]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weaned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5.0 [3.0, 8.0]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deceased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5.5 [3.0, 8.2]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Intra-Aortic Balloon Pump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11 (52.4) 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Replacement Therapy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 (33.3) 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Renal Replacement Therapy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 [0.0, 5.0]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Mechanical Ventilation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5.0 [2.0, 9.5]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ICU Length of Stay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 [6.0, 19.5]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in ICU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 (42.6) 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LVAD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4 ( 8.5) 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Transplant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( 4.3) 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28-day Mortality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22 (46.8) </w:t>
            </w:r>
          </w:p>
        </w:tc>
      </w:tr>
      <w:tr>
        <w:trPr>
          <w:trHeight w:val="618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90-day Mortality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27 (57.4) 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are expressed in n(%) for categorical variables and median [25th–75th] for continuous variables.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2025-12-08T18:03:26Z</dcterms:modified>
  <cp:category/>
</cp:coreProperties>
</file>